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4E" w:rsidRPr="00690F4E" w:rsidRDefault="00690F4E">
      <w:pPr>
        <w:rPr>
          <w:sz w:val="24"/>
          <w:szCs w:val="24"/>
        </w:rPr>
      </w:pPr>
      <w:r w:rsidRPr="00690F4E">
        <w:rPr>
          <w:sz w:val="24"/>
          <w:szCs w:val="24"/>
        </w:rPr>
        <w:t>Market</w:t>
      </w:r>
      <w:proofErr w:type="gramStart"/>
      <w:r w:rsidRPr="00690F4E">
        <w:rPr>
          <w:sz w:val="24"/>
          <w:szCs w:val="24"/>
        </w:rPr>
        <w:t>:</w:t>
      </w:r>
      <w:r>
        <w:rPr>
          <w:sz w:val="24"/>
          <w:szCs w:val="24"/>
        </w:rPr>
        <w:t>…………………………………………………………</w:t>
      </w:r>
      <w:proofErr w:type="gramEnd"/>
    </w:p>
    <w:p w:rsidR="00690F4E" w:rsidRDefault="00690F4E">
      <w:pPr>
        <w:rPr>
          <w:sz w:val="24"/>
          <w:szCs w:val="24"/>
        </w:rPr>
      </w:pPr>
      <w:r w:rsidRPr="00690F4E">
        <w:rPr>
          <w:sz w:val="24"/>
          <w:szCs w:val="24"/>
        </w:rPr>
        <w:t>Date Prepared</w:t>
      </w:r>
      <w:proofErr w:type="gramStart"/>
      <w:r w:rsidRPr="00690F4E">
        <w:rPr>
          <w:sz w:val="24"/>
          <w:szCs w:val="24"/>
        </w:rPr>
        <w:t>:</w:t>
      </w:r>
      <w:r>
        <w:rPr>
          <w:sz w:val="24"/>
          <w:szCs w:val="24"/>
        </w:rPr>
        <w:t>……………………………………………..</w:t>
      </w:r>
      <w:proofErr w:type="gramEnd"/>
    </w:p>
    <w:p w:rsidR="00690F4E" w:rsidRPr="00690F4E" w:rsidRDefault="00690F4E">
      <w:pPr>
        <w:rPr>
          <w:sz w:val="24"/>
          <w:szCs w:val="24"/>
        </w:rPr>
        <w:sectPr w:rsidR="00690F4E" w:rsidRPr="00690F4E" w:rsidSect="00690F4E">
          <w:headerReference w:type="default" r:id="rId7"/>
          <w:footerReference w:type="default" r:id="rId8"/>
          <w:pgSz w:w="16838" w:h="11906" w:orient="landscape"/>
          <w:pgMar w:top="1440" w:right="1440" w:bottom="1440" w:left="1440" w:header="708" w:footer="708" w:gutter="0"/>
          <w:cols w:num="2" w:space="708"/>
          <w:docGrid w:linePitch="360"/>
        </w:sectPr>
      </w:pPr>
      <w:r>
        <w:rPr>
          <w:sz w:val="24"/>
          <w:szCs w:val="24"/>
        </w:rPr>
        <w:lastRenderedPageBreak/>
        <w:t>Prepared By</w:t>
      </w:r>
      <w:proofErr w:type="gramStart"/>
      <w:r>
        <w:rPr>
          <w:sz w:val="24"/>
          <w:szCs w:val="24"/>
        </w:rPr>
        <w:t>:…………………………………………………</w:t>
      </w:r>
      <w:proofErr w:type="gramEnd"/>
    </w:p>
    <w:p w:rsidR="00690F4E" w:rsidRDefault="00690F4E"/>
    <w:tbl>
      <w:tblPr>
        <w:tblStyle w:val="TableGrid"/>
        <w:tblW w:w="14283" w:type="dxa"/>
        <w:tblLayout w:type="fixed"/>
        <w:tblLook w:val="04A0"/>
      </w:tblPr>
      <w:tblGrid>
        <w:gridCol w:w="3085"/>
        <w:gridCol w:w="2410"/>
        <w:gridCol w:w="1276"/>
        <w:gridCol w:w="3118"/>
        <w:gridCol w:w="1276"/>
        <w:gridCol w:w="1276"/>
        <w:gridCol w:w="1842"/>
      </w:tblGrid>
      <w:tr w:rsidR="00690F4E" w:rsidTr="00AA0496">
        <w:trPr>
          <w:cantSplit/>
          <w:tblHeader/>
        </w:trPr>
        <w:tc>
          <w:tcPr>
            <w:tcW w:w="3085" w:type="dxa"/>
          </w:tcPr>
          <w:p w:rsidR="00690F4E" w:rsidRPr="00690F4E" w:rsidRDefault="00690F4E" w:rsidP="00690F4E">
            <w:pPr>
              <w:jc w:val="center"/>
              <w:rPr>
                <w:u w:val="single"/>
              </w:rPr>
            </w:pPr>
            <w:r w:rsidRPr="00690F4E">
              <w:rPr>
                <w:u w:val="single"/>
              </w:rPr>
              <w:t xml:space="preserve">EU </w:t>
            </w:r>
            <w:r>
              <w:rPr>
                <w:u w:val="single"/>
              </w:rPr>
              <w:t>4</w:t>
            </w:r>
            <w:r w:rsidRPr="00690F4E">
              <w:rPr>
                <w:u w:val="single"/>
                <w:vertAlign w:val="superscript"/>
              </w:rPr>
              <w:t>th</w:t>
            </w:r>
            <w:r>
              <w:rPr>
                <w:u w:val="single"/>
              </w:rPr>
              <w:t xml:space="preserve"> Directive </w:t>
            </w:r>
            <w:r w:rsidR="00F92A27">
              <w:rPr>
                <w:u w:val="single"/>
              </w:rPr>
              <w:t xml:space="preserve">Key (New/Revised) </w:t>
            </w:r>
            <w:r w:rsidRPr="00690F4E">
              <w:rPr>
                <w:u w:val="single"/>
              </w:rPr>
              <w:t>Requirement</w:t>
            </w:r>
            <w:r w:rsidR="00F92A27">
              <w:rPr>
                <w:u w:val="single"/>
              </w:rPr>
              <w:t>s</w:t>
            </w:r>
          </w:p>
        </w:tc>
        <w:tc>
          <w:tcPr>
            <w:tcW w:w="2410" w:type="dxa"/>
          </w:tcPr>
          <w:p w:rsidR="00690F4E" w:rsidRPr="00690F4E" w:rsidRDefault="00690F4E" w:rsidP="00690F4E">
            <w:pPr>
              <w:jc w:val="center"/>
              <w:rPr>
                <w:u w:val="single"/>
              </w:rPr>
            </w:pPr>
            <w:r w:rsidRPr="00690F4E">
              <w:rPr>
                <w:u w:val="single"/>
              </w:rPr>
              <w:t>Currently in place in market (and can be evidenced)</w:t>
            </w:r>
          </w:p>
        </w:tc>
        <w:tc>
          <w:tcPr>
            <w:tcW w:w="1276" w:type="dxa"/>
          </w:tcPr>
          <w:p w:rsidR="00690F4E" w:rsidRPr="00690F4E" w:rsidRDefault="00690F4E" w:rsidP="00690F4E">
            <w:pPr>
              <w:jc w:val="center"/>
              <w:rPr>
                <w:u w:val="single"/>
              </w:rPr>
            </w:pPr>
            <w:r w:rsidRPr="00690F4E">
              <w:rPr>
                <w:u w:val="single"/>
              </w:rPr>
              <w:t>Level of compliance</w:t>
            </w:r>
          </w:p>
          <w:p w:rsidR="00690F4E" w:rsidRPr="00690F4E" w:rsidRDefault="00690F4E" w:rsidP="00690F4E">
            <w:pPr>
              <w:jc w:val="center"/>
            </w:pPr>
            <w:r w:rsidRPr="00690F4E">
              <w:rPr>
                <w:color w:val="00B050"/>
              </w:rPr>
              <w:t>Fully</w:t>
            </w:r>
            <w:r w:rsidRPr="00690F4E">
              <w:t xml:space="preserve"> </w:t>
            </w:r>
            <w:r>
              <w:rPr>
                <w:color w:val="FFC000"/>
              </w:rPr>
              <w:t>P</w:t>
            </w:r>
            <w:r w:rsidRPr="00690F4E">
              <w:rPr>
                <w:color w:val="FFC000"/>
              </w:rPr>
              <w:t>artially</w:t>
            </w:r>
            <w:r w:rsidRPr="00690F4E">
              <w:t xml:space="preserve">  </w:t>
            </w:r>
            <w:r>
              <w:rPr>
                <w:color w:val="FF0000"/>
              </w:rPr>
              <w:t>N</w:t>
            </w:r>
            <w:r w:rsidRPr="00690F4E">
              <w:rPr>
                <w:color w:val="FF0000"/>
              </w:rPr>
              <w:t>ot at all</w:t>
            </w:r>
          </w:p>
        </w:tc>
        <w:tc>
          <w:tcPr>
            <w:tcW w:w="3118" w:type="dxa"/>
          </w:tcPr>
          <w:p w:rsidR="00690F4E" w:rsidRPr="00690F4E" w:rsidRDefault="00690F4E" w:rsidP="00690F4E">
            <w:pPr>
              <w:jc w:val="center"/>
              <w:rPr>
                <w:u w:val="single"/>
              </w:rPr>
            </w:pPr>
            <w:r w:rsidRPr="00690F4E">
              <w:rPr>
                <w:u w:val="single"/>
              </w:rPr>
              <w:t>Actions required</w:t>
            </w:r>
          </w:p>
        </w:tc>
        <w:tc>
          <w:tcPr>
            <w:tcW w:w="1276" w:type="dxa"/>
          </w:tcPr>
          <w:p w:rsidR="00690F4E" w:rsidRPr="00690F4E" w:rsidRDefault="00690F4E" w:rsidP="00690F4E">
            <w:pPr>
              <w:jc w:val="center"/>
              <w:rPr>
                <w:u w:val="single"/>
              </w:rPr>
            </w:pPr>
            <w:r w:rsidRPr="00690F4E">
              <w:rPr>
                <w:u w:val="single"/>
              </w:rPr>
              <w:t>Action Owner</w:t>
            </w:r>
          </w:p>
        </w:tc>
        <w:tc>
          <w:tcPr>
            <w:tcW w:w="1276" w:type="dxa"/>
          </w:tcPr>
          <w:p w:rsidR="00690F4E" w:rsidRPr="00690F4E" w:rsidRDefault="00690F4E" w:rsidP="00690F4E">
            <w:pPr>
              <w:jc w:val="center"/>
              <w:rPr>
                <w:u w:val="single"/>
              </w:rPr>
            </w:pPr>
            <w:r>
              <w:rPr>
                <w:u w:val="single"/>
              </w:rPr>
              <w:t>Date action to be completed by</w:t>
            </w:r>
          </w:p>
        </w:tc>
        <w:tc>
          <w:tcPr>
            <w:tcW w:w="1842" w:type="dxa"/>
          </w:tcPr>
          <w:p w:rsidR="00690F4E" w:rsidRPr="00690F4E" w:rsidRDefault="00690F4E" w:rsidP="00690F4E">
            <w:pPr>
              <w:jc w:val="center"/>
              <w:rPr>
                <w:u w:val="single"/>
              </w:rPr>
            </w:pPr>
            <w:r w:rsidRPr="00690F4E">
              <w:rPr>
                <w:u w:val="single"/>
              </w:rPr>
              <w:t>Additional resources required (if any)</w:t>
            </w:r>
          </w:p>
        </w:tc>
      </w:tr>
      <w:tr w:rsidR="00690F4E" w:rsidTr="00AA0496">
        <w:trPr>
          <w:cantSplit/>
        </w:trPr>
        <w:tc>
          <w:tcPr>
            <w:tcW w:w="3085" w:type="dxa"/>
          </w:tcPr>
          <w:p w:rsidR="00690F4E" w:rsidRPr="00350626" w:rsidRDefault="001D68F3" w:rsidP="007323B8">
            <w:pPr>
              <w:pStyle w:val="ListParagraph"/>
              <w:numPr>
                <w:ilvl w:val="0"/>
                <w:numId w:val="1"/>
              </w:numPr>
              <w:rPr>
                <w:b/>
              </w:rPr>
            </w:pPr>
            <w:r w:rsidRPr="00350626">
              <w:rPr>
                <w:b/>
              </w:rPr>
              <w:t>Risk Based Approach</w:t>
            </w:r>
          </w:p>
          <w:p w:rsidR="003A7AC7" w:rsidRPr="00350626" w:rsidRDefault="003A7AC7">
            <w:pPr>
              <w:rPr>
                <w:i/>
              </w:rPr>
            </w:pPr>
            <w:r w:rsidRPr="00350626">
              <w:rPr>
                <w:i/>
              </w:rPr>
              <w:t>(</w:t>
            </w:r>
            <w:r w:rsidR="001C040D" w:rsidRPr="00350626">
              <w:rPr>
                <w:i/>
              </w:rPr>
              <w:t>paragraphs</w:t>
            </w:r>
            <w:r w:rsidRPr="00350626">
              <w:rPr>
                <w:i/>
              </w:rPr>
              <w:t xml:space="preserve"> 22,25, </w:t>
            </w:r>
            <w:r w:rsidR="001C040D" w:rsidRPr="00350626">
              <w:rPr>
                <w:i/>
              </w:rPr>
              <w:t>Art 8 (1 to 5)</w:t>
            </w:r>
            <w:r w:rsidR="00AA0496" w:rsidRPr="00350626">
              <w:rPr>
                <w:i/>
              </w:rPr>
              <w:t>, 16 and Annex I and II</w:t>
            </w:r>
            <w:r w:rsidR="001C040D" w:rsidRPr="00350626">
              <w:rPr>
                <w:i/>
              </w:rPr>
              <w:t>)</w:t>
            </w:r>
          </w:p>
          <w:p w:rsidR="001D68F3" w:rsidRPr="00350626" w:rsidRDefault="001D68F3">
            <w:pPr>
              <w:rPr>
                <w:b/>
              </w:rPr>
            </w:pPr>
          </w:p>
          <w:p w:rsidR="00F4018D" w:rsidRPr="00350626" w:rsidRDefault="00F4018D" w:rsidP="00F4018D">
            <w:pPr>
              <w:rPr>
                <w:sz w:val="20"/>
                <w:szCs w:val="20"/>
              </w:rPr>
            </w:pPr>
            <w:r w:rsidRPr="00350626">
              <w:rPr>
                <w:sz w:val="20"/>
                <w:szCs w:val="20"/>
              </w:rPr>
              <w:t>O</w:t>
            </w:r>
            <w:r w:rsidR="001D68F3" w:rsidRPr="00350626">
              <w:rPr>
                <w:sz w:val="20"/>
                <w:szCs w:val="20"/>
              </w:rPr>
              <w:t>bliged entities (new name for “designated persons”) are already required to evidence that they have taken steps to identify, assess, understand, and mitigate AML/CTF risk including giving consideration to risk factors such as customer, product, geography, and channel</w:t>
            </w:r>
            <w:r w:rsidRPr="00350626">
              <w:rPr>
                <w:sz w:val="20"/>
                <w:szCs w:val="20"/>
              </w:rPr>
              <w:t xml:space="preserve">.  </w:t>
            </w:r>
            <w:r w:rsidR="003A7AC7" w:rsidRPr="00350626">
              <w:rPr>
                <w:sz w:val="20"/>
                <w:szCs w:val="20"/>
              </w:rPr>
              <w:t>This assessment must be evidence-based</w:t>
            </w:r>
          </w:p>
          <w:p w:rsidR="00F4018D" w:rsidRPr="00350626" w:rsidRDefault="00F4018D" w:rsidP="00F4018D">
            <w:pPr>
              <w:rPr>
                <w:sz w:val="20"/>
                <w:szCs w:val="20"/>
              </w:rPr>
            </w:pPr>
          </w:p>
          <w:p w:rsidR="001D68F3" w:rsidRPr="00350626" w:rsidRDefault="00F4018D" w:rsidP="00F4018D">
            <w:r w:rsidRPr="00350626">
              <w:rPr>
                <w:sz w:val="20"/>
                <w:szCs w:val="20"/>
              </w:rPr>
              <w:t xml:space="preserve">Now they must also use and incorporate the results of risk assessments at national and EU </w:t>
            </w:r>
            <w:proofErr w:type="gramStart"/>
            <w:r w:rsidRPr="00350626">
              <w:rPr>
                <w:sz w:val="20"/>
                <w:szCs w:val="20"/>
              </w:rPr>
              <w:t>level  into</w:t>
            </w:r>
            <w:proofErr w:type="gramEnd"/>
            <w:r w:rsidRPr="00350626">
              <w:rPr>
                <w:sz w:val="20"/>
                <w:szCs w:val="20"/>
              </w:rPr>
              <w:t xml:space="preserve"> their own risk assessments (eg geographical risk assessments) to improve AML/CTF controls</w:t>
            </w:r>
            <w:r w:rsidR="001D68F3" w:rsidRPr="00350626">
              <w:rPr>
                <w:sz w:val="20"/>
                <w:szCs w:val="20"/>
              </w:rPr>
              <w:t>.</w:t>
            </w:r>
          </w:p>
        </w:tc>
        <w:tc>
          <w:tcPr>
            <w:tcW w:w="2410" w:type="dxa"/>
          </w:tcPr>
          <w:p w:rsidR="00690F4E" w:rsidRPr="00DB776A" w:rsidRDefault="00690F4E">
            <w:pPr>
              <w:rPr>
                <w:b/>
              </w:rPr>
            </w:pPr>
          </w:p>
        </w:tc>
        <w:tc>
          <w:tcPr>
            <w:tcW w:w="1276" w:type="dxa"/>
          </w:tcPr>
          <w:p w:rsidR="00690F4E" w:rsidRDefault="00690F4E"/>
        </w:tc>
        <w:tc>
          <w:tcPr>
            <w:tcW w:w="3118" w:type="dxa"/>
          </w:tcPr>
          <w:p w:rsidR="00690F4E" w:rsidRDefault="00690F4E">
            <w:bookmarkStart w:id="0" w:name="_GoBack"/>
            <w:bookmarkEnd w:id="0"/>
          </w:p>
        </w:tc>
        <w:tc>
          <w:tcPr>
            <w:tcW w:w="1276" w:type="dxa"/>
          </w:tcPr>
          <w:p w:rsidR="00690F4E" w:rsidRDefault="00690F4E"/>
        </w:tc>
        <w:tc>
          <w:tcPr>
            <w:tcW w:w="1276" w:type="dxa"/>
          </w:tcPr>
          <w:p w:rsidR="00690F4E" w:rsidRDefault="00690F4E"/>
        </w:tc>
        <w:tc>
          <w:tcPr>
            <w:tcW w:w="1842" w:type="dxa"/>
          </w:tcPr>
          <w:p w:rsidR="00690F4E" w:rsidRDefault="00690F4E"/>
        </w:tc>
      </w:tr>
      <w:tr w:rsidR="00690F4E" w:rsidTr="00AA0496">
        <w:trPr>
          <w:cantSplit/>
        </w:trPr>
        <w:tc>
          <w:tcPr>
            <w:tcW w:w="3085" w:type="dxa"/>
          </w:tcPr>
          <w:p w:rsidR="00690F4E" w:rsidRPr="00350626" w:rsidRDefault="001D68F3" w:rsidP="007323B8">
            <w:pPr>
              <w:pStyle w:val="ListParagraph"/>
              <w:numPr>
                <w:ilvl w:val="0"/>
                <w:numId w:val="1"/>
              </w:numPr>
              <w:rPr>
                <w:b/>
              </w:rPr>
            </w:pPr>
            <w:r w:rsidRPr="00350626">
              <w:rPr>
                <w:b/>
              </w:rPr>
              <w:lastRenderedPageBreak/>
              <w:t>Customer Due Diligence</w:t>
            </w:r>
            <w:r w:rsidR="00AA0496" w:rsidRPr="00350626">
              <w:rPr>
                <w:b/>
              </w:rPr>
              <w:t xml:space="preserve"> (CDD)</w:t>
            </w:r>
          </w:p>
          <w:p w:rsidR="001C040D" w:rsidRPr="00350626" w:rsidRDefault="001C040D">
            <w:pPr>
              <w:rPr>
                <w:i/>
              </w:rPr>
            </w:pPr>
            <w:r w:rsidRPr="00350626">
              <w:rPr>
                <w:i/>
              </w:rPr>
              <w:t>(Article 11</w:t>
            </w:r>
            <w:r w:rsidR="00D535E6" w:rsidRPr="00350626">
              <w:rPr>
                <w:i/>
              </w:rPr>
              <w:t>,13</w:t>
            </w:r>
            <w:r w:rsidR="001A38AB" w:rsidRPr="00350626">
              <w:rPr>
                <w:i/>
              </w:rPr>
              <w:t>,15</w:t>
            </w:r>
            <w:r w:rsidR="00393686" w:rsidRPr="00350626">
              <w:rPr>
                <w:i/>
              </w:rPr>
              <w:t>, 18</w:t>
            </w:r>
            <w:r w:rsidR="00AA0496" w:rsidRPr="00350626">
              <w:rPr>
                <w:i/>
              </w:rPr>
              <w:t xml:space="preserve"> </w:t>
            </w:r>
            <w:r w:rsidR="00D535E6" w:rsidRPr="00350626">
              <w:rPr>
                <w:i/>
              </w:rPr>
              <w:t xml:space="preserve">and Annex </w:t>
            </w:r>
            <w:r w:rsidR="001A38AB" w:rsidRPr="00350626">
              <w:rPr>
                <w:i/>
              </w:rPr>
              <w:t>I</w:t>
            </w:r>
            <w:r w:rsidR="00393686" w:rsidRPr="00350626">
              <w:rPr>
                <w:i/>
              </w:rPr>
              <w:t xml:space="preserve"> and III</w:t>
            </w:r>
            <w:r w:rsidRPr="00350626">
              <w:rPr>
                <w:i/>
              </w:rPr>
              <w:t>)</w:t>
            </w:r>
          </w:p>
          <w:p w:rsidR="001D68F3" w:rsidRPr="00350626" w:rsidRDefault="001D68F3"/>
          <w:p w:rsidR="00F4018D" w:rsidRPr="00350626" w:rsidRDefault="00F4018D" w:rsidP="001D68F3">
            <w:pPr>
              <w:pStyle w:val="Default"/>
              <w:rPr>
                <w:sz w:val="20"/>
                <w:szCs w:val="20"/>
              </w:rPr>
            </w:pPr>
            <w:r w:rsidRPr="00350626">
              <w:rPr>
                <w:sz w:val="20"/>
                <w:szCs w:val="20"/>
              </w:rPr>
              <w:t xml:space="preserve">No longer automatically entitled to apply SDD for specified customers and products.  Instead company (‘obliged entity’) must determine the level of risk posed by a customer PRIOR to applying SDD and be able to provide robust rationale and justification if SDD is deemed appropriate </w:t>
            </w:r>
          </w:p>
          <w:p w:rsidR="00F4018D" w:rsidRPr="00350626" w:rsidRDefault="00F4018D" w:rsidP="001D68F3">
            <w:pPr>
              <w:pStyle w:val="Default"/>
              <w:rPr>
                <w:sz w:val="20"/>
                <w:szCs w:val="20"/>
              </w:rPr>
            </w:pPr>
          </w:p>
          <w:p w:rsidR="001D68F3" w:rsidRPr="00350626" w:rsidRDefault="00393686" w:rsidP="001D68F3">
            <w:r w:rsidRPr="00350626">
              <w:rPr>
                <w:sz w:val="20"/>
                <w:szCs w:val="20"/>
              </w:rPr>
              <w:t>M</w:t>
            </w:r>
            <w:r w:rsidR="001D68F3" w:rsidRPr="00350626">
              <w:rPr>
                <w:sz w:val="20"/>
                <w:szCs w:val="20"/>
              </w:rPr>
              <w:t>ore prescriptive</w:t>
            </w:r>
            <w:r w:rsidRPr="00350626">
              <w:rPr>
                <w:sz w:val="20"/>
                <w:szCs w:val="20"/>
              </w:rPr>
              <w:t xml:space="preserve"> [Article 18</w:t>
            </w:r>
            <w:proofErr w:type="gramStart"/>
            <w:r w:rsidRPr="00350626">
              <w:rPr>
                <w:sz w:val="20"/>
                <w:szCs w:val="20"/>
              </w:rPr>
              <w:t xml:space="preserve">] </w:t>
            </w:r>
            <w:r w:rsidR="001D68F3" w:rsidRPr="00350626">
              <w:rPr>
                <w:sz w:val="20"/>
                <w:szCs w:val="20"/>
              </w:rPr>
              <w:t xml:space="preserve"> in</w:t>
            </w:r>
            <w:proofErr w:type="gramEnd"/>
            <w:r w:rsidR="001D68F3" w:rsidRPr="00350626">
              <w:rPr>
                <w:sz w:val="20"/>
                <w:szCs w:val="20"/>
              </w:rPr>
              <w:t xml:space="preserve"> the requirement that enhanced CDD be performed in situations where the risk may be deemed higher</w:t>
            </w:r>
            <w:r w:rsidR="007323B8" w:rsidRPr="00350626">
              <w:rPr>
                <w:sz w:val="20"/>
                <w:szCs w:val="20"/>
              </w:rPr>
              <w:t xml:space="preserve"> [see requirement 3 and 4 </w:t>
            </w:r>
            <w:proofErr w:type="spellStart"/>
            <w:r w:rsidR="007323B8" w:rsidRPr="00350626">
              <w:rPr>
                <w:sz w:val="20"/>
                <w:szCs w:val="20"/>
              </w:rPr>
              <w:t>elow</w:t>
            </w:r>
            <w:proofErr w:type="spellEnd"/>
            <w:r w:rsidR="007323B8" w:rsidRPr="00350626">
              <w:rPr>
                <w:sz w:val="20"/>
                <w:szCs w:val="20"/>
              </w:rPr>
              <w:t>]</w:t>
            </w:r>
            <w:r w:rsidRPr="00350626">
              <w:rPr>
                <w:sz w:val="20"/>
                <w:szCs w:val="20"/>
              </w:rPr>
              <w:t>.  Must use the factors of potentially higher-risk situations in Annex III of the Directive when assessing ML risks.</w:t>
            </w:r>
          </w:p>
          <w:p w:rsidR="001D68F3" w:rsidRPr="00350626" w:rsidRDefault="001D68F3"/>
          <w:p w:rsidR="001D68F3" w:rsidRPr="00350626" w:rsidRDefault="001D68F3"/>
        </w:tc>
        <w:tc>
          <w:tcPr>
            <w:tcW w:w="2410" w:type="dxa"/>
          </w:tcPr>
          <w:p w:rsidR="00690F4E" w:rsidRDefault="00690F4E"/>
        </w:tc>
        <w:tc>
          <w:tcPr>
            <w:tcW w:w="1276" w:type="dxa"/>
          </w:tcPr>
          <w:p w:rsidR="00690F4E" w:rsidRDefault="00690F4E"/>
        </w:tc>
        <w:tc>
          <w:tcPr>
            <w:tcW w:w="3118" w:type="dxa"/>
          </w:tcPr>
          <w:p w:rsidR="00690F4E" w:rsidRDefault="00690F4E"/>
        </w:tc>
        <w:tc>
          <w:tcPr>
            <w:tcW w:w="1276" w:type="dxa"/>
          </w:tcPr>
          <w:p w:rsidR="00690F4E" w:rsidRDefault="00690F4E"/>
        </w:tc>
        <w:tc>
          <w:tcPr>
            <w:tcW w:w="1276" w:type="dxa"/>
          </w:tcPr>
          <w:p w:rsidR="00690F4E" w:rsidRDefault="00690F4E"/>
        </w:tc>
        <w:tc>
          <w:tcPr>
            <w:tcW w:w="1842" w:type="dxa"/>
          </w:tcPr>
          <w:p w:rsidR="00690F4E" w:rsidRDefault="00690F4E"/>
        </w:tc>
      </w:tr>
      <w:tr w:rsidR="00AA0496" w:rsidTr="00AA0496">
        <w:trPr>
          <w:cantSplit/>
          <w:trHeight w:val="2675"/>
        </w:trPr>
        <w:tc>
          <w:tcPr>
            <w:tcW w:w="3085" w:type="dxa"/>
          </w:tcPr>
          <w:p w:rsidR="00AA0496" w:rsidRPr="00350626" w:rsidRDefault="00AA0496" w:rsidP="007323B8">
            <w:pPr>
              <w:pStyle w:val="ListParagraph"/>
              <w:numPr>
                <w:ilvl w:val="0"/>
                <w:numId w:val="1"/>
              </w:numPr>
              <w:rPr>
                <w:b/>
              </w:rPr>
            </w:pPr>
            <w:r w:rsidRPr="00350626">
              <w:rPr>
                <w:b/>
              </w:rPr>
              <w:lastRenderedPageBreak/>
              <w:t>3</w:t>
            </w:r>
            <w:r w:rsidRPr="00350626">
              <w:rPr>
                <w:b/>
                <w:vertAlign w:val="superscript"/>
              </w:rPr>
              <w:t>Rd</w:t>
            </w:r>
            <w:r w:rsidRPr="00350626">
              <w:rPr>
                <w:b/>
              </w:rPr>
              <w:t xml:space="preserve"> Party Equivalence and Enhanced Due Diligence</w:t>
            </w:r>
            <w:r w:rsidR="0055664D" w:rsidRPr="00350626">
              <w:rPr>
                <w:b/>
              </w:rPr>
              <w:t xml:space="preserve"> (EDD)</w:t>
            </w:r>
          </w:p>
          <w:p w:rsidR="00AA0496" w:rsidRPr="00350626" w:rsidRDefault="00AA0496" w:rsidP="00AB46D2">
            <w:pPr>
              <w:rPr>
                <w:i/>
              </w:rPr>
            </w:pPr>
            <w:r w:rsidRPr="00350626">
              <w:rPr>
                <w:i/>
              </w:rPr>
              <w:t>(paragraph 29 and Article 9, 18, Annex III)</w:t>
            </w:r>
          </w:p>
          <w:p w:rsidR="00AA0496" w:rsidRPr="00350626" w:rsidRDefault="00AA0496" w:rsidP="00AB46D2"/>
          <w:p w:rsidR="00AA0496" w:rsidRPr="00350626" w:rsidRDefault="00AA0496" w:rsidP="00AB46D2">
            <w:pPr>
              <w:rPr>
                <w:sz w:val="20"/>
                <w:szCs w:val="20"/>
              </w:rPr>
            </w:pPr>
            <w:r w:rsidRPr="00350626">
              <w:rPr>
                <w:sz w:val="20"/>
                <w:szCs w:val="20"/>
              </w:rPr>
              <w:t xml:space="preserve">The Third EU AML Directive prescribes a “white list” of jurisdictions where AML/CTF legislation is considered equivalent to the EU. </w:t>
            </w:r>
          </w:p>
          <w:p w:rsidR="00AA0496" w:rsidRPr="00350626" w:rsidRDefault="00AA0496" w:rsidP="00AB46D2">
            <w:pPr>
              <w:rPr>
                <w:sz w:val="20"/>
                <w:szCs w:val="20"/>
              </w:rPr>
            </w:pPr>
          </w:p>
          <w:p w:rsidR="00AA0496" w:rsidRPr="00350626" w:rsidRDefault="00AA0496" w:rsidP="00AB46D2">
            <w:pPr>
              <w:rPr>
                <w:sz w:val="20"/>
                <w:szCs w:val="20"/>
              </w:rPr>
            </w:pPr>
            <w:r w:rsidRPr="00350626">
              <w:rPr>
                <w:sz w:val="20"/>
                <w:szCs w:val="20"/>
              </w:rPr>
              <w:t>Under the new Directive, this list of equivalent jurisdictions is rescinded, and obliged entities will therefore need to perform a risk assessment on countries where they do business outside of the EU.</w:t>
            </w:r>
          </w:p>
          <w:p w:rsidR="00AA0496" w:rsidRPr="00350626" w:rsidRDefault="00AA0496" w:rsidP="00AB46D2">
            <w:pPr>
              <w:rPr>
                <w:sz w:val="20"/>
                <w:szCs w:val="20"/>
              </w:rPr>
            </w:pPr>
          </w:p>
          <w:p w:rsidR="00AA0496" w:rsidRPr="00350626" w:rsidRDefault="00AA0496" w:rsidP="00AB46D2">
            <w:r w:rsidRPr="00350626">
              <w:rPr>
                <w:sz w:val="20"/>
                <w:szCs w:val="20"/>
              </w:rPr>
              <w:t>EDD to be applied for people in high-risk countries [see CDD section above]</w:t>
            </w:r>
            <w:r w:rsidR="0055664D" w:rsidRPr="00350626">
              <w:rPr>
                <w:sz w:val="20"/>
                <w:szCs w:val="20"/>
              </w:rPr>
              <w:t xml:space="preserve"> and PEPS [see below]</w:t>
            </w:r>
          </w:p>
          <w:p w:rsidR="00AA0496" w:rsidRPr="00350626" w:rsidRDefault="00AA0496" w:rsidP="00AB46D2"/>
          <w:p w:rsidR="00AA0496" w:rsidRPr="00350626" w:rsidRDefault="00AA0496" w:rsidP="00AB46D2"/>
        </w:tc>
        <w:tc>
          <w:tcPr>
            <w:tcW w:w="2410" w:type="dxa"/>
          </w:tcPr>
          <w:p w:rsidR="007323B8" w:rsidRDefault="007323B8" w:rsidP="00AB46D2"/>
          <w:p w:rsidR="007323B8" w:rsidRPr="007323B8" w:rsidRDefault="007323B8" w:rsidP="007323B8"/>
          <w:p w:rsidR="007323B8" w:rsidRPr="007323B8" w:rsidRDefault="007323B8" w:rsidP="007323B8"/>
          <w:p w:rsidR="007323B8" w:rsidRDefault="007323B8" w:rsidP="007323B8"/>
          <w:p w:rsidR="007323B8" w:rsidRPr="007323B8" w:rsidRDefault="007323B8" w:rsidP="007323B8"/>
          <w:p w:rsidR="007323B8" w:rsidRDefault="007323B8" w:rsidP="007323B8"/>
          <w:p w:rsidR="007323B8" w:rsidRDefault="007323B8" w:rsidP="007323B8"/>
          <w:p w:rsidR="007323B8" w:rsidRDefault="007323B8" w:rsidP="007323B8"/>
          <w:p w:rsidR="00AA0496" w:rsidRPr="007323B8" w:rsidRDefault="00AA0496" w:rsidP="007323B8"/>
        </w:tc>
        <w:tc>
          <w:tcPr>
            <w:tcW w:w="1276" w:type="dxa"/>
          </w:tcPr>
          <w:p w:rsidR="00AA0496" w:rsidRDefault="00AA0496" w:rsidP="00AB46D2"/>
        </w:tc>
        <w:tc>
          <w:tcPr>
            <w:tcW w:w="3118" w:type="dxa"/>
          </w:tcPr>
          <w:p w:rsidR="00AA0496" w:rsidRDefault="00AA0496" w:rsidP="00AB46D2"/>
        </w:tc>
        <w:tc>
          <w:tcPr>
            <w:tcW w:w="1276" w:type="dxa"/>
          </w:tcPr>
          <w:p w:rsidR="00AA0496" w:rsidRDefault="00AA0496" w:rsidP="00AB46D2"/>
        </w:tc>
        <w:tc>
          <w:tcPr>
            <w:tcW w:w="1276" w:type="dxa"/>
          </w:tcPr>
          <w:p w:rsidR="00AA0496" w:rsidRDefault="00AA0496" w:rsidP="00AB46D2"/>
        </w:tc>
        <w:tc>
          <w:tcPr>
            <w:tcW w:w="1842" w:type="dxa"/>
          </w:tcPr>
          <w:p w:rsidR="00AA0496" w:rsidRDefault="00AA0496" w:rsidP="00AB46D2"/>
        </w:tc>
      </w:tr>
      <w:tr w:rsidR="00AA0496" w:rsidTr="00AA0496">
        <w:trPr>
          <w:cantSplit/>
          <w:trHeight w:val="2675"/>
        </w:trPr>
        <w:tc>
          <w:tcPr>
            <w:tcW w:w="3085" w:type="dxa"/>
          </w:tcPr>
          <w:p w:rsidR="00AA0496" w:rsidRPr="00350626" w:rsidRDefault="00AA0496" w:rsidP="007323B8">
            <w:pPr>
              <w:pStyle w:val="ListParagraph"/>
              <w:numPr>
                <w:ilvl w:val="0"/>
                <w:numId w:val="1"/>
              </w:numPr>
              <w:rPr>
                <w:b/>
              </w:rPr>
            </w:pPr>
            <w:r w:rsidRPr="00350626">
              <w:rPr>
                <w:b/>
              </w:rPr>
              <w:lastRenderedPageBreak/>
              <w:t>Politically Exposed Person</w:t>
            </w:r>
          </w:p>
          <w:p w:rsidR="00AA0496" w:rsidRPr="00350626" w:rsidRDefault="00AA0496">
            <w:pPr>
              <w:rPr>
                <w:i/>
              </w:rPr>
            </w:pPr>
            <w:r w:rsidRPr="00350626">
              <w:rPr>
                <w:i/>
              </w:rPr>
              <w:t>(Paragraph</w:t>
            </w:r>
            <w:r w:rsidR="0055664D" w:rsidRPr="00350626">
              <w:rPr>
                <w:i/>
              </w:rPr>
              <w:t>s</w:t>
            </w:r>
            <w:r w:rsidRPr="00350626">
              <w:rPr>
                <w:i/>
              </w:rPr>
              <w:t xml:space="preserve"> 32</w:t>
            </w:r>
            <w:r w:rsidR="0055664D" w:rsidRPr="00350626">
              <w:rPr>
                <w:i/>
              </w:rPr>
              <w:t>,33,34 and</w:t>
            </w:r>
            <w:r w:rsidR="00393686" w:rsidRPr="00350626">
              <w:rPr>
                <w:i/>
              </w:rPr>
              <w:t xml:space="preserve"> Article</w:t>
            </w:r>
            <w:r w:rsidR="0055664D" w:rsidRPr="00350626">
              <w:rPr>
                <w:i/>
              </w:rPr>
              <w:t>s</w:t>
            </w:r>
            <w:r w:rsidR="00393686" w:rsidRPr="00350626">
              <w:rPr>
                <w:i/>
              </w:rPr>
              <w:t xml:space="preserve"> 20, 22, 23</w:t>
            </w:r>
            <w:r w:rsidRPr="00350626">
              <w:rPr>
                <w:i/>
              </w:rPr>
              <w:t xml:space="preserve"> </w:t>
            </w:r>
            <w:r w:rsidR="0055664D" w:rsidRPr="00350626">
              <w:rPr>
                <w:i/>
              </w:rPr>
              <w:t>)</w:t>
            </w:r>
          </w:p>
          <w:p w:rsidR="00AA0496" w:rsidRPr="00350626" w:rsidRDefault="00AA0496"/>
          <w:p w:rsidR="00AA0496" w:rsidRPr="00350626" w:rsidRDefault="00AA0496" w:rsidP="001D68F3">
            <w:pPr>
              <w:pStyle w:val="Default"/>
              <w:rPr>
                <w:sz w:val="20"/>
                <w:szCs w:val="20"/>
              </w:rPr>
            </w:pPr>
            <w:r w:rsidRPr="00350626">
              <w:rPr>
                <w:sz w:val="20"/>
                <w:szCs w:val="20"/>
              </w:rPr>
              <w:t xml:space="preserve">Definition of PEPs is extended to include “domestic PEPs” i.e. those in prominent public positions </w:t>
            </w:r>
            <w:r w:rsidRPr="00350626">
              <w:rPr>
                <w:sz w:val="20"/>
                <w:szCs w:val="20"/>
                <w:u w:val="single"/>
              </w:rPr>
              <w:t>within the EU</w:t>
            </w:r>
            <w:r w:rsidRPr="00350626">
              <w:rPr>
                <w:sz w:val="20"/>
                <w:szCs w:val="20"/>
              </w:rPr>
              <w:t xml:space="preserve"> (eg judge, member of government, etc) as well as domestic PEPs who work for international organisations. </w:t>
            </w:r>
          </w:p>
          <w:p w:rsidR="00AA0496" w:rsidRPr="00350626" w:rsidRDefault="00AA0496" w:rsidP="001D68F3">
            <w:pPr>
              <w:pStyle w:val="Default"/>
              <w:rPr>
                <w:sz w:val="20"/>
                <w:szCs w:val="20"/>
              </w:rPr>
            </w:pPr>
          </w:p>
          <w:p w:rsidR="00AA0496" w:rsidRPr="00350626" w:rsidRDefault="00AA0496" w:rsidP="001D68F3">
            <w:pPr>
              <w:pStyle w:val="Default"/>
              <w:rPr>
                <w:sz w:val="20"/>
                <w:szCs w:val="20"/>
              </w:rPr>
            </w:pPr>
            <w:r w:rsidRPr="00350626">
              <w:rPr>
                <w:sz w:val="20"/>
                <w:szCs w:val="20"/>
              </w:rPr>
              <w:t>A “foreign PEP” is a prominent individual from outside the EU.</w:t>
            </w:r>
          </w:p>
          <w:p w:rsidR="00AA0496" w:rsidRPr="00350626" w:rsidRDefault="00AA0496" w:rsidP="001D68F3">
            <w:pPr>
              <w:pStyle w:val="Default"/>
              <w:rPr>
                <w:sz w:val="20"/>
                <w:szCs w:val="20"/>
              </w:rPr>
            </w:pPr>
          </w:p>
          <w:p w:rsidR="00AA0496" w:rsidRPr="00350626" w:rsidRDefault="00AA0496" w:rsidP="001D68F3">
            <w:pPr>
              <w:rPr>
                <w:sz w:val="20"/>
                <w:szCs w:val="20"/>
              </w:rPr>
            </w:pPr>
            <w:r w:rsidRPr="00350626">
              <w:rPr>
                <w:sz w:val="20"/>
                <w:szCs w:val="20"/>
              </w:rPr>
              <w:t xml:space="preserve">Obliged entities are required to monitor the risk posed when a person ceases to hold the title yielding PEP status for a period of at least </w:t>
            </w:r>
            <w:r w:rsidR="00393686" w:rsidRPr="00350626">
              <w:rPr>
                <w:sz w:val="20"/>
                <w:szCs w:val="20"/>
              </w:rPr>
              <w:t>12</w:t>
            </w:r>
            <w:r w:rsidRPr="00350626">
              <w:rPr>
                <w:sz w:val="20"/>
                <w:szCs w:val="20"/>
              </w:rPr>
              <w:t xml:space="preserve"> months</w:t>
            </w:r>
            <w:proofErr w:type="gramStart"/>
            <w:r w:rsidRPr="00350626">
              <w:rPr>
                <w:sz w:val="20"/>
                <w:szCs w:val="20"/>
              </w:rPr>
              <w:t>,.</w:t>
            </w:r>
            <w:proofErr w:type="gramEnd"/>
          </w:p>
          <w:p w:rsidR="00AA0496" w:rsidRPr="00350626" w:rsidRDefault="00AA0496" w:rsidP="001D68F3">
            <w:pPr>
              <w:rPr>
                <w:sz w:val="20"/>
                <w:szCs w:val="20"/>
              </w:rPr>
            </w:pPr>
          </w:p>
          <w:p w:rsidR="00393686" w:rsidRPr="00350626" w:rsidRDefault="00AA0496" w:rsidP="001D68F3">
            <w:pPr>
              <w:rPr>
                <w:sz w:val="20"/>
                <w:szCs w:val="20"/>
              </w:rPr>
            </w:pPr>
            <w:r w:rsidRPr="00350626">
              <w:rPr>
                <w:sz w:val="20"/>
                <w:szCs w:val="20"/>
              </w:rPr>
              <w:t xml:space="preserve">Note: </w:t>
            </w:r>
          </w:p>
          <w:p w:rsidR="00AA0496" w:rsidRPr="00350626" w:rsidRDefault="00AA0496" w:rsidP="001D68F3">
            <w:pPr>
              <w:rPr>
                <w:sz w:val="20"/>
                <w:szCs w:val="20"/>
              </w:rPr>
            </w:pPr>
            <w:r w:rsidRPr="00350626">
              <w:rPr>
                <w:sz w:val="20"/>
                <w:szCs w:val="20"/>
              </w:rPr>
              <w:t>should not be refusing a loan to a PEP just because they are a PEP (section 33)</w:t>
            </w:r>
          </w:p>
          <w:p w:rsidR="00393686" w:rsidRPr="00350626" w:rsidRDefault="00393686" w:rsidP="001D68F3">
            <w:r w:rsidRPr="00350626">
              <w:rPr>
                <w:sz w:val="20"/>
                <w:szCs w:val="20"/>
              </w:rPr>
              <w:t>Must do EDD on a current or past PEP</w:t>
            </w:r>
          </w:p>
          <w:p w:rsidR="00AA0496" w:rsidRPr="00350626" w:rsidRDefault="00AA0496"/>
        </w:tc>
        <w:tc>
          <w:tcPr>
            <w:tcW w:w="2410" w:type="dxa"/>
          </w:tcPr>
          <w:p w:rsidR="00AA0496" w:rsidRDefault="00AA0496"/>
        </w:tc>
        <w:tc>
          <w:tcPr>
            <w:tcW w:w="1276" w:type="dxa"/>
          </w:tcPr>
          <w:p w:rsidR="00AA0496" w:rsidRDefault="00AA0496"/>
        </w:tc>
        <w:tc>
          <w:tcPr>
            <w:tcW w:w="3118" w:type="dxa"/>
          </w:tcPr>
          <w:p w:rsidR="00AA0496" w:rsidRDefault="00AA0496"/>
        </w:tc>
        <w:tc>
          <w:tcPr>
            <w:tcW w:w="1276" w:type="dxa"/>
          </w:tcPr>
          <w:p w:rsidR="00AA0496" w:rsidRDefault="00AA0496"/>
        </w:tc>
        <w:tc>
          <w:tcPr>
            <w:tcW w:w="1276" w:type="dxa"/>
          </w:tcPr>
          <w:p w:rsidR="00AA0496" w:rsidRDefault="00AA0496"/>
        </w:tc>
        <w:tc>
          <w:tcPr>
            <w:tcW w:w="1842" w:type="dxa"/>
          </w:tcPr>
          <w:p w:rsidR="00AA0496" w:rsidRDefault="00AA0496"/>
        </w:tc>
      </w:tr>
      <w:tr w:rsidR="00AA0496" w:rsidTr="00AA0496">
        <w:trPr>
          <w:cantSplit/>
        </w:trPr>
        <w:tc>
          <w:tcPr>
            <w:tcW w:w="3085" w:type="dxa"/>
          </w:tcPr>
          <w:p w:rsidR="00AA0496" w:rsidRPr="00350626" w:rsidRDefault="00AA0496" w:rsidP="007323B8">
            <w:pPr>
              <w:pStyle w:val="Default"/>
              <w:numPr>
                <w:ilvl w:val="0"/>
                <w:numId w:val="1"/>
              </w:numPr>
              <w:rPr>
                <w:rFonts w:asciiTheme="minorHAnsi" w:hAnsiTheme="minorHAnsi" w:cstheme="minorHAnsi"/>
                <w:b/>
                <w:sz w:val="22"/>
                <w:szCs w:val="22"/>
              </w:rPr>
            </w:pPr>
            <w:r w:rsidRPr="00350626">
              <w:rPr>
                <w:rFonts w:asciiTheme="minorHAnsi" w:hAnsiTheme="minorHAnsi" w:cstheme="minorHAnsi"/>
                <w:b/>
                <w:sz w:val="22"/>
                <w:szCs w:val="22"/>
              </w:rPr>
              <w:lastRenderedPageBreak/>
              <w:t>Beneficial Ownership</w:t>
            </w:r>
          </w:p>
          <w:p w:rsidR="00AA0496" w:rsidRPr="00350626" w:rsidRDefault="00AA0496" w:rsidP="001D68F3">
            <w:pPr>
              <w:pStyle w:val="Default"/>
              <w:rPr>
                <w:rFonts w:asciiTheme="minorHAnsi" w:hAnsiTheme="minorHAnsi" w:cstheme="minorHAnsi"/>
                <w:i/>
                <w:sz w:val="22"/>
                <w:szCs w:val="22"/>
              </w:rPr>
            </w:pPr>
            <w:r w:rsidRPr="00350626">
              <w:rPr>
                <w:rFonts w:asciiTheme="minorHAnsi" w:hAnsiTheme="minorHAnsi" w:cstheme="minorHAnsi"/>
                <w:i/>
                <w:sz w:val="22"/>
                <w:szCs w:val="22"/>
              </w:rPr>
              <w:t>(paragraphs 12 to 17</w:t>
            </w:r>
            <w:r w:rsidR="00F92A27" w:rsidRPr="00350626">
              <w:rPr>
                <w:rFonts w:asciiTheme="minorHAnsi" w:hAnsiTheme="minorHAnsi" w:cstheme="minorHAnsi"/>
                <w:i/>
                <w:sz w:val="22"/>
                <w:szCs w:val="22"/>
              </w:rPr>
              <w:t>, and Chapter III</w:t>
            </w:r>
            <w:r w:rsidRPr="00350626">
              <w:rPr>
                <w:rFonts w:asciiTheme="minorHAnsi" w:hAnsiTheme="minorHAnsi" w:cstheme="minorHAnsi"/>
                <w:i/>
                <w:sz w:val="22"/>
                <w:szCs w:val="22"/>
              </w:rPr>
              <w:t>)</w:t>
            </w:r>
          </w:p>
          <w:p w:rsidR="00AA0496" w:rsidRPr="00350626" w:rsidRDefault="00AA0496" w:rsidP="001D68F3">
            <w:pPr>
              <w:pStyle w:val="Default"/>
              <w:rPr>
                <w:rFonts w:asciiTheme="minorHAnsi" w:hAnsiTheme="minorHAnsi" w:cstheme="minorHAnsi"/>
                <w:b/>
                <w:sz w:val="22"/>
                <w:szCs w:val="22"/>
              </w:rPr>
            </w:pPr>
          </w:p>
          <w:p w:rsidR="00AA0496" w:rsidRPr="00350626" w:rsidRDefault="00AA0496" w:rsidP="00DB776A">
            <w:pPr>
              <w:rPr>
                <w:sz w:val="20"/>
                <w:szCs w:val="20"/>
              </w:rPr>
            </w:pPr>
            <w:r w:rsidRPr="00350626">
              <w:rPr>
                <w:i/>
                <w:color w:val="FF0000"/>
                <w:sz w:val="20"/>
                <w:szCs w:val="20"/>
              </w:rPr>
              <w:t>[Note: get local legal advice on how beneficial ownerships applies, if at all, to your market</w:t>
            </w:r>
            <w:r w:rsidRPr="00350626">
              <w:rPr>
                <w:color w:val="FF0000"/>
                <w:sz w:val="20"/>
                <w:szCs w:val="20"/>
              </w:rPr>
              <w:t>]</w:t>
            </w:r>
          </w:p>
          <w:p w:rsidR="00AA0496" w:rsidRPr="00350626" w:rsidRDefault="00AA0496" w:rsidP="001D68F3">
            <w:pPr>
              <w:pStyle w:val="Default"/>
              <w:rPr>
                <w:rFonts w:asciiTheme="minorHAnsi" w:hAnsiTheme="minorHAnsi" w:cstheme="minorHAnsi"/>
                <w:b/>
                <w:sz w:val="22"/>
                <w:szCs w:val="22"/>
              </w:rPr>
            </w:pPr>
          </w:p>
          <w:p w:rsidR="00AA0496" w:rsidRPr="00350626" w:rsidRDefault="00AA0496" w:rsidP="001D68F3">
            <w:pPr>
              <w:pStyle w:val="Default"/>
              <w:rPr>
                <w:sz w:val="20"/>
                <w:szCs w:val="20"/>
              </w:rPr>
            </w:pPr>
            <w:r w:rsidRPr="00350626">
              <w:rPr>
                <w:sz w:val="20"/>
                <w:szCs w:val="20"/>
              </w:rPr>
              <w:t xml:space="preserve">Still required to identify parties and conduct CDD of any beneficial owner.  </w:t>
            </w:r>
          </w:p>
          <w:p w:rsidR="00AA0496" w:rsidRPr="00350626" w:rsidRDefault="00AA0496" w:rsidP="001D68F3">
            <w:pPr>
              <w:pStyle w:val="Default"/>
              <w:rPr>
                <w:sz w:val="20"/>
                <w:szCs w:val="20"/>
              </w:rPr>
            </w:pPr>
          </w:p>
          <w:p w:rsidR="00AA0496" w:rsidRPr="00350626" w:rsidRDefault="00AA0496" w:rsidP="001D68F3">
            <w:pPr>
              <w:pStyle w:val="Default"/>
              <w:rPr>
                <w:sz w:val="20"/>
                <w:szCs w:val="20"/>
              </w:rPr>
            </w:pPr>
            <w:r w:rsidRPr="00350626">
              <w:rPr>
                <w:sz w:val="20"/>
                <w:szCs w:val="20"/>
              </w:rPr>
              <w:t xml:space="preserve">Stringent requirements on obliged entities to maintain adequate, accurate and current records to prove beneficial ownership.   This information will be required to be made readily available to both competent authorities (CBI) and obliged entities on request. </w:t>
            </w:r>
          </w:p>
          <w:p w:rsidR="00AA0496" w:rsidRPr="00350626" w:rsidRDefault="00AA0496" w:rsidP="001D68F3">
            <w:pPr>
              <w:rPr>
                <w:sz w:val="20"/>
                <w:szCs w:val="20"/>
              </w:rPr>
            </w:pPr>
          </w:p>
          <w:p w:rsidR="00AA0496" w:rsidRPr="00350626" w:rsidRDefault="00AA0496" w:rsidP="001D68F3">
            <w:pPr>
              <w:rPr>
                <w:b/>
              </w:rPr>
            </w:pPr>
          </w:p>
        </w:tc>
        <w:tc>
          <w:tcPr>
            <w:tcW w:w="2410" w:type="dxa"/>
          </w:tcPr>
          <w:p w:rsidR="00AA0496" w:rsidRDefault="00AA0496"/>
        </w:tc>
        <w:tc>
          <w:tcPr>
            <w:tcW w:w="1276" w:type="dxa"/>
          </w:tcPr>
          <w:p w:rsidR="00AA0496" w:rsidRDefault="00AA0496"/>
        </w:tc>
        <w:tc>
          <w:tcPr>
            <w:tcW w:w="3118" w:type="dxa"/>
          </w:tcPr>
          <w:p w:rsidR="00AA0496" w:rsidRDefault="00AA0496"/>
        </w:tc>
        <w:tc>
          <w:tcPr>
            <w:tcW w:w="1276" w:type="dxa"/>
          </w:tcPr>
          <w:p w:rsidR="00AA0496" w:rsidRDefault="00AA0496"/>
        </w:tc>
        <w:tc>
          <w:tcPr>
            <w:tcW w:w="1276" w:type="dxa"/>
          </w:tcPr>
          <w:p w:rsidR="00AA0496" w:rsidRDefault="00AA0496"/>
        </w:tc>
        <w:tc>
          <w:tcPr>
            <w:tcW w:w="1842" w:type="dxa"/>
          </w:tcPr>
          <w:p w:rsidR="00AA0496" w:rsidRDefault="00AA0496"/>
        </w:tc>
      </w:tr>
      <w:tr w:rsidR="00AA0496" w:rsidTr="00AA0496">
        <w:trPr>
          <w:cantSplit/>
        </w:trPr>
        <w:tc>
          <w:tcPr>
            <w:tcW w:w="3085" w:type="dxa"/>
          </w:tcPr>
          <w:p w:rsidR="00AA0496" w:rsidRPr="00350626" w:rsidRDefault="00AA0496" w:rsidP="007323B8">
            <w:pPr>
              <w:pStyle w:val="ListParagraph"/>
              <w:numPr>
                <w:ilvl w:val="0"/>
                <w:numId w:val="1"/>
              </w:numPr>
              <w:rPr>
                <w:b/>
              </w:rPr>
            </w:pPr>
            <w:r w:rsidRPr="00350626">
              <w:rPr>
                <w:b/>
              </w:rPr>
              <w:lastRenderedPageBreak/>
              <w:t>On-Going Monitoring</w:t>
            </w:r>
          </w:p>
          <w:p w:rsidR="00AA0496" w:rsidRPr="00350626" w:rsidRDefault="00AA0496">
            <w:pPr>
              <w:rPr>
                <w:i/>
              </w:rPr>
            </w:pPr>
            <w:r w:rsidRPr="00350626">
              <w:rPr>
                <w:i/>
              </w:rPr>
              <w:t>(Article 13 (1d)</w:t>
            </w:r>
          </w:p>
          <w:p w:rsidR="00AA0496" w:rsidRPr="00350626" w:rsidRDefault="00AA0496"/>
          <w:p w:rsidR="00AA0496" w:rsidRPr="00350626" w:rsidRDefault="00AA0496" w:rsidP="001D68F3">
            <w:pPr>
              <w:pStyle w:val="Default"/>
              <w:rPr>
                <w:sz w:val="20"/>
                <w:szCs w:val="20"/>
              </w:rPr>
            </w:pPr>
            <w:r w:rsidRPr="00350626">
              <w:rPr>
                <w:sz w:val="20"/>
                <w:szCs w:val="20"/>
              </w:rPr>
              <w:t xml:space="preserve">The Fourth EU AML Directive is more prescriptive with respect to the on-going monitoring of customers, and will be more specific in outlining factors for consideration/evidencing in conducting risk assessments for each customer, and how these risk assessments must be kept up-to-date. </w:t>
            </w:r>
          </w:p>
          <w:p w:rsidR="00AA0496" w:rsidRPr="00350626" w:rsidRDefault="00AA0496" w:rsidP="001D68F3">
            <w:pPr>
              <w:pStyle w:val="Default"/>
              <w:rPr>
                <w:sz w:val="20"/>
                <w:szCs w:val="20"/>
              </w:rPr>
            </w:pPr>
          </w:p>
          <w:p w:rsidR="00AA0496" w:rsidRPr="00350626" w:rsidRDefault="00AA0496" w:rsidP="001D68F3">
            <w:r w:rsidRPr="00350626">
              <w:rPr>
                <w:sz w:val="20"/>
                <w:szCs w:val="20"/>
              </w:rPr>
              <w:t>This reinforces the requirement to undertake a risk based approach, and from a practical perspective, will mean that obliged entities must be able to evidence the rationale behind the risk rating applied to each customer.</w:t>
            </w:r>
          </w:p>
          <w:p w:rsidR="00AA0496" w:rsidRPr="00350626" w:rsidRDefault="00AA0496"/>
          <w:p w:rsidR="00AA0496" w:rsidRPr="00350626" w:rsidRDefault="00AA0496"/>
        </w:tc>
        <w:tc>
          <w:tcPr>
            <w:tcW w:w="2410" w:type="dxa"/>
          </w:tcPr>
          <w:p w:rsidR="00AA0496" w:rsidRDefault="00AA0496"/>
        </w:tc>
        <w:tc>
          <w:tcPr>
            <w:tcW w:w="1276" w:type="dxa"/>
          </w:tcPr>
          <w:p w:rsidR="00AA0496" w:rsidRDefault="00AA0496"/>
        </w:tc>
        <w:tc>
          <w:tcPr>
            <w:tcW w:w="3118" w:type="dxa"/>
          </w:tcPr>
          <w:p w:rsidR="00AA0496" w:rsidRDefault="00AA0496"/>
        </w:tc>
        <w:tc>
          <w:tcPr>
            <w:tcW w:w="1276" w:type="dxa"/>
          </w:tcPr>
          <w:p w:rsidR="00AA0496" w:rsidRDefault="00AA0496"/>
        </w:tc>
        <w:tc>
          <w:tcPr>
            <w:tcW w:w="1276" w:type="dxa"/>
          </w:tcPr>
          <w:p w:rsidR="00AA0496" w:rsidRDefault="00AA0496"/>
        </w:tc>
        <w:tc>
          <w:tcPr>
            <w:tcW w:w="1842" w:type="dxa"/>
          </w:tcPr>
          <w:p w:rsidR="00AA0496" w:rsidRDefault="00AA0496"/>
        </w:tc>
      </w:tr>
      <w:tr w:rsidR="00AA0496" w:rsidTr="00AA0496">
        <w:trPr>
          <w:cantSplit/>
        </w:trPr>
        <w:tc>
          <w:tcPr>
            <w:tcW w:w="3085" w:type="dxa"/>
          </w:tcPr>
          <w:p w:rsidR="00AA0496" w:rsidRPr="00350626" w:rsidRDefault="00AA0496"/>
          <w:p w:rsidR="00AA0496" w:rsidRPr="00350626" w:rsidRDefault="00AA0496" w:rsidP="007323B8">
            <w:pPr>
              <w:pStyle w:val="Default"/>
              <w:numPr>
                <w:ilvl w:val="0"/>
                <w:numId w:val="1"/>
              </w:numPr>
              <w:rPr>
                <w:rFonts w:asciiTheme="minorHAnsi" w:hAnsiTheme="minorHAnsi" w:cstheme="minorHAnsi"/>
                <w:b/>
                <w:sz w:val="22"/>
                <w:szCs w:val="22"/>
              </w:rPr>
            </w:pPr>
            <w:r w:rsidRPr="00350626">
              <w:rPr>
                <w:rFonts w:asciiTheme="minorHAnsi" w:hAnsiTheme="minorHAnsi" w:cstheme="minorHAnsi"/>
                <w:b/>
                <w:sz w:val="22"/>
                <w:szCs w:val="22"/>
              </w:rPr>
              <w:t>Data Protection</w:t>
            </w:r>
          </w:p>
          <w:p w:rsidR="00AA0496" w:rsidRPr="00350626" w:rsidRDefault="00AA0496" w:rsidP="001D68F3">
            <w:pPr>
              <w:pStyle w:val="Default"/>
              <w:rPr>
                <w:rFonts w:asciiTheme="minorHAnsi" w:hAnsiTheme="minorHAnsi" w:cstheme="minorHAnsi"/>
                <w:i/>
                <w:sz w:val="22"/>
                <w:szCs w:val="22"/>
              </w:rPr>
            </w:pPr>
            <w:r w:rsidRPr="00350626">
              <w:rPr>
                <w:rFonts w:asciiTheme="minorHAnsi" w:hAnsiTheme="minorHAnsi" w:cstheme="minorHAnsi"/>
                <w:i/>
                <w:sz w:val="22"/>
                <w:szCs w:val="22"/>
              </w:rPr>
              <w:t>(Paragraphs 42,43, 48</w:t>
            </w:r>
            <w:r w:rsidR="00786386" w:rsidRPr="00350626">
              <w:rPr>
                <w:rFonts w:asciiTheme="minorHAnsi" w:hAnsiTheme="minorHAnsi" w:cstheme="minorHAnsi"/>
                <w:i/>
                <w:sz w:val="22"/>
                <w:szCs w:val="22"/>
              </w:rPr>
              <w:t xml:space="preserve"> and Article 45(1)</w:t>
            </w:r>
          </w:p>
          <w:p w:rsidR="00AA0496" w:rsidRPr="00350626" w:rsidRDefault="00AA0496" w:rsidP="001D68F3">
            <w:pPr>
              <w:pStyle w:val="Default"/>
              <w:rPr>
                <w:sz w:val="20"/>
                <w:szCs w:val="20"/>
              </w:rPr>
            </w:pPr>
          </w:p>
          <w:p w:rsidR="00AA0496" w:rsidRPr="00350626" w:rsidRDefault="00786386" w:rsidP="001D68F3">
            <w:pPr>
              <w:pStyle w:val="Default"/>
              <w:rPr>
                <w:sz w:val="20"/>
                <w:szCs w:val="20"/>
              </w:rPr>
            </w:pPr>
            <w:r w:rsidRPr="00350626">
              <w:rPr>
                <w:sz w:val="20"/>
                <w:szCs w:val="20"/>
              </w:rPr>
              <w:t xml:space="preserve">Must have group-wide policies and </w:t>
            </w:r>
            <w:proofErr w:type="gramStart"/>
            <w:r w:rsidRPr="00350626">
              <w:rPr>
                <w:sz w:val="20"/>
                <w:szCs w:val="20"/>
              </w:rPr>
              <w:t>procedures  (</w:t>
            </w:r>
            <w:proofErr w:type="gramEnd"/>
            <w:r w:rsidRPr="00350626">
              <w:rPr>
                <w:sz w:val="20"/>
                <w:szCs w:val="20"/>
              </w:rPr>
              <w:t xml:space="preserve">including </w:t>
            </w:r>
            <w:r w:rsidR="00AA0496" w:rsidRPr="00350626">
              <w:rPr>
                <w:sz w:val="20"/>
                <w:szCs w:val="20"/>
              </w:rPr>
              <w:t>Data protection</w:t>
            </w:r>
            <w:r w:rsidRPr="00350626">
              <w:rPr>
                <w:sz w:val="20"/>
                <w:szCs w:val="20"/>
              </w:rPr>
              <w:t xml:space="preserve">) for sharing information within the Group for AML/CFT purposes </w:t>
            </w:r>
            <w:r w:rsidR="00AA0496" w:rsidRPr="00350626">
              <w:rPr>
                <w:sz w:val="20"/>
                <w:szCs w:val="20"/>
              </w:rPr>
              <w:t xml:space="preserve"> . </w:t>
            </w:r>
          </w:p>
          <w:p w:rsidR="00AA0496" w:rsidRPr="00350626" w:rsidRDefault="00AA0496" w:rsidP="001D68F3">
            <w:pPr>
              <w:pStyle w:val="Default"/>
              <w:rPr>
                <w:sz w:val="20"/>
                <w:szCs w:val="20"/>
              </w:rPr>
            </w:pPr>
          </w:p>
          <w:p w:rsidR="00AA0496" w:rsidRPr="00350626" w:rsidRDefault="00AA0496"/>
          <w:p w:rsidR="00AA0496" w:rsidRPr="00350626" w:rsidRDefault="00AA0496"/>
        </w:tc>
        <w:tc>
          <w:tcPr>
            <w:tcW w:w="2410" w:type="dxa"/>
          </w:tcPr>
          <w:p w:rsidR="00AA0496" w:rsidRDefault="00AA0496"/>
        </w:tc>
        <w:tc>
          <w:tcPr>
            <w:tcW w:w="1276" w:type="dxa"/>
          </w:tcPr>
          <w:p w:rsidR="00AA0496" w:rsidRDefault="00AA0496"/>
        </w:tc>
        <w:tc>
          <w:tcPr>
            <w:tcW w:w="3118" w:type="dxa"/>
          </w:tcPr>
          <w:p w:rsidR="00AA0496" w:rsidRDefault="00AA0496"/>
        </w:tc>
        <w:tc>
          <w:tcPr>
            <w:tcW w:w="1276" w:type="dxa"/>
          </w:tcPr>
          <w:p w:rsidR="00AA0496" w:rsidRDefault="00AA0496"/>
        </w:tc>
        <w:tc>
          <w:tcPr>
            <w:tcW w:w="1276" w:type="dxa"/>
          </w:tcPr>
          <w:p w:rsidR="00AA0496" w:rsidRDefault="00AA0496"/>
        </w:tc>
        <w:tc>
          <w:tcPr>
            <w:tcW w:w="1842" w:type="dxa"/>
          </w:tcPr>
          <w:p w:rsidR="00AA0496" w:rsidRDefault="00AA0496"/>
        </w:tc>
      </w:tr>
      <w:tr w:rsidR="00AA0496" w:rsidTr="00AA0496">
        <w:trPr>
          <w:cantSplit/>
        </w:trPr>
        <w:tc>
          <w:tcPr>
            <w:tcW w:w="3085" w:type="dxa"/>
          </w:tcPr>
          <w:p w:rsidR="00AA0496" w:rsidRPr="00350626" w:rsidRDefault="00AA0496" w:rsidP="007323B8">
            <w:pPr>
              <w:pStyle w:val="ListParagraph"/>
              <w:numPr>
                <w:ilvl w:val="0"/>
                <w:numId w:val="1"/>
              </w:numPr>
              <w:rPr>
                <w:b/>
              </w:rPr>
            </w:pPr>
            <w:r w:rsidRPr="00350626">
              <w:rPr>
                <w:b/>
              </w:rPr>
              <w:lastRenderedPageBreak/>
              <w:t>Data Retention</w:t>
            </w:r>
          </w:p>
          <w:p w:rsidR="00AA0496" w:rsidRPr="00350626" w:rsidRDefault="00AA0496">
            <w:pPr>
              <w:rPr>
                <w:i/>
              </w:rPr>
            </w:pPr>
            <w:r w:rsidRPr="00350626">
              <w:rPr>
                <w:i/>
              </w:rPr>
              <w:t>(Paragraph 44</w:t>
            </w:r>
            <w:r w:rsidR="001031BC" w:rsidRPr="00350626">
              <w:rPr>
                <w:i/>
              </w:rPr>
              <w:t xml:space="preserve">, and Article 40(1) </w:t>
            </w:r>
            <w:r w:rsidRPr="00350626">
              <w:rPr>
                <w:i/>
              </w:rPr>
              <w:t>)</w:t>
            </w:r>
          </w:p>
          <w:p w:rsidR="00AA0496" w:rsidRPr="00350626" w:rsidRDefault="00AA0496"/>
          <w:p w:rsidR="00AA0496" w:rsidRPr="00350626" w:rsidRDefault="00AA0496" w:rsidP="001D68F3">
            <w:pPr>
              <w:rPr>
                <w:sz w:val="20"/>
                <w:szCs w:val="20"/>
              </w:rPr>
            </w:pPr>
            <w:r w:rsidRPr="00350626">
              <w:rPr>
                <w:sz w:val="20"/>
                <w:szCs w:val="20"/>
              </w:rPr>
              <w:t>A maximum retention period for Customer DD documentation fixed at 5 years after the business relationship has ended (or after an occasional transaction), This period can be extended to a further 5 years if provided for under local legislation and data is required for prevention /detection of crime.</w:t>
            </w:r>
          </w:p>
          <w:p w:rsidR="00AA0496" w:rsidRPr="00350626" w:rsidRDefault="00AA0496" w:rsidP="001D68F3">
            <w:pPr>
              <w:rPr>
                <w:sz w:val="20"/>
                <w:szCs w:val="20"/>
              </w:rPr>
            </w:pPr>
          </w:p>
          <w:p w:rsidR="00AA0496" w:rsidRPr="00350626" w:rsidRDefault="00AA0496" w:rsidP="001D68F3">
            <w:pPr>
              <w:rPr>
                <w:sz w:val="20"/>
                <w:szCs w:val="20"/>
              </w:rPr>
            </w:pPr>
            <w:r w:rsidRPr="00350626">
              <w:rPr>
                <w:sz w:val="20"/>
                <w:szCs w:val="20"/>
              </w:rPr>
              <w:t>Upon expiry of the retention period, personal data [see legislation for definition or Data Protection Directive] should be deleted unless provided for by national law, and further retention is only allows if necessary for the prevention, detection or investigation of money laundering and terrorist financing.</w:t>
            </w:r>
          </w:p>
          <w:p w:rsidR="00AA0496" w:rsidRPr="00350626" w:rsidRDefault="00AA0496" w:rsidP="001D68F3">
            <w:pPr>
              <w:rPr>
                <w:sz w:val="20"/>
                <w:szCs w:val="20"/>
              </w:rPr>
            </w:pPr>
          </w:p>
          <w:p w:rsidR="00AA0496" w:rsidRPr="00350626" w:rsidRDefault="00AA0496" w:rsidP="001D68F3">
            <w:pPr>
              <w:rPr>
                <w:sz w:val="20"/>
                <w:szCs w:val="20"/>
              </w:rPr>
            </w:pPr>
          </w:p>
          <w:p w:rsidR="00AA0496" w:rsidRPr="00350626" w:rsidRDefault="00AA0496" w:rsidP="001D68F3">
            <w:pPr>
              <w:rPr>
                <w:sz w:val="20"/>
                <w:szCs w:val="20"/>
              </w:rPr>
            </w:pPr>
          </w:p>
          <w:p w:rsidR="00AA0496" w:rsidRPr="00350626" w:rsidRDefault="00AA0496" w:rsidP="001D68F3"/>
        </w:tc>
        <w:tc>
          <w:tcPr>
            <w:tcW w:w="2410" w:type="dxa"/>
          </w:tcPr>
          <w:p w:rsidR="00AA0496" w:rsidRDefault="00AA0496"/>
        </w:tc>
        <w:tc>
          <w:tcPr>
            <w:tcW w:w="1276" w:type="dxa"/>
          </w:tcPr>
          <w:p w:rsidR="00AA0496" w:rsidRDefault="00AA0496"/>
        </w:tc>
        <w:tc>
          <w:tcPr>
            <w:tcW w:w="3118" w:type="dxa"/>
          </w:tcPr>
          <w:p w:rsidR="00AA0496" w:rsidRDefault="00AA0496"/>
        </w:tc>
        <w:tc>
          <w:tcPr>
            <w:tcW w:w="1276" w:type="dxa"/>
          </w:tcPr>
          <w:p w:rsidR="00AA0496" w:rsidRDefault="00AA0496"/>
        </w:tc>
        <w:tc>
          <w:tcPr>
            <w:tcW w:w="1276" w:type="dxa"/>
          </w:tcPr>
          <w:p w:rsidR="00AA0496" w:rsidRDefault="00AA0496"/>
        </w:tc>
        <w:tc>
          <w:tcPr>
            <w:tcW w:w="1842" w:type="dxa"/>
          </w:tcPr>
          <w:p w:rsidR="00AA0496" w:rsidRDefault="00AA0496"/>
        </w:tc>
      </w:tr>
      <w:tr w:rsidR="00AA0496" w:rsidTr="00AA0496">
        <w:trPr>
          <w:cantSplit/>
        </w:trPr>
        <w:tc>
          <w:tcPr>
            <w:tcW w:w="3085" w:type="dxa"/>
          </w:tcPr>
          <w:p w:rsidR="00AA0496" w:rsidRPr="00350626" w:rsidRDefault="00AA0496" w:rsidP="007323B8">
            <w:pPr>
              <w:pStyle w:val="ListParagraph"/>
              <w:numPr>
                <w:ilvl w:val="0"/>
                <w:numId w:val="1"/>
              </w:numPr>
              <w:rPr>
                <w:b/>
              </w:rPr>
            </w:pPr>
            <w:r w:rsidRPr="00350626">
              <w:rPr>
                <w:b/>
              </w:rPr>
              <w:lastRenderedPageBreak/>
              <w:t>“Senior Management”</w:t>
            </w:r>
          </w:p>
          <w:p w:rsidR="00AA0496" w:rsidRPr="00350626" w:rsidRDefault="00AA0496">
            <w:pPr>
              <w:rPr>
                <w:b/>
              </w:rPr>
            </w:pPr>
          </w:p>
          <w:p w:rsidR="00AA0496" w:rsidRPr="00350626" w:rsidRDefault="00AA0496">
            <w:pPr>
              <w:rPr>
                <w:i/>
              </w:rPr>
            </w:pPr>
            <w:r w:rsidRPr="00350626">
              <w:rPr>
                <w:i/>
              </w:rPr>
              <w:t>(Article 3 (12)</w:t>
            </w:r>
          </w:p>
          <w:p w:rsidR="00AA0496" w:rsidRPr="00350626" w:rsidRDefault="00AA0496"/>
          <w:p w:rsidR="00AA0496" w:rsidRPr="00350626" w:rsidRDefault="00AA0496">
            <w:pPr>
              <w:rPr>
                <w:sz w:val="20"/>
                <w:szCs w:val="20"/>
              </w:rPr>
            </w:pPr>
            <w:r w:rsidRPr="00350626">
              <w:rPr>
                <w:sz w:val="20"/>
                <w:szCs w:val="20"/>
              </w:rPr>
              <w:t xml:space="preserve"> “</w:t>
            </w:r>
            <w:proofErr w:type="gramStart"/>
            <w:r w:rsidRPr="00350626">
              <w:rPr>
                <w:sz w:val="20"/>
                <w:szCs w:val="20"/>
              </w:rPr>
              <w:t>senior</w:t>
            </w:r>
            <w:proofErr w:type="gramEnd"/>
            <w:r w:rsidRPr="00350626">
              <w:rPr>
                <w:sz w:val="20"/>
                <w:szCs w:val="20"/>
              </w:rPr>
              <w:t xml:space="preserve"> management” is defined as an officer or employee with specific knowledge of the institution’s exposure to AML/CTF risk and sufficient seniority to make decisions affecting its risk exposure. </w:t>
            </w:r>
          </w:p>
          <w:p w:rsidR="00AA0496" w:rsidRPr="00350626" w:rsidRDefault="00AA0496">
            <w:pPr>
              <w:rPr>
                <w:sz w:val="20"/>
                <w:szCs w:val="20"/>
              </w:rPr>
            </w:pPr>
          </w:p>
          <w:p w:rsidR="00AA0496" w:rsidRPr="00350626" w:rsidRDefault="00AA0496">
            <w:r w:rsidRPr="00350626">
              <w:rPr>
                <w:sz w:val="20"/>
                <w:szCs w:val="20"/>
              </w:rPr>
              <w:t>This definition will therefore not be restricted to members of the Board of Directors.</w:t>
            </w:r>
          </w:p>
          <w:p w:rsidR="00AA0496" w:rsidRPr="00350626" w:rsidRDefault="00AA0496"/>
        </w:tc>
        <w:tc>
          <w:tcPr>
            <w:tcW w:w="2410" w:type="dxa"/>
          </w:tcPr>
          <w:p w:rsidR="00AA0496" w:rsidRDefault="00AA0496"/>
        </w:tc>
        <w:tc>
          <w:tcPr>
            <w:tcW w:w="1276" w:type="dxa"/>
          </w:tcPr>
          <w:p w:rsidR="00AA0496" w:rsidRDefault="00AA0496"/>
        </w:tc>
        <w:tc>
          <w:tcPr>
            <w:tcW w:w="3118" w:type="dxa"/>
          </w:tcPr>
          <w:p w:rsidR="00AA0496" w:rsidRDefault="00AA0496"/>
        </w:tc>
        <w:tc>
          <w:tcPr>
            <w:tcW w:w="1276" w:type="dxa"/>
          </w:tcPr>
          <w:p w:rsidR="00AA0496" w:rsidRDefault="00AA0496"/>
        </w:tc>
        <w:tc>
          <w:tcPr>
            <w:tcW w:w="1276" w:type="dxa"/>
          </w:tcPr>
          <w:p w:rsidR="00AA0496" w:rsidRDefault="00AA0496"/>
        </w:tc>
        <w:tc>
          <w:tcPr>
            <w:tcW w:w="1842" w:type="dxa"/>
          </w:tcPr>
          <w:p w:rsidR="00AA0496" w:rsidRDefault="00AA0496"/>
        </w:tc>
      </w:tr>
      <w:tr w:rsidR="007323B8" w:rsidTr="00AA0496">
        <w:trPr>
          <w:cantSplit/>
        </w:trPr>
        <w:tc>
          <w:tcPr>
            <w:tcW w:w="3085" w:type="dxa"/>
          </w:tcPr>
          <w:p w:rsidR="007323B8" w:rsidRPr="00350626" w:rsidRDefault="007323B8" w:rsidP="007323B8">
            <w:pPr>
              <w:pStyle w:val="ListParagraph"/>
              <w:numPr>
                <w:ilvl w:val="0"/>
                <w:numId w:val="1"/>
              </w:numPr>
              <w:rPr>
                <w:b/>
              </w:rPr>
            </w:pPr>
            <w:r w:rsidRPr="00350626">
              <w:rPr>
                <w:b/>
              </w:rPr>
              <w:t>Use of Brokers and Other Third Parties</w:t>
            </w:r>
          </w:p>
          <w:p w:rsidR="007323B8" w:rsidRPr="00350626" w:rsidRDefault="00F92A27" w:rsidP="007323B8">
            <w:pPr>
              <w:rPr>
                <w:b/>
              </w:rPr>
            </w:pPr>
            <w:r w:rsidRPr="00350626">
              <w:rPr>
                <w:b/>
              </w:rPr>
              <w:t>(</w:t>
            </w:r>
            <w:r w:rsidRPr="00350626">
              <w:rPr>
                <w:i/>
              </w:rPr>
              <w:t>Article 25 and section 4</w:t>
            </w:r>
            <w:r w:rsidRPr="00350626">
              <w:rPr>
                <w:b/>
              </w:rPr>
              <w:t>)</w:t>
            </w:r>
          </w:p>
          <w:p w:rsidR="007323B8" w:rsidRPr="00350626" w:rsidRDefault="007323B8" w:rsidP="007323B8">
            <w:pPr>
              <w:rPr>
                <w:b/>
              </w:rPr>
            </w:pPr>
          </w:p>
          <w:p w:rsidR="007323B8" w:rsidRPr="00350626" w:rsidRDefault="007323B8" w:rsidP="00F92A27">
            <w:r w:rsidRPr="00350626">
              <w:t xml:space="preserve">If </w:t>
            </w:r>
            <w:r w:rsidR="00F92A27" w:rsidRPr="00350626">
              <w:t>a company</w:t>
            </w:r>
            <w:r w:rsidRPr="00350626">
              <w:t xml:space="preserve"> use</w:t>
            </w:r>
            <w:r w:rsidR="00F92A27" w:rsidRPr="00350626">
              <w:t>s</w:t>
            </w:r>
            <w:r w:rsidRPr="00350626">
              <w:t xml:space="preserve"> a third party (eg broker) to undertake CDD on </w:t>
            </w:r>
            <w:r w:rsidR="00F92A27" w:rsidRPr="00350626">
              <w:t>its</w:t>
            </w:r>
            <w:r w:rsidRPr="00350626">
              <w:t xml:space="preserve"> behalf, the ultimate responsibility for meeting the AML requirements remains with </w:t>
            </w:r>
            <w:r w:rsidR="00F92A27" w:rsidRPr="00350626">
              <w:t>the company using the third party</w:t>
            </w:r>
          </w:p>
        </w:tc>
        <w:tc>
          <w:tcPr>
            <w:tcW w:w="2410" w:type="dxa"/>
          </w:tcPr>
          <w:p w:rsidR="007323B8" w:rsidRDefault="007323B8"/>
        </w:tc>
        <w:tc>
          <w:tcPr>
            <w:tcW w:w="1276" w:type="dxa"/>
          </w:tcPr>
          <w:p w:rsidR="007323B8" w:rsidRDefault="007323B8"/>
        </w:tc>
        <w:tc>
          <w:tcPr>
            <w:tcW w:w="3118" w:type="dxa"/>
          </w:tcPr>
          <w:p w:rsidR="007323B8" w:rsidRDefault="007323B8"/>
        </w:tc>
        <w:tc>
          <w:tcPr>
            <w:tcW w:w="1276" w:type="dxa"/>
          </w:tcPr>
          <w:p w:rsidR="007323B8" w:rsidRDefault="007323B8"/>
        </w:tc>
        <w:tc>
          <w:tcPr>
            <w:tcW w:w="1276" w:type="dxa"/>
          </w:tcPr>
          <w:p w:rsidR="007323B8" w:rsidRDefault="007323B8"/>
        </w:tc>
        <w:tc>
          <w:tcPr>
            <w:tcW w:w="1842" w:type="dxa"/>
          </w:tcPr>
          <w:p w:rsidR="007323B8" w:rsidRDefault="007323B8"/>
        </w:tc>
      </w:tr>
    </w:tbl>
    <w:p w:rsidR="00690F4E" w:rsidRDefault="00690F4E"/>
    <w:sectPr w:rsidR="00690F4E" w:rsidSect="00690F4E">
      <w:type w:val="continuous"/>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BE" w:rsidRDefault="002349BE" w:rsidP="00690F4E">
      <w:pPr>
        <w:spacing w:after="0" w:line="240" w:lineRule="auto"/>
      </w:pPr>
      <w:r>
        <w:separator/>
      </w:r>
    </w:p>
  </w:endnote>
  <w:endnote w:type="continuationSeparator" w:id="0">
    <w:p w:rsidR="002349BE" w:rsidRDefault="002349BE" w:rsidP="0069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794183"/>
      <w:docPartObj>
        <w:docPartGallery w:val="Page Numbers (Bottom of Page)"/>
        <w:docPartUnique/>
      </w:docPartObj>
    </w:sdtPr>
    <w:sdtEndPr>
      <w:rPr>
        <w:noProof/>
      </w:rPr>
    </w:sdtEndPr>
    <w:sdtContent>
      <w:p w:rsidR="00690F4E" w:rsidRDefault="00C35AF5">
        <w:pPr>
          <w:pStyle w:val="Footer"/>
          <w:jc w:val="center"/>
        </w:pPr>
        <w:r>
          <w:fldChar w:fldCharType="begin"/>
        </w:r>
        <w:r w:rsidR="00690F4E">
          <w:instrText xml:space="preserve"> PAGE   \* MERGEFORMAT </w:instrText>
        </w:r>
        <w:r>
          <w:fldChar w:fldCharType="separate"/>
        </w:r>
        <w:r w:rsidR="00E9546E">
          <w:rPr>
            <w:noProof/>
          </w:rPr>
          <w:t>1</w:t>
        </w:r>
        <w:r>
          <w:rPr>
            <w:noProof/>
          </w:rPr>
          <w:fldChar w:fldCharType="end"/>
        </w:r>
      </w:p>
    </w:sdtContent>
  </w:sdt>
  <w:p w:rsidR="00690F4E" w:rsidRDefault="00690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BE" w:rsidRDefault="002349BE" w:rsidP="00690F4E">
      <w:pPr>
        <w:spacing w:after="0" w:line="240" w:lineRule="auto"/>
      </w:pPr>
      <w:r>
        <w:separator/>
      </w:r>
    </w:p>
  </w:footnote>
  <w:footnote w:type="continuationSeparator" w:id="0">
    <w:p w:rsidR="002349BE" w:rsidRDefault="002349BE" w:rsidP="00690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4E" w:rsidRPr="00690F4E" w:rsidRDefault="00690F4E" w:rsidP="00690F4E">
    <w:pPr>
      <w:jc w:val="center"/>
      <w:rPr>
        <w:b/>
        <w:sz w:val="24"/>
        <w:szCs w:val="24"/>
      </w:rPr>
    </w:pPr>
    <w:r w:rsidRPr="00690F4E">
      <w:rPr>
        <w:b/>
        <w:sz w:val="24"/>
        <w:szCs w:val="24"/>
      </w:rPr>
      <w:t>EU 4</w:t>
    </w:r>
    <w:r w:rsidRPr="00690F4E">
      <w:rPr>
        <w:b/>
        <w:sz w:val="24"/>
        <w:szCs w:val="24"/>
        <w:vertAlign w:val="superscript"/>
      </w:rPr>
      <w:t>Th</w:t>
    </w:r>
    <w:r w:rsidRPr="00690F4E">
      <w:rPr>
        <w:b/>
        <w:sz w:val="24"/>
        <w:szCs w:val="24"/>
      </w:rPr>
      <w:t xml:space="preserve"> AML Directive – Gap Analysis</w:t>
    </w:r>
  </w:p>
  <w:p w:rsidR="00690F4E" w:rsidRDefault="00690F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1705C"/>
    <w:multiLevelType w:val="hybridMultilevel"/>
    <w:tmpl w:val="E5B852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0F4E"/>
    <w:rsid w:val="001031BC"/>
    <w:rsid w:val="00122B4D"/>
    <w:rsid w:val="001A38AB"/>
    <w:rsid w:val="001C040D"/>
    <w:rsid w:val="001D68F3"/>
    <w:rsid w:val="002349BE"/>
    <w:rsid w:val="00350626"/>
    <w:rsid w:val="00393686"/>
    <w:rsid w:val="003A7AC7"/>
    <w:rsid w:val="00425364"/>
    <w:rsid w:val="004C798C"/>
    <w:rsid w:val="005376D4"/>
    <w:rsid w:val="0055664D"/>
    <w:rsid w:val="00690F4E"/>
    <w:rsid w:val="006F4724"/>
    <w:rsid w:val="007323B8"/>
    <w:rsid w:val="00786386"/>
    <w:rsid w:val="00864211"/>
    <w:rsid w:val="00882E9E"/>
    <w:rsid w:val="00AA0496"/>
    <w:rsid w:val="00BC35C9"/>
    <w:rsid w:val="00C35AF5"/>
    <w:rsid w:val="00C801AE"/>
    <w:rsid w:val="00D535E6"/>
    <w:rsid w:val="00DB776A"/>
    <w:rsid w:val="00E9546E"/>
    <w:rsid w:val="00F4018D"/>
    <w:rsid w:val="00F92A27"/>
    <w:rsid w:val="00FA5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F4E"/>
  </w:style>
  <w:style w:type="paragraph" w:styleId="Footer">
    <w:name w:val="footer"/>
    <w:basedOn w:val="Normal"/>
    <w:link w:val="FooterChar"/>
    <w:uiPriority w:val="99"/>
    <w:unhideWhenUsed/>
    <w:rsid w:val="0069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F4E"/>
  </w:style>
  <w:style w:type="paragraph" w:customStyle="1" w:styleId="Default">
    <w:name w:val="Default"/>
    <w:rsid w:val="001D68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32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F4E"/>
  </w:style>
  <w:style w:type="paragraph" w:styleId="Footer">
    <w:name w:val="footer"/>
    <w:basedOn w:val="Normal"/>
    <w:link w:val="FooterChar"/>
    <w:uiPriority w:val="99"/>
    <w:unhideWhenUsed/>
    <w:rsid w:val="0069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F4E"/>
  </w:style>
  <w:style w:type="paragraph" w:customStyle="1" w:styleId="Default">
    <w:name w:val="Default"/>
    <w:rsid w:val="001D68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32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Personal Finance</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Karen</dc:creator>
  <cp:lastModifiedBy>User</cp:lastModifiedBy>
  <cp:revision>2</cp:revision>
  <dcterms:created xsi:type="dcterms:W3CDTF">2017-03-26T13:55:00Z</dcterms:created>
  <dcterms:modified xsi:type="dcterms:W3CDTF">2017-03-26T13:55:00Z</dcterms:modified>
</cp:coreProperties>
</file>