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4F" w:rsidRDefault="000E754F" w:rsidP="00F4413F">
      <w:pPr>
        <w:rPr>
          <w:rFonts w:ascii="Arial" w:hAnsi="Arial" w:cs="Arial"/>
          <w:b/>
          <w:bCs/>
          <w:sz w:val="24"/>
          <w:szCs w:val="24"/>
          <w:lang w:eastAsia="en-GB"/>
        </w:rPr>
      </w:pPr>
    </w:p>
    <w:p w:rsidR="000E754F" w:rsidRDefault="000E754F" w:rsidP="00F4413F">
      <w:pPr>
        <w:rPr>
          <w:rFonts w:ascii="Arial" w:hAnsi="Arial" w:cs="Arial"/>
          <w:b/>
          <w:bCs/>
          <w:sz w:val="24"/>
          <w:szCs w:val="24"/>
          <w:lang w:eastAsia="en-GB"/>
        </w:rPr>
      </w:pPr>
    </w:p>
    <w:p w:rsidR="000E754F" w:rsidRDefault="000E754F" w:rsidP="000E754F">
      <w:r>
        <w:rPr>
          <w:noProof/>
          <w:lang w:eastAsia="en-GB"/>
        </w:rPr>
        <w:drawing>
          <wp:inline distT="0" distB="0" distL="0" distR="0" wp14:anchorId="5E67F81D" wp14:editId="55A64979">
            <wp:extent cx="2333625" cy="885825"/>
            <wp:effectExtent l="0" t="0" r="9525"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85825"/>
                    </a:xfrm>
                    <a:prstGeom prst="rect">
                      <a:avLst/>
                    </a:prstGeom>
                    <a:noFill/>
                    <a:ln>
                      <a:noFill/>
                    </a:ln>
                  </pic:spPr>
                </pic:pic>
              </a:graphicData>
            </a:graphic>
          </wp:inline>
        </w:drawing>
      </w:r>
    </w:p>
    <w:p w:rsidR="000E754F" w:rsidRDefault="000E754F" w:rsidP="000E754F"/>
    <w:p w:rsidR="00AF41D0" w:rsidRDefault="00AF41D0" w:rsidP="00F4413F">
      <w:pPr>
        <w:rPr>
          <w:rFonts w:ascii="Arial" w:hAnsi="Arial" w:cs="Arial"/>
          <w:b/>
          <w:bCs/>
          <w:sz w:val="24"/>
          <w:szCs w:val="24"/>
          <w:lang w:eastAsia="en-GB"/>
        </w:rPr>
      </w:pPr>
    </w:p>
    <w:p w:rsidR="00AF41D0" w:rsidRDefault="00AF41D0" w:rsidP="00F4413F">
      <w:pPr>
        <w:rPr>
          <w:rFonts w:ascii="Arial" w:hAnsi="Arial" w:cs="Arial"/>
          <w:b/>
          <w:bCs/>
          <w:sz w:val="24"/>
          <w:szCs w:val="24"/>
          <w:lang w:eastAsia="en-GB"/>
        </w:rPr>
      </w:pPr>
    </w:p>
    <w:p w:rsidR="00AF41D0" w:rsidRDefault="00AF41D0" w:rsidP="00F4413F">
      <w:pPr>
        <w:rPr>
          <w:rFonts w:ascii="Arial" w:hAnsi="Arial" w:cs="Arial"/>
          <w:b/>
          <w:bCs/>
          <w:sz w:val="24"/>
          <w:szCs w:val="24"/>
          <w:lang w:eastAsia="en-GB"/>
        </w:rPr>
      </w:pPr>
    </w:p>
    <w:p w:rsidR="00AF41D0" w:rsidRPr="000E754F" w:rsidRDefault="00AF41D0" w:rsidP="00F4413F">
      <w:pPr>
        <w:rPr>
          <w:rFonts w:ascii="Arial" w:hAnsi="Arial" w:cs="Arial"/>
          <w:b/>
          <w:bCs/>
          <w:sz w:val="36"/>
          <w:szCs w:val="36"/>
          <w:lang w:eastAsia="en-GB"/>
        </w:rPr>
      </w:pPr>
    </w:p>
    <w:p w:rsidR="00AF41D0" w:rsidRPr="000E754F" w:rsidRDefault="00AF41D0" w:rsidP="00F4413F">
      <w:pPr>
        <w:rPr>
          <w:rFonts w:ascii="Arial" w:hAnsi="Arial" w:cs="Arial"/>
          <w:b/>
          <w:bCs/>
          <w:sz w:val="36"/>
          <w:szCs w:val="36"/>
          <w:lang w:eastAsia="en-GB"/>
        </w:rPr>
      </w:pPr>
    </w:p>
    <w:p w:rsidR="00F4413F" w:rsidRPr="00274A55" w:rsidRDefault="00514FDA" w:rsidP="00F4413F">
      <w:pPr>
        <w:rPr>
          <w:sz w:val="40"/>
          <w:szCs w:val="40"/>
        </w:rPr>
      </w:pPr>
      <w:r>
        <w:rPr>
          <w:rFonts w:ascii="Arial" w:hAnsi="Arial" w:cs="Arial"/>
          <w:b/>
          <w:bCs/>
          <w:sz w:val="40"/>
          <w:szCs w:val="40"/>
          <w:lang w:eastAsia="en-GB"/>
        </w:rPr>
        <w:t>Brent Pension Fund</w:t>
      </w:r>
    </w:p>
    <w:p w:rsidR="00C133FA" w:rsidRPr="00274A55" w:rsidRDefault="00C133FA" w:rsidP="00F4413F">
      <w:pPr>
        <w:rPr>
          <w:rFonts w:ascii="Arial" w:hAnsi="Arial" w:cs="Arial"/>
          <w:b/>
          <w:sz w:val="40"/>
          <w:szCs w:val="40"/>
        </w:rPr>
      </w:pPr>
    </w:p>
    <w:p w:rsidR="00AF41D0" w:rsidRPr="00274A55" w:rsidRDefault="00F4413F" w:rsidP="00F4413F">
      <w:pPr>
        <w:rPr>
          <w:rFonts w:ascii="Arial" w:hAnsi="Arial" w:cs="Arial"/>
          <w:b/>
          <w:sz w:val="40"/>
          <w:szCs w:val="40"/>
        </w:rPr>
      </w:pPr>
      <w:r w:rsidRPr="00274A55">
        <w:rPr>
          <w:rFonts w:ascii="Arial" w:hAnsi="Arial" w:cs="Arial"/>
          <w:b/>
          <w:sz w:val="40"/>
          <w:szCs w:val="40"/>
        </w:rPr>
        <w:t>Annual Report</w:t>
      </w:r>
      <w:r w:rsidR="004D01D5" w:rsidRPr="00274A55">
        <w:rPr>
          <w:rFonts w:ascii="Arial" w:hAnsi="Arial" w:cs="Arial"/>
          <w:b/>
          <w:sz w:val="40"/>
          <w:szCs w:val="40"/>
        </w:rPr>
        <w:t xml:space="preserve"> and Accounts </w:t>
      </w:r>
      <w:r w:rsidR="00E862F3">
        <w:rPr>
          <w:rFonts w:ascii="Arial" w:hAnsi="Arial" w:cs="Arial"/>
          <w:b/>
          <w:sz w:val="40"/>
          <w:szCs w:val="40"/>
        </w:rPr>
        <w:t>2012/</w:t>
      </w:r>
      <w:r w:rsidRPr="00274A55">
        <w:rPr>
          <w:rFonts w:ascii="Arial" w:hAnsi="Arial" w:cs="Arial"/>
          <w:b/>
          <w:sz w:val="40"/>
          <w:szCs w:val="40"/>
        </w:rPr>
        <w:t>13</w:t>
      </w:r>
    </w:p>
    <w:p w:rsidR="00F37AB3" w:rsidRPr="003A6F65" w:rsidRDefault="00F37AB3">
      <w:pPr>
        <w:rPr>
          <w:rFonts w:ascii="Arial" w:hAnsi="Arial" w:cs="Arial"/>
          <w:b/>
          <w:sz w:val="24"/>
          <w:szCs w:val="24"/>
        </w:rPr>
      </w:pPr>
    </w:p>
    <w:p w:rsidR="00AF41D0" w:rsidRPr="00274A55" w:rsidRDefault="00F37AB3" w:rsidP="00F37AB3">
      <w:pPr>
        <w:rPr>
          <w:rFonts w:ascii="Arial" w:hAnsi="Arial" w:cs="Arial"/>
          <w:b/>
          <w:sz w:val="40"/>
          <w:szCs w:val="40"/>
        </w:rPr>
      </w:pPr>
      <w:r w:rsidRPr="003A6F65">
        <w:rPr>
          <w:rFonts w:ascii="Arial" w:hAnsi="Arial" w:cs="Arial"/>
          <w:sz w:val="24"/>
          <w:szCs w:val="24"/>
        </w:rPr>
        <w:t xml:space="preserve">Pensions Regulator Scheme Number: </w:t>
      </w:r>
      <w:r w:rsidR="003A6F65" w:rsidRPr="003A6F65">
        <w:rPr>
          <w:rFonts w:ascii="Arial" w:hAnsi="Arial" w:cs="Arial"/>
          <w:sz w:val="24"/>
          <w:szCs w:val="24"/>
        </w:rPr>
        <w:t>10272080</w:t>
      </w:r>
      <w:r w:rsidR="00AF41D0" w:rsidRPr="00274A55">
        <w:rPr>
          <w:rFonts w:ascii="Arial" w:hAnsi="Arial" w:cs="Arial"/>
          <w:b/>
          <w:sz w:val="40"/>
          <w:szCs w:val="40"/>
        </w:rPr>
        <w:br w:type="page"/>
      </w:r>
    </w:p>
    <w:p w:rsidR="004D01D5" w:rsidRPr="00274A55" w:rsidRDefault="00631EBA" w:rsidP="00F4413F">
      <w:pPr>
        <w:rPr>
          <w:rFonts w:ascii="Arial" w:hAnsi="Arial" w:cs="Arial"/>
          <w:b/>
          <w:sz w:val="32"/>
          <w:szCs w:val="32"/>
        </w:rPr>
      </w:pPr>
      <w:r w:rsidRPr="00274A55">
        <w:rPr>
          <w:rFonts w:ascii="Arial" w:hAnsi="Arial" w:cs="Arial"/>
          <w:b/>
          <w:sz w:val="32"/>
          <w:szCs w:val="32"/>
        </w:rPr>
        <w:lastRenderedPageBreak/>
        <w:t>Contents</w:t>
      </w:r>
    </w:p>
    <w:p w:rsidR="00631EBA" w:rsidRPr="00631EBA" w:rsidRDefault="00631EBA" w:rsidP="00F4413F">
      <w:pPr>
        <w:rPr>
          <w:rFonts w:ascii="Arial" w:hAnsi="Arial" w:cs="Arial"/>
          <w:b/>
          <w:sz w:val="24"/>
          <w:szCs w:val="24"/>
        </w:rPr>
      </w:pPr>
    </w:p>
    <w:p w:rsidR="00631EBA" w:rsidRPr="00631EBA" w:rsidRDefault="00631EBA" w:rsidP="00F4413F">
      <w:pPr>
        <w:rPr>
          <w:rFonts w:ascii="Arial" w:hAnsi="Arial" w:cs="Arial"/>
          <w:b/>
          <w:sz w:val="24"/>
          <w:szCs w:val="24"/>
        </w:rPr>
      </w:pPr>
    </w:p>
    <w:p w:rsidR="00631EBA" w:rsidRDefault="00631EBA" w:rsidP="005C170C">
      <w:pPr>
        <w:ind w:left="5040" w:firstLine="720"/>
        <w:rPr>
          <w:rFonts w:ascii="Arial" w:hAnsi="Arial" w:cs="Arial"/>
          <w:sz w:val="24"/>
          <w:szCs w:val="24"/>
        </w:rPr>
      </w:pPr>
      <w:r w:rsidRPr="00631EBA">
        <w:rPr>
          <w:rFonts w:ascii="Arial" w:hAnsi="Arial" w:cs="Arial"/>
          <w:sz w:val="24"/>
          <w:szCs w:val="24"/>
        </w:rPr>
        <w:t>Page</w:t>
      </w:r>
      <w:r w:rsidR="005C170C">
        <w:rPr>
          <w:rFonts w:ascii="Arial" w:hAnsi="Arial" w:cs="Arial"/>
          <w:sz w:val="24"/>
          <w:szCs w:val="24"/>
        </w:rPr>
        <w:t xml:space="preserve"> no.</w:t>
      </w:r>
    </w:p>
    <w:p w:rsidR="00631EBA" w:rsidRDefault="00631EBA" w:rsidP="00F4413F">
      <w:pPr>
        <w:rPr>
          <w:rFonts w:ascii="Arial" w:hAnsi="Arial" w:cs="Arial"/>
          <w:sz w:val="24"/>
          <w:szCs w:val="24"/>
        </w:rPr>
      </w:pPr>
    </w:p>
    <w:p w:rsidR="005C170C" w:rsidRPr="00F6089D" w:rsidRDefault="005C170C" w:rsidP="00F4413F">
      <w:pPr>
        <w:rPr>
          <w:rFonts w:ascii="Arial" w:hAnsi="Arial" w:cs="Arial"/>
          <w:b/>
          <w:sz w:val="24"/>
          <w:szCs w:val="24"/>
        </w:rPr>
      </w:pPr>
      <w:r w:rsidRPr="00F6089D">
        <w:rPr>
          <w:rFonts w:ascii="Arial" w:hAnsi="Arial" w:cs="Arial"/>
          <w:b/>
          <w:sz w:val="24"/>
          <w:szCs w:val="24"/>
        </w:rPr>
        <w:t>The report</w:t>
      </w:r>
    </w:p>
    <w:p w:rsidR="00631EBA" w:rsidRDefault="002235F3" w:rsidP="00F4413F">
      <w:pPr>
        <w:rPr>
          <w:rFonts w:ascii="Arial" w:hAnsi="Arial" w:cs="Arial"/>
          <w:sz w:val="24"/>
          <w:szCs w:val="24"/>
        </w:rPr>
      </w:pPr>
      <w:r>
        <w:rPr>
          <w:rFonts w:ascii="Arial" w:hAnsi="Arial" w:cs="Arial"/>
          <w:sz w:val="24"/>
          <w:szCs w:val="24"/>
        </w:rPr>
        <w:t xml:space="preserve">Chairman’s </w:t>
      </w:r>
      <w:r w:rsidR="00631EBA">
        <w:rPr>
          <w:rFonts w:ascii="Arial" w:hAnsi="Arial" w:cs="Arial"/>
          <w:sz w:val="24"/>
          <w:szCs w:val="24"/>
        </w:rPr>
        <w:t>Foreword</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7A1E83">
        <w:rPr>
          <w:rFonts w:ascii="Arial" w:hAnsi="Arial" w:cs="Arial"/>
          <w:sz w:val="24"/>
          <w:szCs w:val="24"/>
        </w:rPr>
        <w:t xml:space="preserve"> </w:t>
      </w:r>
      <w:r w:rsidR="007560D5">
        <w:rPr>
          <w:rFonts w:ascii="Arial" w:hAnsi="Arial" w:cs="Arial"/>
          <w:sz w:val="24"/>
          <w:szCs w:val="24"/>
        </w:rPr>
        <w:t>3</w:t>
      </w:r>
    </w:p>
    <w:p w:rsidR="00052D32" w:rsidRDefault="00631EBA" w:rsidP="00F4413F">
      <w:pPr>
        <w:rPr>
          <w:rFonts w:ascii="Arial" w:hAnsi="Arial" w:cs="Arial"/>
          <w:sz w:val="24"/>
          <w:szCs w:val="24"/>
        </w:rPr>
      </w:pPr>
      <w:r>
        <w:rPr>
          <w:rFonts w:ascii="Arial" w:hAnsi="Arial" w:cs="Arial"/>
          <w:sz w:val="24"/>
          <w:szCs w:val="24"/>
        </w:rPr>
        <w:t xml:space="preserve">Management </w:t>
      </w:r>
      <w:r w:rsidR="00C05731">
        <w:rPr>
          <w:rFonts w:ascii="Arial" w:hAnsi="Arial" w:cs="Arial"/>
          <w:sz w:val="24"/>
          <w:szCs w:val="24"/>
        </w:rPr>
        <w:t>S</w:t>
      </w:r>
      <w:r w:rsidR="00052D32">
        <w:rPr>
          <w:rFonts w:ascii="Arial" w:hAnsi="Arial" w:cs="Arial"/>
          <w:sz w:val="24"/>
          <w:szCs w:val="24"/>
        </w:rPr>
        <w:t>tructure</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7A1E83">
        <w:rPr>
          <w:rFonts w:ascii="Arial" w:hAnsi="Arial" w:cs="Arial"/>
          <w:sz w:val="24"/>
          <w:szCs w:val="24"/>
        </w:rPr>
        <w:t xml:space="preserve"> </w:t>
      </w:r>
      <w:r w:rsidR="00FC19B8">
        <w:rPr>
          <w:rFonts w:ascii="Arial" w:hAnsi="Arial" w:cs="Arial"/>
          <w:sz w:val="24"/>
          <w:szCs w:val="24"/>
        </w:rPr>
        <w:t>5</w:t>
      </w:r>
    </w:p>
    <w:p w:rsidR="005C256F" w:rsidRDefault="00752045" w:rsidP="00F4413F">
      <w:pPr>
        <w:rPr>
          <w:rFonts w:ascii="Arial" w:hAnsi="Arial" w:cs="Arial"/>
          <w:sz w:val="24"/>
          <w:szCs w:val="24"/>
        </w:rPr>
      </w:pPr>
      <w:r>
        <w:rPr>
          <w:rFonts w:ascii="Arial" w:hAnsi="Arial" w:cs="Arial"/>
          <w:sz w:val="24"/>
          <w:szCs w:val="24"/>
        </w:rPr>
        <w:t>The Local Government Pension Scheme</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7A1E83">
        <w:rPr>
          <w:rFonts w:ascii="Arial" w:hAnsi="Arial" w:cs="Arial"/>
          <w:sz w:val="24"/>
          <w:szCs w:val="24"/>
        </w:rPr>
        <w:t xml:space="preserve"> </w:t>
      </w:r>
      <w:r w:rsidR="00FC19B8">
        <w:rPr>
          <w:rFonts w:ascii="Arial" w:hAnsi="Arial" w:cs="Arial"/>
          <w:sz w:val="24"/>
          <w:szCs w:val="24"/>
        </w:rPr>
        <w:t>6</w:t>
      </w:r>
    </w:p>
    <w:p w:rsidR="00B412C4" w:rsidRDefault="00752045" w:rsidP="001E095A">
      <w:pPr>
        <w:rPr>
          <w:rFonts w:ascii="Arial" w:hAnsi="Arial" w:cs="Arial"/>
          <w:sz w:val="24"/>
          <w:szCs w:val="24"/>
        </w:rPr>
      </w:pPr>
      <w:r>
        <w:rPr>
          <w:rFonts w:ascii="Arial" w:hAnsi="Arial" w:cs="Arial"/>
          <w:sz w:val="24"/>
          <w:szCs w:val="24"/>
        </w:rPr>
        <w:t>Governance</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7A1E83">
        <w:rPr>
          <w:rFonts w:ascii="Arial" w:hAnsi="Arial" w:cs="Arial"/>
          <w:sz w:val="24"/>
          <w:szCs w:val="24"/>
        </w:rPr>
        <w:t xml:space="preserve"> </w:t>
      </w:r>
      <w:r w:rsidR="00FC19B8">
        <w:rPr>
          <w:rFonts w:ascii="Arial" w:hAnsi="Arial" w:cs="Arial"/>
          <w:sz w:val="24"/>
          <w:szCs w:val="24"/>
        </w:rPr>
        <w:t>7</w:t>
      </w:r>
    </w:p>
    <w:p w:rsidR="000F30DF" w:rsidRDefault="000F30DF" w:rsidP="000F30DF">
      <w:pPr>
        <w:rPr>
          <w:rFonts w:ascii="Arial" w:hAnsi="Arial" w:cs="Arial"/>
          <w:sz w:val="24"/>
          <w:szCs w:val="24"/>
        </w:rPr>
      </w:pPr>
      <w:r>
        <w:rPr>
          <w:rFonts w:ascii="Arial" w:hAnsi="Arial" w:cs="Arial"/>
          <w:sz w:val="24"/>
          <w:szCs w:val="24"/>
        </w:rPr>
        <w:t>Scheme Administration</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7A1E83">
        <w:rPr>
          <w:rFonts w:ascii="Arial" w:hAnsi="Arial" w:cs="Arial"/>
          <w:sz w:val="24"/>
          <w:szCs w:val="24"/>
        </w:rPr>
        <w:t>10</w:t>
      </w:r>
    </w:p>
    <w:p w:rsidR="008270E3" w:rsidRDefault="008270E3" w:rsidP="008270E3">
      <w:pPr>
        <w:rPr>
          <w:rFonts w:ascii="Arial" w:hAnsi="Arial" w:cs="Arial"/>
          <w:sz w:val="24"/>
          <w:szCs w:val="24"/>
        </w:rPr>
      </w:pPr>
      <w:r w:rsidRPr="007F0DDB">
        <w:rPr>
          <w:rFonts w:ascii="Arial" w:hAnsi="Arial" w:cs="Arial"/>
          <w:sz w:val="24"/>
          <w:szCs w:val="24"/>
        </w:rPr>
        <w:t>Communications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177501" w:rsidRDefault="00177501" w:rsidP="007F0DDB">
      <w:pPr>
        <w:rPr>
          <w:rFonts w:ascii="Arial" w:hAnsi="Arial" w:cs="Arial"/>
          <w:sz w:val="24"/>
          <w:szCs w:val="24"/>
        </w:rPr>
      </w:pPr>
      <w:r>
        <w:rPr>
          <w:rFonts w:ascii="Arial" w:hAnsi="Arial" w:cs="Arial"/>
          <w:sz w:val="24"/>
          <w:szCs w:val="24"/>
        </w:rPr>
        <w:t xml:space="preserve">Actuarial </w:t>
      </w:r>
      <w:r w:rsidR="009D2D68">
        <w:rPr>
          <w:rFonts w:ascii="Arial" w:hAnsi="Arial" w:cs="Arial"/>
          <w:sz w:val="24"/>
          <w:szCs w:val="24"/>
        </w:rPr>
        <w:t>P</w:t>
      </w:r>
      <w:r w:rsidR="00C641E8">
        <w:rPr>
          <w:rFonts w:ascii="Arial" w:hAnsi="Arial" w:cs="Arial"/>
          <w:sz w:val="24"/>
          <w:szCs w:val="24"/>
        </w:rPr>
        <w:t>osition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1E83">
        <w:rPr>
          <w:rFonts w:ascii="Arial" w:hAnsi="Arial" w:cs="Arial"/>
          <w:sz w:val="24"/>
          <w:szCs w:val="24"/>
        </w:rPr>
        <w:t>12</w:t>
      </w:r>
    </w:p>
    <w:p w:rsidR="00ED43CD" w:rsidRDefault="00CA7B6C" w:rsidP="001E095A">
      <w:pPr>
        <w:rPr>
          <w:rFonts w:ascii="Arial" w:hAnsi="Arial" w:cs="Arial"/>
          <w:sz w:val="24"/>
          <w:szCs w:val="24"/>
        </w:rPr>
      </w:pPr>
      <w:r>
        <w:rPr>
          <w:rFonts w:ascii="Arial" w:hAnsi="Arial" w:cs="Arial"/>
          <w:sz w:val="24"/>
          <w:szCs w:val="24"/>
        </w:rPr>
        <w:t xml:space="preserve">Investment Review </w:t>
      </w:r>
      <w:r w:rsidR="00ED43CD">
        <w:rPr>
          <w:rFonts w:ascii="Arial" w:hAnsi="Arial" w:cs="Arial"/>
          <w:sz w:val="24"/>
          <w:szCs w:val="24"/>
        </w:rPr>
        <w:t>20</w:t>
      </w:r>
      <w:r>
        <w:rPr>
          <w:rFonts w:ascii="Arial" w:hAnsi="Arial" w:cs="Arial"/>
          <w:sz w:val="24"/>
          <w:szCs w:val="24"/>
        </w:rPr>
        <w:t>12/</w:t>
      </w:r>
      <w:r w:rsidR="00ED43CD">
        <w:rPr>
          <w:rFonts w:ascii="Arial" w:hAnsi="Arial" w:cs="Arial"/>
          <w:sz w:val="24"/>
          <w:szCs w:val="24"/>
        </w:rPr>
        <w:t>13</w:t>
      </w:r>
      <w:r w:rsidR="00ED43CD">
        <w:rPr>
          <w:rFonts w:ascii="Arial" w:hAnsi="Arial" w:cs="Arial"/>
          <w:sz w:val="24"/>
          <w:szCs w:val="24"/>
        </w:rPr>
        <w:tab/>
      </w:r>
      <w:r w:rsidR="00ED43CD">
        <w:rPr>
          <w:rFonts w:ascii="Arial" w:hAnsi="Arial" w:cs="Arial"/>
          <w:sz w:val="24"/>
          <w:szCs w:val="24"/>
        </w:rPr>
        <w:tab/>
      </w:r>
      <w:r w:rsidR="00ED43CD">
        <w:rPr>
          <w:rFonts w:ascii="Arial" w:hAnsi="Arial" w:cs="Arial"/>
          <w:sz w:val="24"/>
          <w:szCs w:val="24"/>
        </w:rPr>
        <w:tab/>
      </w:r>
      <w:r w:rsidR="00ED43CD">
        <w:rPr>
          <w:rFonts w:ascii="Arial" w:hAnsi="Arial" w:cs="Arial"/>
          <w:sz w:val="24"/>
          <w:szCs w:val="24"/>
        </w:rPr>
        <w:tab/>
      </w:r>
      <w:r w:rsidR="00ED43CD">
        <w:rPr>
          <w:rFonts w:ascii="Arial" w:hAnsi="Arial" w:cs="Arial"/>
          <w:sz w:val="24"/>
          <w:szCs w:val="24"/>
        </w:rPr>
        <w:tab/>
      </w:r>
      <w:r w:rsidR="00567955">
        <w:rPr>
          <w:rFonts w:ascii="Arial" w:hAnsi="Arial" w:cs="Arial"/>
          <w:sz w:val="24"/>
          <w:szCs w:val="24"/>
        </w:rPr>
        <w:t>13</w:t>
      </w:r>
    </w:p>
    <w:p w:rsidR="001E095A" w:rsidRDefault="001E095A" w:rsidP="001E095A">
      <w:pPr>
        <w:rPr>
          <w:rFonts w:ascii="Arial" w:hAnsi="Arial" w:cs="Arial"/>
          <w:sz w:val="24"/>
          <w:szCs w:val="24"/>
        </w:rPr>
      </w:pPr>
      <w:r>
        <w:rPr>
          <w:rFonts w:ascii="Arial" w:hAnsi="Arial" w:cs="Arial"/>
          <w:sz w:val="24"/>
          <w:szCs w:val="24"/>
        </w:rPr>
        <w:t>Investment Policy and Performance</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3D4C63">
        <w:rPr>
          <w:rFonts w:ascii="Arial" w:hAnsi="Arial" w:cs="Arial"/>
          <w:sz w:val="24"/>
          <w:szCs w:val="24"/>
        </w:rPr>
        <w:t>15</w:t>
      </w:r>
    </w:p>
    <w:p w:rsidR="000F30DF" w:rsidRDefault="00CB0F0B" w:rsidP="00910E50">
      <w:pPr>
        <w:rPr>
          <w:rFonts w:ascii="Arial" w:hAnsi="Arial" w:cs="Arial"/>
          <w:sz w:val="24"/>
          <w:szCs w:val="24"/>
          <w:highlight w:val="yellow"/>
        </w:rPr>
      </w:pPr>
      <w:r>
        <w:rPr>
          <w:rFonts w:ascii="Arial" w:hAnsi="Arial" w:cs="Arial"/>
          <w:sz w:val="24"/>
          <w:szCs w:val="24"/>
        </w:rPr>
        <w:t xml:space="preserve">Pension Fund Accounts for 2012/13 </w:t>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5C170C">
        <w:rPr>
          <w:rFonts w:ascii="Arial" w:hAnsi="Arial" w:cs="Arial"/>
          <w:sz w:val="24"/>
          <w:szCs w:val="24"/>
        </w:rPr>
        <w:tab/>
      </w:r>
      <w:r w:rsidR="00122895" w:rsidRPr="00122895">
        <w:rPr>
          <w:rFonts w:ascii="Arial" w:hAnsi="Arial" w:cs="Arial"/>
          <w:sz w:val="24"/>
          <w:szCs w:val="24"/>
        </w:rPr>
        <w:t>18</w:t>
      </w:r>
    </w:p>
    <w:p w:rsidR="00177B14" w:rsidRDefault="00177B14" w:rsidP="00910E50">
      <w:pPr>
        <w:rPr>
          <w:rFonts w:ascii="Arial" w:hAnsi="Arial" w:cs="Arial"/>
          <w:sz w:val="24"/>
          <w:szCs w:val="24"/>
        </w:rPr>
      </w:pPr>
      <w:r>
        <w:rPr>
          <w:rFonts w:ascii="Arial" w:hAnsi="Arial" w:cs="Arial"/>
          <w:sz w:val="24"/>
          <w:szCs w:val="24"/>
        </w:rPr>
        <w:t>Statement of Responsibilities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372D">
        <w:rPr>
          <w:rFonts w:ascii="Arial" w:hAnsi="Arial" w:cs="Arial"/>
          <w:sz w:val="24"/>
          <w:szCs w:val="24"/>
        </w:rPr>
        <w:t>55</w:t>
      </w:r>
    </w:p>
    <w:p w:rsidR="00564A93" w:rsidRPr="006A72A8" w:rsidRDefault="00564A93" w:rsidP="00910E50">
      <w:pPr>
        <w:rPr>
          <w:rFonts w:ascii="Arial" w:hAnsi="Arial" w:cs="Arial"/>
          <w:sz w:val="24"/>
          <w:szCs w:val="24"/>
          <w:highlight w:val="yellow"/>
        </w:rPr>
      </w:pPr>
      <w:r w:rsidRPr="00564A93">
        <w:rPr>
          <w:rFonts w:ascii="Arial" w:hAnsi="Arial" w:cs="Arial"/>
          <w:sz w:val="24"/>
          <w:szCs w:val="24"/>
        </w:rPr>
        <w:t>Independent Auditor’s Report</w:t>
      </w:r>
      <w:r w:rsidRPr="00564A93">
        <w:rPr>
          <w:rFonts w:ascii="Arial" w:hAnsi="Arial" w:cs="Arial"/>
          <w:sz w:val="24"/>
          <w:szCs w:val="24"/>
        </w:rPr>
        <w:tab/>
      </w:r>
      <w:r w:rsidRPr="00564A93">
        <w:rPr>
          <w:rFonts w:ascii="Arial" w:hAnsi="Arial" w:cs="Arial"/>
          <w:sz w:val="24"/>
          <w:szCs w:val="24"/>
        </w:rPr>
        <w:tab/>
      </w:r>
      <w:r w:rsidRPr="00564A93">
        <w:rPr>
          <w:rFonts w:ascii="Arial" w:hAnsi="Arial" w:cs="Arial"/>
          <w:sz w:val="24"/>
          <w:szCs w:val="24"/>
        </w:rPr>
        <w:tab/>
      </w:r>
      <w:r w:rsidRPr="00564A93">
        <w:rPr>
          <w:rFonts w:ascii="Arial" w:hAnsi="Arial" w:cs="Arial"/>
          <w:sz w:val="24"/>
          <w:szCs w:val="24"/>
        </w:rPr>
        <w:tab/>
      </w:r>
      <w:r w:rsidRPr="00564A93">
        <w:rPr>
          <w:rFonts w:ascii="Arial" w:hAnsi="Arial" w:cs="Arial"/>
          <w:sz w:val="24"/>
          <w:szCs w:val="24"/>
        </w:rPr>
        <w:tab/>
      </w:r>
      <w:r w:rsidR="00C5372D">
        <w:rPr>
          <w:rFonts w:ascii="Arial" w:hAnsi="Arial" w:cs="Arial"/>
          <w:sz w:val="24"/>
          <w:szCs w:val="24"/>
        </w:rPr>
        <w:t>56</w:t>
      </w:r>
    </w:p>
    <w:p w:rsidR="005C170C" w:rsidRDefault="005C170C">
      <w:pPr>
        <w:rPr>
          <w:rFonts w:ascii="Arial" w:hAnsi="Arial" w:cs="Arial"/>
          <w:sz w:val="24"/>
          <w:szCs w:val="24"/>
        </w:rPr>
      </w:pPr>
    </w:p>
    <w:p w:rsidR="005C170C" w:rsidRPr="00F6089D" w:rsidRDefault="00F6089D">
      <w:pPr>
        <w:rPr>
          <w:rFonts w:ascii="Arial" w:hAnsi="Arial" w:cs="Arial"/>
          <w:b/>
          <w:sz w:val="24"/>
          <w:szCs w:val="24"/>
        </w:rPr>
      </w:pPr>
      <w:r w:rsidRPr="00F6089D">
        <w:rPr>
          <w:rFonts w:ascii="Arial" w:hAnsi="Arial" w:cs="Arial"/>
          <w:b/>
          <w:sz w:val="24"/>
          <w:szCs w:val="24"/>
        </w:rPr>
        <w:t>Appendices</w:t>
      </w:r>
    </w:p>
    <w:p w:rsidR="005C170C" w:rsidRDefault="005C170C" w:rsidP="005C170C">
      <w:pPr>
        <w:rPr>
          <w:rFonts w:ascii="Arial" w:hAnsi="Arial" w:cs="Arial"/>
          <w:sz w:val="24"/>
          <w:szCs w:val="24"/>
        </w:rPr>
      </w:pPr>
      <w:r>
        <w:rPr>
          <w:rFonts w:ascii="Arial" w:hAnsi="Arial" w:cs="Arial"/>
          <w:sz w:val="24"/>
          <w:szCs w:val="24"/>
        </w:rPr>
        <w:t>Annual Governance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372D">
        <w:rPr>
          <w:rFonts w:ascii="Arial" w:hAnsi="Arial" w:cs="Arial"/>
          <w:sz w:val="24"/>
          <w:szCs w:val="24"/>
        </w:rPr>
        <w:t>58</w:t>
      </w:r>
    </w:p>
    <w:p w:rsidR="005C170C" w:rsidRDefault="005C170C" w:rsidP="005C170C">
      <w:pPr>
        <w:rPr>
          <w:rFonts w:ascii="Arial" w:hAnsi="Arial" w:cs="Arial"/>
          <w:sz w:val="24"/>
          <w:szCs w:val="24"/>
        </w:rPr>
      </w:pPr>
      <w:r>
        <w:rPr>
          <w:rFonts w:ascii="Arial" w:hAnsi="Arial" w:cs="Arial"/>
          <w:sz w:val="24"/>
          <w:szCs w:val="24"/>
        </w:rPr>
        <w:t>Governance Compliance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372D">
        <w:rPr>
          <w:rFonts w:ascii="Arial" w:hAnsi="Arial" w:cs="Arial"/>
          <w:sz w:val="24"/>
          <w:szCs w:val="24"/>
        </w:rPr>
        <w:t>60</w:t>
      </w:r>
    </w:p>
    <w:p w:rsidR="005C170C" w:rsidRDefault="005C170C" w:rsidP="005C170C">
      <w:pPr>
        <w:rPr>
          <w:rFonts w:ascii="Arial" w:hAnsi="Arial" w:cs="Arial"/>
          <w:sz w:val="24"/>
          <w:szCs w:val="24"/>
        </w:rPr>
      </w:pPr>
      <w:r>
        <w:rPr>
          <w:rFonts w:ascii="Arial" w:hAnsi="Arial" w:cs="Arial"/>
          <w:sz w:val="24"/>
          <w:szCs w:val="24"/>
        </w:rPr>
        <w:t>Co</w:t>
      </w:r>
      <w:r w:rsidR="006D6C54">
        <w:rPr>
          <w:rFonts w:ascii="Arial" w:hAnsi="Arial" w:cs="Arial"/>
          <w:sz w:val="24"/>
          <w:szCs w:val="24"/>
        </w:rPr>
        <w:t>mmunication Policy</w:t>
      </w:r>
      <w:r>
        <w:rPr>
          <w:rFonts w:ascii="Arial" w:hAnsi="Arial" w:cs="Arial"/>
          <w:sz w:val="24"/>
          <w:szCs w:val="24"/>
        </w:rPr>
        <w:t xml:space="preserve"> Statement</w:t>
      </w:r>
      <w:r>
        <w:rPr>
          <w:rFonts w:ascii="Arial" w:hAnsi="Arial" w:cs="Arial"/>
          <w:sz w:val="24"/>
          <w:szCs w:val="24"/>
        </w:rPr>
        <w:tab/>
      </w:r>
      <w:r>
        <w:rPr>
          <w:rFonts w:ascii="Arial" w:hAnsi="Arial" w:cs="Arial"/>
          <w:sz w:val="24"/>
          <w:szCs w:val="24"/>
        </w:rPr>
        <w:tab/>
      </w:r>
      <w:r w:rsidR="006D6C54">
        <w:rPr>
          <w:rFonts w:ascii="Arial" w:hAnsi="Arial" w:cs="Arial"/>
          <w:sz w:val="24"/>
          <w:szCs w:val="24"/>
        </w:rPr>
        <w:tab/>
      </w:r>
      <w:r>
        <w:rPr>
          <w:rFonts w:ascii="Arial" w:hAnsi="Arial" w:cs="Arial"/>
          <w:sz w:val="24"/>
          <w:szCs w:val="24"/>
        </w:rPr>
        <w:tab/>
      </w:r>
      <w:r>
        <w:rPr>
          <w:rFonts w:ascii="Arial" w:hAnsi="Arial" w:cs="Arial"/>
          <w:sz w:val="24"/>
          <w:szCs w:val="24"/>
        </w:rPr>
        <w:tab/>
      </w:r>
      <w:r w:rsidR="00C5372D">
        <w:rPr>
          <w:rFonts w:ascii="Arial" w:hAnsi="Arial" w:cs="Arial"/>
          <w:sz w:val="24"/>
          <w:szCs w:val="24"/>
        </w:rPr>
        <w:t>63</w:t>
      </w:r>
    </w:p>
    <w:p w:rsidR="005C170C" w:rsidRDefault="005C170C" w:rsidP="005C170C">
      <w:pPr>
        <w:rPr>
          <w:rFonts w:ascii="Arial" w:hAnsi="Arial" w:cs="Arial"/>
          <w:sz w:val="24"/>
          <w:szCs w:val="24"/>
        </w:rPr>
      </w:pPr>
      <w:r>
        <w:rPr>
          <w:rFonts w:ascii="Arial" w:hAnsi="Arial" w:cs="Arial"/>
          <w:sz w:val="24"/>
          <w:szCs w:val="24"/>
        </w:rPr>
        <w:t>Funding Strategy Statement</w:t>
      </w:r>
      <w:r>
        <w:rPr>
          <w:rFonts w:ascii="Arial" w:hAnsi="Arial" w:cs="Arial"/>
          <w:sz w:val="24"/>
          <w:szCs w:val="24"/>
        </w:rPr>
        <w:tab/>
      </w:r>
      <w:r>
        <w:rPr>
          <w:rFonts w:ascii="Arial" w:hAnsi="Arial" w:cs="Arial"/>
          <w:sz w:val="24"/>
          <w:szCs w:val="24"/>
        </w:rPr>
        <w:tab/>
      </w:r>
      <w:r>
        <w:rPr>
          <w:rFonts w:ascii="Arial" w:hAnsi="Arial" w:cs="Arial"/>
          <w:sz w:val="24"/>
          <w:szCs w:val="24"/>
        </w:rPr>
        <w:tab/>
      </w:r>
      <w:r w:rsidR="00F6089D">
        <w:rPr>
          <w:rFonts w:ascii="Arial" w:hAnsi="Arial" w:cs="Arial"/>
          <w:sz w:val="24"/>
          <w:szCs w:val="24"/>
        </w:rPr>
        <w:tab/>
      </w:r>
      <w:r>
        <w:rPr>
          <w:rFonts w:ascii="Arial" w:hAnsi="Arial" w:cs="Arial"/>
          <w:sz w:val="24"/>
          <w:szCs w:val="24"/>
        </w:rPr>
        <w:tab/>
      </w:r>
      <w:r w:rsidR="00C5372D">
        <w:rPr>
          <w:rFonts w:ascii="Arial" w:hAnsi="Arial" w:cs="Arial"/>
          <w:sz w:val="24"/>
          <w:szCs w:val="24"/>
        </w:rPr>
        <w:t>66</w:t>
      </w:r>
    </w:p>
    <w:p w:rsidR="00133EC9" w:rsidRDefault="005C170C" w:rsidP="005C170C">
      <w:pPr>
        <w:rPr>
          <w:rFonts w:ascii="Arial" w:hAnsi="Arial" w:cs="Arial"/>
          <w:sz w:val="24"/>
          <w:szCs w:val="24"/>
        </w:rPr>
      </w:pPr>
      <w:r>
        <w:rPr>
          <w:rFonts w:ascii="Arial" w:hAnsi="Arial" w:cs="Arial"/>
          <w:sz w:val="24"/>
          <w:szCs w:val="24"/>
        </w:rPr>
        <w:t>Statement of Investment Principles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372D">
        <w:rPr>
          <w:rFonts w:ascii="Arial" w:hAnsi="Arial" w:cs="Arial"/>
          <w:sz w:val="24"/>
          <w:szCs w:val="24"/>
        </w:rPr>
        <w:t>75</w:t>
      </w:r>
      <w:r>
        <w:rPr>
          <w:rFonts w:ascii="Arial" w:hAnsi="Arial" w:cs="Arial"/>
          <w:sz w:val="24"/>
          <w:szCs w:val="24"/>
        </w:rPr>
        <w:t xml:space="preserve"> </w:t>
      </w:r>
    </w:p>
    <w:p w:rsidR="005C256F" w:rsidRDefault="00133EC9" w:rsidP="005C170C">
      <w:pPr>
        <w:rPr>
          <w:rFonts w:ascii="Arial" w:hAnsi="Arial" w:cs="Arial"/>
          <w:sz w:val="24"/>
          <w:szCs w:val="24"/>
        </w:rPr>
      </w:pPr>
      <w:r>
        <w:rPr>
          <w:rFonts w:ascii="Arial" w:hAnsi="Arial" w:cs="Arial"/>
          <w:sz w:val="24"/>
          <w:szCs w:val="24"/>
        </w:rPr>
        <w:t>Glossary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5372D">
        <w:rPr>
          <w:rFonts w:ascii="Arial" w:hAnsi="Arial" w:cs="Arial"/>
          <w:sz w:val="24"/>
          <w:szCs w:val="24"/>
        </w:rPr>
        <w:t>87</w:t>
      </w:r>
      <w:r w:rsidR="005C256F">
        <w:rPr>
          <w:rFonts w:ascii="Arial" w:hAnsi="Arial" w:cs="Arial"/>
          <w:sz w:val="24"/>
          <w:szCs w:val="24"/>
        </w:rPr>
        <w:br w:type="page"/>
      </w:r>
    </w:p>
    <w:p w:rsidR="007F445F" w:rsidRPr="00274A55" w:rsidRDefault="000B21E5" w:rsidP="00F4413F">
      <w:pPr>
        <w:rPr>
          <w:rFonts w:ascii="Arial" w:hAnsi="Arial" w:cs="Arial"/>
          <w:b/>
          <w:sz w:val="32"/>
          <w:szCs w:val="32"/>
        </w:rPr>
      </w:pPr>
      <w:r>
        <w:rPr>
          <w:rFonts w:ascii="Arial" w:hAnsi="Arial" w:cs="Arial"/>
          <w:b/>
          <w:sz w:val="32"/>
          <w:szCs w:val="32"/>
        </w:rPr>
        <w:lastRenderedPageBreak/>
        <w:t xml:space="preserve">Chairman’s </w:t>
      </w:r>
      <w:r w:rsidR="007F445F" w:rsidRPr="00274A55">
        <w:rPr>
          <w:rFonts w:ascii="Arial" w:hAnsi="Arial" w:cs="Arial"/>
          <w:b/>
          <w:sz w:val="32"/>
          <w:szCs w:val="32"/>
        </w:rPr>
        <w:t>Foreword</w:t>
      </w:r>
    </w:p>
    <w:p w:rsidR="00145463" w:rsidRDefault="00145463">
      <w:pPr>
        <w:rPr>
          <w:rFonts w:ascii="Arial" w:hAnsi="Arial" w:cs="Arial"/>
          <w:b/>
          <w:sz w:val="24"/>
          <w:szCs w:val="24"/>
        </w:rPr>
      </w:pPr>
    </w:p>
    <w:p w:rsidR="00360850" w:rsidRDefault="0031556E">
      <w:pPr>
        <w:rPr>
          <w:rFonts w:ascii="Arial" w:hAnsi="Arial" w:cs="Arial"/>
          <w:sz w:val="24"/>
          <w:szCs w:val="24"/>
        </w:rPr>
      </w:pPr>
      <w:r>
        <w:rPr>
          <w:rFonts w:ascii="Arial" w:hAnsi="Arial" w:cs="Arial"/>
          <w:sz w:val="24"/>
          <w:szCs w:val="24"/>
        </w:rPr>
        <w:t xml:space="preserve">It is my pleasure </w:t>
      </w:r>
      <w:r w:rsidR="00360850">
        <w:rPr>
          <w:rFonts w:ascii="Arial" w:hAnsi="Arial" w:cs="Arial"/>
          <w:sz w:val="24"/>
          <w:szCs w:val="24"/>
        </w:rPr>
        <w:t>to present the Annual Report and Accounts of the Brent Pension Fund for 2012/13.</w:t>
      </w:r>
    </w:p>
    <w:p w:rsidR="00360850" w:rsidRDefault="00360850">
      <w:pPr>
        <w:rPr>
          <w:rFonts w:ascii="Arial" w:hAnsi="Arial" w:cs="Arial"/>
          <w:sz w:val="24"/>
          <w:szCs w:val="24"/>
        </w:rPr>
      </w:pPr>
    </w:p>
    <w:p w:rsidR="00BB4D79" w:rsidRDefault="00BB4D79">
      <w:pPr>
        <w:rPr>
          <w:rFonts w:ascii="Arial" w:hAnsi="Arial" w:cs="Arial"/>
          <w:sz w:val="24"/>
          <w:szCs w:val="24"/>
        </w:rPr>
      </w:pPr>
      <w:r>
        <w:rPr>
          <w:rFonts w:ascii="Arial" w:hAnsi="Arial" w:cs="Arial"/>
          <w:sz w:val="24"/>
          <w:szCs w:val="24"/>
        </w:rPr>
        <w:t>The</w:t>
      </w:r>
      <w:r w:rsidR="00756A99">
        <w:rPr>
          <w:rFonts w:ascii="Arial" w:hAnsi="Arial" w:cs="Arial"/>
          <w:sz w:val="24"/>
          <w:szCs w:val="24"/>
        </w:rPr>
        <w:t xml:space="preserve"> Fund has 5,373 contributors, 6,</w:t>
      </w:r>
      <w:r>
        <w:rPr>
          <w:rFonts w:ascii="Arial" w:hAnsi="Arial" w:cs="Arial"/>
          <w:sz w:val="24"/>
          <w:szCs w:val="24"/>
        </w:rPr>
        <w:t>050 pensioners and 7,123 deferred pensioners.</w:t>
      </w:r>
    </w:p>
    <w:p w:rsidR="00BB4D79" w:rsidRDefault="00BB4D79">
      <w:pPr>
        <w:rPr>
          <w:rFonts w:ascii="Arial" w:hAnsi="Arial" w:cs="Arial"/>
          <w:sz w:val="24"/>
          <w:szCs w:val="24"/>
        </w:rPr>
      </w:pPr>
    </w:p>
    <w:p w:rsidR="00BB4D79" w:rsidRDefault="00BB4D79">
      <w:pPr>
        <w:rPr>
          <w:rFonts w:ascii="Arial" w:hAnsi="Arial" w:cs="Arial"/>
          <w:sz w:val="24"/>
          <w:szCs w:val="24"/>
        </w:rPr>
      </w:pPr>
      <w:r>
        <w:rPr>
          <w:rFonts w:ascii="Arial" w:hAnsi="Arial" w:cs="Arial"/>
          <w:sz w:val="24"/>
          <w:szCs w:val="24"/>
        </w:rPr>
        <w:t>The scheme is administered locally and is a valuable part of the pay and reward package for employees working in Brent Council or working for other employers in the Borough participating in the scheme.</w:t>
      </w:r>
    </w:p>
    <w:p w:rsidR="00BB4D79" w:rsidRDefault="00BB4D79">
      <w:pPr>
        <w:rPr>
          <w:rFonts w:ascii="Arial" w:hAnsi="Arial" w:cs="Arial"/>
          <w:sz w:val="24"/>
          <w:szCs w:val="24"/>
        </w:rPr>
      </w:pPr>
    </w:p>
    <w:p w:rsidR="007557AC" w:rsidRDefault="007557AC">
      <w:pPr>
        <w:rPr>
          <w:rFonts w:ascii="Arial" w:hAnsi="Arial" w:cs="Arial"/>
          <w:sz w:val="24"/>
          <w:szCs w:val="24"/>
        </w:rPr>
      </w:pPr>
      <w:r>
        <w:rPr>
          <w:rFonts w:ascii="Arial" w:hAnsi="Arial" w:cs="Arial"/>
          <w:sz w:val="24"/>
          <w:szCs w:val="24"/>
        </w:rPr>
        <w:t>Against a backdrop of continued uncertainty in the global economy, and volatility in the financial markets, the Fund had a positive year in terms of investment performance, with investment benchmarks exceeded overall, and the value of the Fund’s net investment assets increasing by 10.9% to £547.9m (2011/12 £493.9m).</w:t>
      </w:r>
    </w:p>
    <w:p w:rsidR="007557AC" w:rsidRDefault="007557AC">
      <w:pPr>
        <w:rPr>
          <w:rFonts w:ascii="Arial" w:hAnsi="Arial" w:cs="Arial"/>
          <w:sz w:val="24"/>
          <w:szCs w:val="24"/>
        </w:rPr>
      </w:pPr>
    </w:p>
    <w:p w:rsidR="0077555F" w:rsidRDefault="007F050B">
      <w:pPr>
        <w:rPr>
          <w:rFonts w:ascii="Arial" w:hAnsi="Arial" w:cs="Arial"/>
          <w:sz w:val="24"/>
          <w:szCs w:val="24"/>
        </w:rPr>
      </w:pPr>
      <w:r>
        <w:rPr>
          <w:rFonts w:ascii="Arial" w:hAnsi="Arial" w:cs="Arial"/>
          <w:sz w:val="24"/>
          <w:szCs w:val="24"/>
        </w:rPr>
        <w:t>During the course of the year, the Fund reduced its commitment to hedge funds and appointed Baillie Gifford to manage a new diversified growth fund investment</w:t>
      </w:r>
      <w:r w:rsidR="0077555F">
        <w:rPr>
          <w:rFonts w:ascii="Arial" w:hAnsi="Arial" w:cs="Arial"/>
          <w:sz w:val="24"/>
          <w:szCs w:val="24"/>
        </w:rPr>
        <w:t xml:space="preserve"> portfolio.</w:t>
      </w:r>
    </w:p>
    <w:p w:rsidR="0077555F" w:rsidRDefault="0077555F">
      <w:pPr>
        <w:rPr>
          <w:rFonts w:ascii="Arial" w:hAnsi="Arial" w:cs="Arial"/>
          <w:sz w:val="24"/>
          <w:szCs w:val="24"/>
        </w:rPr>
      </w:pPr>
    </w:p>
    <w:p w:rsidR="00854E8F" w:rsidRDefault="0077555F">
      <w:pPr>
        <w:rPr>
          <w:rFonts w:ascii="Arial" w:hAnsi="Arial" w:cs="Arial"/>
          <w:sz w:val="24"/>
          <w:szCs w:val="24"/>
        </w:rPr>
      </w:pPr>
      <w:r>
        <w:rPr>
          <w:rFonts w:ascii="Arial" w:hAnsi="Arial" w:cs="Arial"/>
          <w:sz w:val="24"/>
          <w:szCs w:val="24"/>
        </w:rPr>
        <w:t xml:space="preserve">Total </w:t>
      </w:r>
      <w:r w:rsidR="00854E8F">
        <w:rPr>
          <w:rFonts w:ascii="Arial" w:hAnsi="Arial" w:cs="Arial"/>
          <w:sz w:val="24"/>
          <w:szCs w:val="24"/>
        </w:rPr>
        <w:t>contributions income received from employers and employees totalled £45.1m for the year, an increase on the previous year’s £43.8m.</w:t>
      </w:r>
    </w:p>
    <w:p w:rsidR="00854E8F" w:rsidRDefault="00854E8F">
      <w:pPr>
        <w:rPr>
          <w:rFonts w:ascii="Arial" w:hAnsi="Arial" w:cs="Arial"/>
          <w:sz w:val="24"/>
          <w:szCs w:val="24"/>
        </w:rPr>
      </w:pPr>
    </w:p>
    <w:p w:rsidR="00662C35" w:rsidRDefault="00854E8F">
      <w:pPr>
        <w:rPr>
          <w:rFonts w:ascii="Arial" w:hAnsi="Arial" w:cs="Arial"/>
          <w:sz w:val="24"/>
          <w:szCs w:val="24"/>
        </w:rPr>
      </w:pPr>
      <w:r>
        <w:rPr>
          <w:rFonts w:ascii="Arial" w:hAnsi="Arial" w:cs="Arial"/>
          <w:sz w:val="24"/>
          <w:szCs w:val="24"/>
        </w:rPr>
        <w:t>Total benefits paid to scheme beneficiaries</w:t>
      </w:r>
      <w:r w:rsidR="00662C35">
        <w:rPr>
          <w:rFonts w:ascii="Arial" w:hAnsi="Arial" w:cs="Arial"/>
          <w:sz w:val="24"/>
          <w:szCs w:val="24"/>
        </w:rPr>
        <w:t>, in the form of pensions or other benefits, totalled £38.4m, unchanged from the previous year.</w:t>
      </w:r>
    </w:p>
    <w:p w:rsidR="00662C35" w:rsidRDefault="00662C35">
      <w:pPr>
        <w:rPr>
          <w:rFonts w:ascii="Arial" w:hAnsi="Arial" w:cs="Arial"/>
          <w:sz w:val="24"/>
          <w:szCs w:val="24"/>
        </w:rPr>
      </w:pPr>
    </w:p>
    <w:p w:rsidR="00D37679" w:rsidRDefault="00662C35">
      <w:pPr>
        <w:rPr>
          <w:rFonts w:ascii="Arial" w:hAnsi="Arial" w:cs="Arial"/>
          <w:sz w:val="24"/>
          <w:szCs w:val="24"/>
        </w:rPr>
      </w:pPr>
      <w:r>
        <w:rPr>
          <w:rFonts w:ascii="Arial" w:hAnsi="Arial" w:cs="Arial"/>
          <w:sz w:val="24"/>
          <w:szCs w:val="24"/>
        </w:rPr>
        <w:t xml:space="preserve">The Fund remains in a positive </w:t>
      </w:r>
      <w:r w:rsidR="00795DC4">
        <w:rPr>
          <w:rFonts w:ascii="Arial" w:hAnsi="Arial" w:cs="Arial"/>
          <w:sz w:val="24"/>
          <w:szCs w:val="24"/>
        </w:rPr>
        <w:t>cash flow position, with a net £6.7m addition from dealing with scheme members (£5.4m previous year) to invest in order to meet the Fund’s future pension liabilities.</w:t>
      </w:r>
    </w:p>
    <w:p w:rsidR="00D37679" w:rsidRDefault="00D37679">
      <w:pPr>
        <w:rPr>
          <w:rFonts w:ascii="Arial" w:hAnsi="Arial" w:cs="Arial"/>
          <w:sz w:val="24"/>
          <w:szCs w:val="24"/>
        </w:rPr>
      </w:pPr>
    </w:p>
    <w:p w:rsidR="008B6E97" w:rsidRDefault="008B6E97">
      <w:pPr>
        <w:rPr>
          <w:rFonts w:ascii="Arial" w:hAnsi="Arial" w:cs="Arial"/>
          <w:sz w:val="24"/>
          <w:szCs w:val="24"/>
        </w:rPr>
      </w:pPr>
      <w:r>
        <w:rPr>
          <w:rFonts w:ascii="Arial" w:hAnsi="Arial" w:cs="Arial"/>
          <w:sz w:val="24"/>
          <w:szCs w:val="24"/>
        </w:rPr>
        <w:t>Looking ahead, there are a number of challenges facing Local Government Pension Schemes (LGPS):</w:t>
      </w:r>
    </w:p>
    <w:p w:rsidR="008B6E97" w:rsidRDefault="008B6E97">
      <w:pPr>
        <w:rPr>
          <w:rFonts w:ascii="Arial" w:hAnsi="Arial" w:cs="Arial"/>
          <w:sz w:val="24"/>
          <w:szCs w:val="24"/>
        </w:rPr>
      </w:pPr>
    </w:p>
    <w:p w:rsidR="008B6E97" w:rsidRDefault="00EF27F2" w:rsidP="00907AD2">
      <w:pPr>
        <w:pStyle w:val="ListParagraph"/>
        <w:numPr>
          <w:ilvl w:val="0"/>
          <w:numId w:val="22"/>
        </w:numPr>
        <w:rPr>
          <w:rFonts w:ascii="Arial" w:hAnsi="Arial" w:cs="Arial"/>
          <w:sz w:val="24"/>
          <w:szCs w:val="24"/>
        </w:rPr>
      </w:pPr>
      <w:r>
        <w:rPr>
          <w:rFonts w:ascii="Arial" w:hAnsi="Arial" w:cs="Arial"/>
          <w:sz w:val="24"/>
          <w:szCs w:val="24"/>
        </w:rPr>
        <w:t>The implementation of a reformed LGPS which will be introduced from April 2014 with a new scheme design, controlling future costs and managing longevity.</w:t>
      </w:r>
    </w:p>
    <w:p w:rsidR="00525498" w:rsidRPr="00525498" w:rsidRDefault="00525498" w:rsidP="00525498">
      <w:pPr>
        <w:rPr>
          <w:rFonts w:ascii="Arial" w:hAnsi="Arial" w:cs="Arial"/>
          <w:sz w:val="24"/>
          <w:szCs w:val="24"/>
        </w:rPr>
      </w:pPr>
    </w:p>
    <w:p w:rsidR="00525498" w:rsidRDefault="006B157B" w:rsidP="00907AD2">
      <w:pPr>
        <w:pStyle w:val="ListParagraph"/>
        <w:numPr>
          <w:ilvl w:val="0"/>
          <w:numId w:val="22"/>
        </w:numPr>
        <w:rPr>
          <w:rFonts w:ascii="Arial" w:hAnsi="Arial" w:cs="Arial"/>
          <w:sz w:val="24"/>
          <w:szCs w:val="24"/>
        </w:rPr>
      </w:pPr>
      <w:r w:rsidRPr="00525498">
        <w:rPr>
          <w:rFonts w:ascii="Arial" w:hAnsi="Arial" w:cs="Arial"/>
          <w:sz w:val="24"/>
          <w:szCs w:val="24"/>
        </w:rPr>
        <w:t xml:space="preserve">Auto enrolment to the Fund commenced from </w:t>
      </w:r>
      <w:r w:rsidR="0001728A" w:rsidRPr="00525498">
        <w:rPr>
          <w:rFonts w:ascii="Arial" w:hAnsi="Arial" w:cs="Arial"/>
          <w:sz w:val="24"/>
          <w:szCs w:val="24"/>
        </w:rPr>
        <w:t xml:space="preserve">1 </w:t>
      </w:r>
      <w:r w:rsidRPr="00525498">
        <w:rPr>
          <w:rFonts w:ascii="Arial" w:hAnsi="Arial" w:cs="Arial"/>
          <w:sz w:val="24"/>
          <w:szCs w:val="24"/>
        </w:rPr>
        <w:t>June 2013</w:t>
      </w:r>
      <w:r w:rsidR="00FE2245" w:rsidRPr="00525498">
        <w:rPr>
          <w:rFonts w:ascii="Arial" w:hAnsi="Arial" w:cs="Arial"/>
          <w:sz w:val="24"/>
          <w:szCs w:val="24"/>
        </w:rPr>
        <w:t xml:space="preserve"> resulting in eligible employees who had previously </w:t>
      </w:r>
      <w:r w:rsidR="0001728A" w:rsidRPr="00525498">
        <w:rPr>
          <w:rFonts w:ascii="Arial" w:hAnsi="Arial" w:cs="Arial"/>
          <w:sz w:val="24"/>
          <w:szCs w:val="24"/>
        </w:rPr>
        <w:t>opted out of the pension scheme, now becoming memb</w:t>
      </w:r>
      <w:r w:rsidR="00525498" w:rsidRPr="00525498">
        <w:rPr>
          <w:rFonts w:ascii="Arial" w:hAnsi="Arial" w:cs="Arial"/>
          <w:sz w:val="24"/>
          <w:szCs w:val="24"/>
        </w:rPr>
        <w:t>ers of the scheme automatically</w:t>
      </w:r>
      <w:r w:rsidR="00525498">
        <w:rPr>
          <w:rFonts w:ascii="Arial" w:hAnsi="Arial" w:cs="Arial"/>
          <w:sz w:val="24"/>
          <w:szCs w:val="24"/>
        </w:rPr>
        <w:t>.</w:t>
      </w:r>
    </w:p>
    <w:p w:rsidR="00525498" w:rsidRPr="00525498" w:rsidRDefault="00525498" w:rsidP="00525498">
      <w:pPr>
        <w:pStyle w:val="ListParagraph"/>
        <w:rPr>
          <w:rFonts w:ascii="Arial" w:hAnsi="Arial" w:cs="Arial"/>
          <w:sz w:val="24"/>
          <w:szCs w:val="24"/>
        </w:rPr>
      </w:pPr>
    </w:p>
    <w:p w:rsidR="0001728A" w:rsidRPr="00525498" w:rsidRDefault="0001728A" w:rsidP="00907AD2">
      <w:pPr>
        <w:pStyle w:val="ListParagraph"/>
        <w:numPr>
          <w:ilvl w:val="0"/>
          <w:numId w:val="22"/>
        </w:numPr>
        <w:rPr>
          <w:rFonts w:ascii="Arial" w:hAnsi="Arial" w:cs="Arial"/>
          <w:sz w:val="24"/>
          <w:szCs w:val="24"/>
        </w:rPr>
      </w:pPr>
      <w:r w:rsidRPr="00525498">
        <w:rPr>
          <w:rFonts w:ascii="Arial" w:hAnsi="Arial" w:cs="Arial"/>
          <w:sz w:val="24"/>
          <w:szCs w:val="24"/>
        </w:rPr>
        <w:t>The on-going volatility and uncertainty in the global economy, and linked to that the continuing regime of public sector austerity over the medium and quite possibly longer term. These issues have significant implications for the Fund and Fund employers.</w:t>
      </w:r>
    </w:p>
    <w:p w:rsidR="0001728A" w:rsidRDefault="0001728A" w:rsidP="0001728A">
      <w:pPr>
        <w:rPr>
          <w:rFonts w:ascii="Arial" w:hAnsi="Arial" w:cs="Arial"/>
          <w:sz w:val="24"/>
          <w:szCs w:val="24"/>
        </w:rPr>
      </w:pPr>
    </w:p>
    <w:p w:rsidR="00525498" w:rsidRDefault="00525498">
      <w:pPr>
        <w:rPr>
          <w:rFonts w:ascii="Arial" w:hAnsi="Arial" w:cs="Arial"/>
          <w:sz w:val="24"/>
          <w:szCs w:val="24"/>
        </w:rPr>
      </w:pPr>
      <w:r>
        <w:rPr>
          <w:rFonts w:ascii="Arial" w:hAnsi="Arial" w:cs="Arial"/>
          <w:sz w:val="24"/>
          <w:szCs w:val="24"/>
        </w:rPr>
        <w:br w:type="page"/>
      </w:r>
    </w:p>
    <w:p w:rsidR="0001728A" w:rsidRDefault="0001728A" w:rsidP="0001728A">
      <w:pPr>
        <w:rPr>
          <w:rFonts w:ascii="Arial" w:hAnsi="Arial" w:cs="Arial"/>
          <w:sz w:val="24"/>
          <w:szCs w:val="24"/>
        </w:rPr>
      </w:pPr>
      <w:r>
        <w:rPr>
          <w:rFonts w:ascii="Arial" w:hAnsi="Arial" w:cs="Arial"/>
          <w:sz w:val="24"/>
          <w:szCs w:val="24"/>
        </w:rPr>
        <w:lastRenderedPageBreak/>
        <w:t>The actuarial valuation of the Fund as at 31 March 2013 is in progress, and this</w:t>
      </w:r>
      <w:r w:rsidR="00160B47">
        <w:rPr>
          <w:rFonts w:ascii="Arial" w:hAnsi="Arial" w:cs="Arial"/>
          <w:sz w:val="24"/>
          <w:szCs w:val="24"/>
        </w:rPr>
        <w:t xml:space="preserve"> will play a part in setting</w:t>
      </w:r>
      <w:r w:rsidR="00346079">
        <w:rPr>
          <w:rFonts w:ascii="Arial" w:hAnsi="Arial" w:cs="Arial"/>
          <w:sz w:val="24"/>
          <w:szCs w:val="24"/>
        </w:rPr>
        <w:t xml:space="preserve"> employer</w:t>
      </w:r>
      <w:r>
        <w:rPr>
          <w:rFonts w:ascii="Arial" w:hAnsi="Arial" w:cs="Arial"/>
          <w:sz w:val="24"/>
          <w:szCs w:val="24"/>
        </w:rPr>
        <w:t xml:space="preserve"> contribution rate</w:t>
      </w:r>
      <w:r w:rsidR="00160B47">
        <w:rPr>
          <w:rFonts w:ascii="Arial" w:hAnsi="Arial" w:cs="Arial"/>
          <w:sz w:val="24"/>
          <w:szCs w:val="24"/>
        </w:rPr>
        <w:t>s</w:t>
      </w:r>
      <w:r>
        <w:rPr>
          <w:rFonts w:ascii="Arial" w:hAnsi="Arial" w:cs="Arial"/>
          <w:sz w:val="24"/>
          <w:szCs w:val="24"/>
        </w:rPr>
        <w:t xml:space="preserve"> for three years from 2014/15 onwards. The valuation results are expected later this year. After they have been published, the Pension Fund Sub-Committee will review the investment managers’ performance and review its investment strategy for the coming years, making changes as it considers necessary.</w:t>
      </w:r>
    </w:p>
    <w:p w:rsidR="0001728A" w:rsidRDefault="0001728A" w:rsidP="0001728A">
      <w:pPr>
        <w:rPr>
          <w:rFonts w:ascii="Arial" w:hAnsi="Arial" w:cs="Arial"/>
          <w:sz w:val="24"/>
          <w:szCs w:val="24"/>
        </w:rPr>
      </w:pPr>
    </w:p>
    <w:p w:rsidR="0001728A" w:rsidRDefault="0001728A" w:rsidP="0001728A">
      <w:pPr>
        <w:rPr>
          <w:rFonts w:ascii="Arial" w:hAnsi="Arial" w:cs="Arial"/>
          <w:sz w:val="24"/>
          <w:szCs w:val="24"/>
        </w:rPr>
      </w:pPr>
      <w:r>
        <w:rPr>
          <w:rFonts w:ascii="Arial" w:hAnsi="Arial" w:cs="Arial"/>
          <w:sz w:val="24"/>
          <w:szCs w:val="24"/>
        </w:rPr>
        <w:t>In conclusion, I would like to extend my</w:t>
      </w:r>
      <w:r w:rsidR="006B5FB8">
        <w:rPr>
          <w:rFonts w:ascii="Arial" w:hAnsi="Arial" w:cs="Arial"/>
          <w:sz w:val="24"/>
          <w:szCs w:val="24"/>
        </w:rPr>
        <w:t xml:space="preserve"> thanks and appreciation to all members of the Pension Fund Sub-Committee</w:t>
      </w:r>
      <w:r w:rsidR="00EB76C5">
        <w:rPr>
          <w:rFonts w:ascii="Arial" w:hAnsi="Arial" w:cs="Arial"/>
          <w:sz w:val="24"/>
          <w:szCs w:val="24"/>
        </w:rPr>
        <w:t xml:space="preserve"> and o</w:t>
      </w:r>
      <w:r w:rsidR="001B6C9D">
        <w:rPr>
          <w:rFonts w:ascii="Arial" w:hAnsi="Arial" w:cs="Arial"/>
          <w:sz w:val="24"/>
          <w:szCs w:val="24"/>
        </w:rPr>
        <w:t>fficers for their continued input to the strong governance and management arrangements of the Fund.</w:t>
      </w:r>
    </w:p>
    <w:p w:rsidR="006B5FB8" w:rsidRDefault="006B5FB8" w:rsidP="0001728A">
      <w:pPr>
        <w:rPr>
          <w:rFonts w:ascii="Arial" w:hAnsi="Arial" w:cs="Arial"/>
          <w:sz w:val="24"/>
          <w:szCs w:val="24"/>
        </w:rPr>
      </w:pPr>
    </w:p>
    <w:p w:rsidR="00685A33" w:rsidRDefault="00685A33" w:rsidP="0001728A">
      <w:pPr>
        <w:rPr>
          <w:rFonts w:ascii="Arial" w:hAnsi="Arial" w:cs="Arial"/>
          <w:sz w:val="24"/>
          <w:szCs w:val="24"/>
        </w:rPr>
      </w:pPr>
    </w:p>
    <w:p w:rsidR="00685A33" w:rsidRDefault="00685A33" w:rsidP="0001728A">
      <w:pPr>
        <w:rPr>
          <w:rFonts w:ascii="Arial" w:hAnsi="Arial" w:cs="Arial"/>
          <w:sz w:val="24"/>
          <w:szCs w:val="24"/>
        </w:rPr>
      </w:pPr>
      <w:r>
        <w:rPr>
          <w:rFonts w:ascii="Arial" w:hAnsi="Arial" w:cs="Arial"/>
          <w:sz w:val="24"/>
          <w:szCs w:val="24"/>
        </w:rPr>
        <w:t>Cllr Shafique Choudhary</w:t>
      </w:r>
    </w:p>
    <w:p w:rsidR="00685A33" w:rsidRDefault="00685A33" w:rsidP="0001728A">
      <w:pPr>
        <w:rPr>
          <w:rFonts w:ascii="Arial" w:hAnsi="Arial" w:cs="Arial"/>
          <w:sz w:val="24"/>
          <w:szCs w:val="24"/>
        </w:rPr>
      </w:pPr>
      <w:r>
        <w:rPr>
          <w:rFonts w:ascii="Arial" w:hAnsi="Arial" w:cs="Arial"/>
          <w:sz w:val="24"/>
          <w:szCs w:val="24"/>
        </w:rPr>
        <w:t>Chair</w:t>
      </w:r>
      <w:r w:rsidR="004A1F9C">
        <w:rPr>
          <w:rFonts w:ascii="Arial" w:hAnsi="Arial" w:cs="Arial"/>
          <w:sz w:val="24"/>
          <w:szCs w:val="24"/>
        </w:rPr>
        <w:t>man,</w:t>
      </w:r>
      <w:r>
        <w:rPr>
          <w:rFonts w:ascii="Arial" w:hAnsi="Arial" w:cs="Arial"/>
          <w:sz w:val="24"/>
          <w:szCs w:val="24"/>
        </w:rPr>
        <w:t xml:space="preserve"> Brent Pension Fund Sub-Committee</w:t>
      </w:r>
    </w:p>
    <w:p w:rsidR="006B5FB8" w:rsidRDefault="006B5FB8">
      <w:pPr>
        <w:rPr>
          <w:rFonts w:ascii="Arial" w:hAnsi="Arial" w:cs="Arial"/>
          <w:b/>
          <w:sz w:val="32"/>
          <w:szCs w:val="32"/>
        </w:rPr>
      </w:pPr>
      <w:r>
        <w:rPr>
          <w:rFonts w:ascii="Arial" w:hAnsi="Arial" w:cs="Arial"/>
          <w:b/>
          <w:sz w:val="32"/>
          <w:szCs w:val="32"/>
        </w:rPr>
        <w:br w:type="page"/>
      </w:r>
    </w:p>
    <w:p w:rsidR="007F445F" w:rsidRPr="00274A55" w:rsidRDefault="007F445F" w:rsidP="00F4413F">
      <w:pPr>
        <w:rPr>
          <w:rFonts w:ascii="Arial" w:hAnsi="Arial" w:cs="Arial"/>
          <w:b/>
          <w:sz w:val="32"/>
          <w:szCs w:val="32"/>
        </w:rPr>
      </w:pPr>
      <w:r w:rsidRPr="00274A55">
        <w:rPr>
          <w:rFonts w:ascii="Arial" w:hAnsi="Arial" w:cs="Arial"/>
          <w:b/>
          <w:sz w:val="32"/>
          <w:szCs w:val="32"/>
        </w:rPr>
        <w:lastRenderedPageBreak/>
        <w:t>Management Structure</w:t>
      </w:r>
    </w:p>
    <w:p w:rsidR="00B344BB" w:rsidRDefault="00B344BB">
      <w:pPr>
        <w:rPr>
          <w:rFonts w:ascii="Arial" w:hAnsi="Arial" w:cs="Arial"/>
          <w:b/>
          <w:sz w:val="24"/>
          <w:szCs w:val="24"/>
        </w:rPr>
      </w:pPr>
    </w:p>
    <w:p w:rsidR="00274A55" w:rsidRDefault="00274A55">
      <w:pPr>
        <w:rPr>
          <w:rFonts w:ascii="Arial" w:hAnsi="Arial" w:cs="Arial"/>
          <w:b/>
          <w:sz w:val="24"/>
          <w:szCs w:val="24"/>
        </w:rPr>
      </w:pPr>
      <w:r>
        <w:rPr>
          <w:rFonts w:ascii="Arial" w:hAnsi="Arial" w:cs="Arial"/>
          <w:b/>
          <w:sz w:val="24"/>
          <w:szCs w:val="24"/>
        </w:rPr>
        <w:t>Administering Authority:</w:t>
      </w:r>
      <w:r>
        <w:rPr>
          <w:rFonts w:ascii="Arial" w:hAnsi="Arial" w:cs="Arial"/>
          <w:b/>
          <w:sz w:val="24"/>
          <w:szCs w:val="24"/>
        </w:rPr>
        <w:tab/>
      </w:r>
      <w:r>
        <w:rPr>
          <w:rFonts w:ascii="Arial" w:hAnsi="Arial" w:cs="Arial"/>
          <w:b/>
          <w:sz w:val="24"/>
          <w:szCs w:val="24"/>
        </w:rPr>
        <w:tab/>
      </w:r>
      <w:r w:rsidRPr="00274A55">
        <w:rPr>
          <w:rFonts w:ascii="Arial" w:hAnsi="Arial" w:cs="Arial"/>
          <w:sz w:val="24"/>
          <w:szCs w:val="24"/>
        </w:rPr>
        <w:t>Brent Council</w:t>
      </w:r>
    </w:p>
    <w:p w:rsidR="00232B39" w:rsidRPr="008756D5" w:rsidRDefault="00274A5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2B39" w:rsidRPr="008756D5">
        <w:rPr>
          <w:rFonts w:ascii="Arial" w:hAnsi="Arial" w:cs="Arial"/>
          <w:sz w:val="24"/>
          <w:szCs w:val="24"/>
        </w:rPr>
        <w:t>Civic Centre</w:t>
      </w:r>
    </w:p>
    <w:p w:rsidR="00232B39" w:rsidRPr="008756D5" w:rsidRDefault="00BF58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Engineer</w:t>
      </w:r>
      <w:r w:rsidR="00232B39" w:rsidRPr="008756D5">
        <w:rPr>
          <w:rFonts w:ascii="Arial" w:hAnsi="Arial" w:cs="Arial"/>
          <w:sz w:val="24"/>
          <w:szCs w:val="24"/>
        </w:rPr>
        <w:t>s Way</w:t>
      </w:r>
    </w:p>
    <w:p w:rsidR="00232B39" w:rsidRPr="008756D5" w:rsidRDefault="00232B39">
      <w:pPr>
        <w:rPr>
          <w:rFonts w:ascii="Arial" w:hAnsi="Arial" w:cs="Arial"/>
          <w:sz w:val="24"/>
          <w:szCs w:val="24"/>
        </w:rPr>
      </w:pP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t>Wembley</w:t>
      </w:r>
    </w:p>
    <w:p w:rsidR="00232B39" w:rsidRPr="008756D5" w:rsidRDefault="00232B39">
      <w:pPr>
        <w:rPr>
          <w:rFonts w:ascii="Arial" w:hAnsi="Arial" w:cs="Arial"/>
          <w:sz w:val="24"/>
          <w:szCs w:val="24"/>
        </w:rPr>
      </w:pP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t>Middlesex</w:t>
      </w:r>
    </w:p>
    <w:p w:rsidR="008756D5" w:rsidRDefault="00232B39">
      <w:pPr>
        <w:rPr>
          <w:rFonts w:ascii="Arial" w:hAnsi="Arial" w:cs="Arial"/>
          <w:sz w:val="24"/>
          <w:szCs w:val="24"/>
        </w:rPr>
      </w:pP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r>
      <w:r w:rsidRPr="008756D5">
        <w:rPr>
          <w:rFonts w:ascii="Arial" w:hAnsi="Arial" w:cs="Arial"/>
          <w:sz w:val="24"/>
          <w:szCs w:val="24"/>
        </w:rPr>
        <w:tab/>
        <w:t>HA9 0FJ</w:t>
      </w:r>
    </w:p>
    <w:p w:rsidR="00D76898" w:rsidRPr="00D76898" w:rsidRDefault="00D76898">
      <w:pPr>
        <w:rPr>
          <w:rFonts w:ascii="Arial" w:hAnsi="Arial" w:cs="Arial"/>
          <w:sz w:val="24"/>
          <w:szCs w:val="24"/>
        </w:rPr>
      </w:pPr>
    </w:p>
    <w:p w:rsidR="00115206" w:rsidRDefault="00D76898">
      <w:pPr>
        <w:rPr>
          <w:rFonts w:ascii="Arial" w:hAnsi="Arial" w:cs="Arial"/>
          <w:sz w:val="24"/>
          <w:szCs w:val="24"/>
        </w:rPr>
      </w:pPr>
      <w:r w:rsidRPr="0057475E">
        <w:rPr>
          <w:rFonts w:ascii="Arial" w:hAnsi="Arial" w:cs="Arial"/>
          <w:b/>
          <w:sz w:val="24"/>
          <w:szCs w:val="24"/>
        </w:rPr>
        <w:t>Brent Pension Fund Officers:</w:t>
      </w:r>
      <w:r w:rsidRPr="00D76898">
        <w:rPr>
          <w:rFonts w:ascii="Arial" w:hAnsi="Arial" w:cs="Arial"/>
          <w:sz w:val="24"/>
          <w:szCs w:val="24"/>
        </w:rPr>
        <w:tab/>
      </w:r>
      <w:r w:rsidR="00115206">
        <w:rPr>
          <w:rFonts w:ascii="Arial" w:hAnsi="Arial" w:cs="Arial"/>
          <w:sz w:val="24"/>
          <w:szCs w:val="24"/>
        </w:rPr>
        <w:t>Anthony Dodridge, Head of Investments</w:t>
      </w:r>
    </w:p>
    <w:p w:rsidR="00AF7F00" w:rsidRDefault="0057475E" w:rsidP="00AF7F00">
      <w:pPr>
        <w:ind w:left="2880" w:firstLine="720"/>
        <w:rPr>
          <w:rFonts w:ascii="Arial" w:hAnsi="Arial" w:cs="Arial"/>
          <w:sz w:val="24"/>
          <w:szCs w:val="24"/>
        </w:rPr>
      </w:pPr>
      <w:r>
        <w:rPr>
          <w:rFonts w:ascii="Arial" w:hAnsi="Arial" w:cs="Arial"/>
          <w:sz w:val="24"/>
          <w:szCs w:val="24"/>
        </w:rPr>
        <w:t>Andrew</w:t>
      </w:r>
      <w:r w:rsidR="00AF7F00">
        <w:rPr>
          <w:rFonts w:ascii="Arial" w:hAnsi="Arial" w:cs="Arial"/>
          <w:sz w:val="24"/>
          <w:szCs w:val="24"/>
        </w:rPr>
        <w:t xml:space="preserve"> Gray, Pensions Manager</w:t>
      </w:r>
    </w:p>
    <w:p w:rsidR="0057475E" w:rsidRDefault="0057475E" w:rsidP="0057475E">
      <w:pPr>
        <w:rPr>
          <w:rFonts w:ascii="Arial" w:hAnsi="Arial" w:cs="Arial"/>
          <w:sz w:val="24"/>
          <w:szCs w:val="24"/>
        </w:rPr>
      </w:pPr>
    </w:p>
    <w:p w:rsidR="0057475E" w:rsidRDefault="00213113" w:rsidP="0057475E">
      <w:pPr>
        <w:rPr>
          <w:rFonts w:ascii="Arial" w:hAnsi="Arial" w:cs="Arial"/>
          <w:sz w:val="24"/>
          <w:szCs w:val="24"/>
        </w:rPr>
      </w:pPr>
      <w:r w:rsidRPr="00213113">
        <w:rPr>
          <w:rFonts w:ascii="Arial" w:hAnsi="Arial" w:cs="Arial"/>
          <w:b/>
          <w:sz w:val="24"/>
          <w:szCs w:val="24"/>
        </w:rPr>
        <w:t>Legal Advisers:</w:t>
      </w:r>
      <w:r>
        <w:rPr>
          <w:rFonts w:ascii="Arial" w:hAnsi="Arial" w:cs="Arial"/>
          <w:sz w:val="24"/>
          <w:szCs w:val="24"/>
        </w:rPr>
        <w:tab/>
      </w:r>
      <w:r>
        <w:rPr>
          <w:rFonts w:ascii="Arial" w:hAnsi="Arial" w:cs="Arial"/>
          <w:sz w:val="24"/>
          <w:szCs w:val="24"/>
        </w:rPr>
        <w:tab/>
      </w:r>
      <w:r>
        <w:rPr>
          <w:rFonts w:ascii="Arial" w:hAnsi="Arial" w:cs="Arial"/>
          <w:sz w:val="24"/>
          <w:szCs w:val="24"/>
        </w:rPr>
        <w:tab/>
        <w:t>In-house</w:t>
      </w:r>
    </w:p>
    <w:p w:rsidR="007F445F" w:rsidRDefault="007F445F" w:rsidP="00365180">
      <w:pPr>
        <w:rPr>
          <w:rFonts w:ascii="Arial" w:hAnsi="Arial" w:cs="Arial"/>
          <w:b/>
          <w:sz w:val="24"/>
          <w:szCs w:val="24"/>
        </w:rPr>
      </w:pPr>
    </w:p>
    <w:p w:rsidR="003E3894" w:rsidRDefault="003E3894" w:rsidP="00F4413F">
      <w:pPr>
        <w:rPr>
          <w:rFonts w:ascii="Arial" w:hAnsi="Arial" w:cs="Arial"/>
          <w:b/>
          <w:sz w:val="24"/>
          <w:szCs w:val="24"/>
        </w:rPr>
      </w:pPr>
      <w:r>
        <w:rPr>
          <w:rFonts w:ascii="Arial" w:hAnsi="Arial" w:cs="Arial"/>
          <w:b/>
          <w:sz w:val="24"/>
          <w:szCs w:val="24"/>
        </w:rPr>
        <w:t>Custodian: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E3894">
        <w:rPr>
          <w:rFonts w:ascii="Arial" w:hAnsi="Arial" w:cs="Arial"/>
          <w:sz w:val="24"/>
          <w:szCs w:val="24"/>
        </w:rPr>
        <w:t>BNY Mellon</w:t>
      </w:r>
    </w:p>
    <w:p w:rsidR="003E3894" w:rsidRDefault="003E3894" w:rsidP="00F4413F">
      <w:pPr>
        <w:rPr>
          <w:rFonts w:ascii="Arial" w:hAnsi="Arial" w:cs="Arial"/>
          <w:b/>
          <w:sz w:val="24"/>
          <w:szCs w:val="24"/>
        </w:rPr>
      </w:pPr>
    </w:p>
    <w:p w:rsidR="006629CE" w:rsidRDefault="003E3894" w:rsidP="00F4413F">
      <w:pPr>
        <w:rPr>
          <w:rFonts w:ascii="Arial" w:hAnsi="Arial" w:cs="Arial"/>
          <w:sz w:val="24"/>
          <w:szCs w:val="24"/>
        </w:rPr>
      </w:pPr>
      <w:r>
        <w:rPr>
          <w:rFonts w:ascii="Arial" w:hAnsi="Arial" w:cs="Arial"/>
          <w:b/>
          <w:sz w:val="24"/>
          <w:szCs w:val="24"/>
        </w:rPr>
        <w:t>Actuary: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629CE">
        <w:rPr>
          <w:rFonts w:ascii="Arial" w:hAnsi="Arial" w:cs="Arial"/>
          <w:sz w:val="24"/>
          <w:szCs w:val="24"/>
        </w:rPr>
        <w:t>Hymans Robertson</w:t>
      </w:r>
    </w:p>
    <w:p w:rsidR="006C2B5B" w:rsidRDefault="006C2B5B" w:rsidP="00F4413F">
      <w:pPr>
        <w:rPr>
          <w:rFonts w:ascii="Arial" w:hAnsi="Arial" w:cs="Arial"/>
          <w:b/>
          <w:sz w:val="24"/>
          <w:szCs w:val="24"/>
        </w:rPr>
      </w:pPr>
    </w:p>
    <w:p w:rsidR="006C2B5B" w:rsidRDefault="006629CE" w:rsidP="00F4413F">
      <w:pPr>
        <w:rPr>
          <w:rFonts w:ascii="Arial" w:hAnsi="Arial" w:cs="Arial"/>
          <w:sz w:val="24"/>
          <w:szCs w:val="24"/>
        </w:rPr>
      </w:pPr>
      <w:r>
        <w:rPr>
          <w:rFonts w:ascii="Arial" w:hAnsi="Arial" w:cs="Arial"/>
          <w:b/>
          <w:sz w:val="24"/>
          <w:szCs w:val="24"/>
        </w:rPr>
        <w:t>Independent Adviser:</w:t>
      </w:r>
      <w:r>
        <w:rPr>
          <w:rFonts w:ascii="Arial" w:hAnsi="Arial" w:cs="Arial"/>
          <w:b/>
          <w:sz w:val="24"/>
          <w:szCs w:val="24"/>
        </w:rPr>
        <w:tab/>
      </w:r>
      <w:r>
        <w:rPr>
          <w:rFonts w:ascii="Arial" w:hAnsi="Arial" w:cs="Arial"/>
          <w:b/>
          <w:sz w:val="24"/>
          <w:szCs w:val="24"/>
        </w:rPr>
        <w:tab/>
      </w:r>
      <w:r w:rsidRPr="006629CE">
        <w:rPr>
          <w:rFonts w:ascii="Arial" w:hAnsi="Arial" w:cs="Arial"/>
          <w:sz w:val="24"/>
          <w:szCs w:val="24"/>
        </w:rPr>
        <w:t>Peter Davies</w:t>
      </w:r>
    </w:p>
    <w:p w:rsidR="006C2B5B" w:rsidRDefault="006C2B5B" w:rsidP="00F4413F">
      <w:pPr>
        <w:rPr>
          <w:rFonts w:ascii="Arial" w:hAnsi="Arial" w:cs="Arial"/>
          <w:sz w:val="24"/>
          <w:szCs w:val="24"/>
        </w:rPr>
      </w:pPr>
    </w:p>
    <w:p w:rsidR="006C2B5B" w:rsidRDefault="006C2B5B" w:rsidP="00F4413F">
      <w:pPr>
        <w:rPr>
          <w:rFonts w:ascii="Arial" w:hAnsi="Arial" w:cs="Arial"/>
          <w:sz w:val="24"/>
          <w:szCs w:val="24"/>
        </w:rPr>
      </w:pPr>
      <w:r w:rsidRPr="005A206E">
        <w:rPr>
          <w:rFonts w:ascii="Arial" w:hAnsi="Arial" w:cs="Arial"/>
          <w:b/>
          <w:sz w:val="24"/>
          <w:szCs w:val="24"/>
        </w:rPr>
        <w:t>Fund Managers:</w:t>
      </w:r>
      <w:r>
        <w:rPr>
          <w:rFonts w:ascii="Arial" w:hAnsi="Arial" w:cs="Arial"/>
          <w:sz w:val="24"/>
          <w:szCs w:val="24"/>
        </w:rPr>
        <w:tab/>
      </w:r>
      <w:r>
        <w:rPr>
          <w:rFonts w:ascii="Arial" w:hAnsi="Arial" w:cs="Arial"/>
          <w:sz w:val="24"/>
          <w:szCs w:val="24"/>
        </w:rPr>
        <w:tab/>
      </w:r>
      <w:r>
        <w:rPr>
          <w:rFonts w:ascii="Arial" w:hAnsi="Arial" w:cs="Arial"/>
          <w:sz w:val="24"/>
          <w:szCs w:val="24"/>
        </w:rPr>
        <w:tab/>
      </w:r>
      <w:r w:rsidR="00BC09AC">
        <w:rPr>
          <w:rFonts w:ascii="Arial" w:hAnsi="Arial" w:cs="Arial"/>
          <w:sz w:val="24"/>
          <w:szCs w:val="24"/>
        </w:rPr>
        <w:t>Legal &amp; General</w:t>
      </w:r>
    </w:p>
    <w:p w:rsidR="006C2B5B" w:rsidRDefault="00BC09AC" w:rsidP="00F4413F">
      <w:pPr>
        <w:rPr>
          <w:rFonts w:ascii="Arial" w:hAnsi="Arial" w:cs="Arial"/>
          <w:snapToGrid w:val="0"/>
          <w:color w:val="000000"/>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2E01">
        <w:rPr>
          <w:rFonts w:ascii="Arial" w:hAnsi="Arial" w:cs="Arial"/>
          <w:snapToGrid w:val="0"/>
          <w:color w:val="000000"/>
          <w:sz w:val="24"/>
        </w:rPr>
        <w:t>Henderson</w:t>
      </w:r>
    </w:p>
    <w:p w:rsidR="00BC09AC" w:rsidRDefault="00BC09AC" w:rsidP="00F4413F">
      <w:pPr>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sidR="00B40FD0" w:rsidRPr="00862E01">
        <w:rPr>
          <w:rFonts w:ascii="Arial" w:hAnsi="Arial" w:cs="Arial"/>
          <w:snapToGrid w:val="0"/>
          <w:color w:val="000000"/>
          <w:sz w:val="24"/>
        </w:rPr>
        <w:t>Capital Dynamics</w:t>
      </w:r>
    </w:p>
    <w:p w:rsidR="00B40FD0" w:rsidRDefault="00B40FD0" w:rsidP="00F4413F">
      <w:pPr>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t>Yorkshire Fund Managers</w:t>
      </w:r>
    </w:p>
    <w:p w:rsidR="00B40FD0" w:rsidRDefault="00B40FD0" w:rsidP="00F4413F">
      <w:pPr>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sidRPr="00862E01">
        <w:rPr>
          <w:rFonts w:ascii="Arial" w:hAnsi="Arial" w:cs="Arial"/>
          <w:snapToGrid w:val="0"/>
          <w:color w:val="000000"/>
          <w:sz w:val="24"/>
        </w:rPr>
        <w:t>Fauchier</w:t>
      </w:r>
    </w:p>
    <w:p w:rsidR="00B40FD0" w:rsidRDefault="00B40FD0" w:rsidP="00F4413F">
      <w:pPr>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t>Baillie Gifford</w:t>
      </w:r>
    </w:p>
    <w:p w:rsidR="00B40FD0" w:rsidRDefault="00B40FD0" w:rsidP="00F4413F">
      <w:pPr>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sidRPr="00862E01">
        <w:rPr>
          <w:rFonts w:ascii="Arial" w:hAnsi="Arial" w:cs="Arial"/>
          <w:snapToGrid w:val="0"/>
          <w:color w:val="000000"/>
          <w:sz w:val="24"/>
        </w:rPr>
        <w:t>Aviva</w:t>
      </w:r>
    </w:p>
    <w:p w:rsidR="00B40FD0" w:rsidRDefault="00B40FD0" w:rsidP="00F4413F">
      <w:pPr>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sidRPr="00862E01">
        <w:rPr>
          <w:rFonts w:ascii="Arial" w:hAnsi="Arial" w:cs="Arial"/>
          <w:snapToGrid w:val="0"/>
          <w:color w:val="000000"/>
          <w:sz w:val="24"/>
        </w:rPr>
        <w:t>Dimensional</w:t>
      </w:r>
    </w:p>
    <w:p w:rsidR="00B40FD0" w:rsidRDefault="00B40FD0" w:rsidP="00F4413F">
      <w:pPr>
        <w:rPr>
          <w:rFonts w:ascii="Arial" w:hAnsi="Arial" w:cs="Arial"/>
          <w:sz w:val="24"/>
          <w:szCs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t>Alinda</w:t>
      </w:r>
    </w:p>
    <w:p w:rsidR="006C2B5B" w:rsidRDefault="006C2B5B" w:rsidP="00F4413F">
      <w:pPr>
        <w:rPr>
          <w:rFonts w:ascii="Arial" w:hAnsi="Arial" w:cs="Arial"/>
          <w:sz w:val="24"/>
          <w:szCs w:val="24"/>
        </w:rPr>
      </w:pPr>
    </w:p>
    <w:p w:rsidR="002F1191" w:rsidRDefault="0081792A" w:rsidP="006C2B5B">
      <w:pPr>
        <w:rPr>
          <w:rFonts w:ascii="Arial" w:hAnsi="Arial" w:cs="Arial"/>
          <w:sz w:val="24"/>
          <w:szCs w:val="24"/>
        </w:rPr>
      </w:pPr>
      <w:r>
        <w:rPr>
          <w:rFonts w:ascii="Arial" w:hAnsi="Arial" w:cs="Arial"/>
          <w:b/>
          <w:sz w:val="24"/>
          <w:szCs w:val="24"/>
        </w:rPr>
        <w:t>Banker</w:t>
      </w:r>
      <w:r w:rsidR="002F1191" w:rsidRPr="002F1191">
        <w:rPr>
          <w:rFonts w:ascii="Arial" w:hAnsi="Arial" w:cs="Arial"/>
          <w:b/>
          <w:sz w:val="24"/>
          <w:szCs w:val="24"/>
        </w:rPr>
        <w:t>:</w:t>
      </w:r>
      <w:r w:rsidR="002F1191">
        <w:rPr>
          <w:rFonts w:ascii="Arial" w:hAnsi="Arial" w:cs="Arial"/>
          <w:sz w:val="24"/>
          <w:szCs w:val="24"/>
        </w:rPr>
        <w:tab/>
      </w:r>
      <w:r w:rsidR="002F1191">
        <w:rPr>
          <w:rFonts w:ascii="Arial" w:hAnsi="Arial" w:cs="Arial"/>
          <w:sz w:val="24"/>
          <w:szCs w:val="24"/>
        </w:rPr>
        <w:tab/>
      </w:r>
      <w:r w:rsidR="002F1191">
        <w:rPr>
          <w:rFonts w:ascii="Arial" w:hAnsi="Arial" w:cs="Arial"/>
          <w:sz w:val="24"/>
          <w:szCs w:val="24"/>
        </w:rPr>
        <w:tab/>
      </w:r>
      <w:r w:rsidR="002F1191">
        <w:rPr>
          <w:rFonts w:ascii="Arial" w:hAnsi="Arial" w:cs="Arial"/>
          <w:sz w:val="24"/>
          <w:szCs w:val="24"/>
        </w:rPr>
        <w:tab/>
        <w:t>NatWest</w:t>
      </w:r>
    </w:p>
    <w:p w:rsidR="002F1191" w:rsidRDefault="002F1191" w:rsidP="006C2B5B">
      <w:pPr>
        <w:rPr>
          <w:rFonts w:ascii="Arial" w:hAnsi="Arial" w:cs="Arial"/>
          <w:sz w:val="24"/>
          <w:szCs w:val="24"/>
        </w:rPr>
      </w:pPr>
    </w:p>
    <w:p w:rsidR="006C2B5B" w:rsidRDefault="006C2B5B" w:rsidP="006C2B5B">
      <w:pPr>
        <w:rPr>
          <w:rFonts w:ascii="Arial" w:hAnsi="Arial" w:cs="Arial"/>
          <w:b/>
          <w:sz w:val="24"/>
          <w:szCs w:val="24"/>
        </w:rPr>
      </w:pPr>
      <w:r w:rsidRPr="002F1191">
        <w:rPr>
          <w:rFonts w:ascii="Arial" w:hAnsi="Arial" w:cs="Arial"/>
          <w:b/>
          <w:sz w:val="24"/>
          <w:szCs w:val="24"/>
        </w:rPr>
        <w:t>Auditor:</w:t>
      </w:r>
      <w:r w:rsidR="005163F1">
        <w:rPr>
          <w:rFonts w:ascii="Arial" w:hAnsi="Arial" w:cs="Arial"/>
          <w:b/>
          <w:sz w:val="24"/>
          <w:szCs w:val="24"/>
        </w:rPr>
        <w:tab/>
      </w:r>
      <w:r w:rsidR="005163F1">
        <w:rPr>
          <w:rFonts w:ascii="Arial" w:hAnsi="Arial" w:cs="Arial"/>
          <w:b/>
          <w:sz w:val="24"/>
          <w:szCs w:val="24"/>
        </w:rPr>
        <w:tab/>
      </w:r>
      <w:r w:rsidR="005163F1">
        <w:rPr>
          <w:rFonts w:ascii="Arial" w:hAnsi="Arial" w:cs="Arial"/>
          <w:b/>
          <w:sz w:val="24"/>
          <w:szCs w:val="24"/>
        </w:rPr>
        <w:tab/>
      </w:r>
      <w:r w:rsidR="005163F1">
        <w:rPr>
          <w:rFonts w:ascii="Arial" w:hAnsi="Arial" w:cs="Arial"/>
          <w:b/>
          <w:sz w:val="24"/>
          <w:szCs w:val="24"/>
        </w:rPr>
        <w:tab/>
      </w:r>
      <w:r w:rsidR="005163F1" w:rsidRPr="005A206E">
        <w:rPr>
          <w:rFonts w:ascii="Arial" w:hAnsi="Arial" w:cs="Arial"/>
          <w:sz w:val="24"/>
          <w:szCs w:val="24"/>
        </w:rPr>
        <w:t>KPMG</w:t>
      </w:r>
    </w:p>
    <w:p w:rsidR="005163F1" w:rsidRDefault="005163F1" w:rsidP="006C2B5B">
      <w:pPr>
        <w:rPr>
          <w:rFonts w:ascii="Arial" w:hAnsi="Arial" w:cs="Arial"/>
          <w:b/>
          <w:sz w:val="24"/>
          <w:szCs w:val="24"/>
        </w:rPr>
      </w:pPr>
    </w:p>
    <w:p w:rsidR="005163F1" w:rsidRDefault="009A5FAB" w:rsidP="006C2B5B">
      <w:pPr>
        <w:rPr>
          <w:rFonts w:ascii="Arial" w:hAnsi="Arial" w:cs="Arial"/>
          <w:b/>
          <w:sz w:val="24"/>
          <w:szCs w:val="24"/>
        </w:rPr>
      </w:pPr>
      <w:r>
        <w:rPr>
          <w:rFonts w:ascii="Arial" w:hAnsi="Arial" w:cs="Arial"/>
          <w:b/>
          <w:sz w:val="24"/>
          <w:szCs w:val="24"/>
        </w:rPr>
        <w:t>Performance Measurement:</w:t>
      </w:r>
      <w:r>
        <w:rPr>
          <w:rFonts w:ascii="Arial" w:hAnsi="Arial" w:cs="Arial"/>
          <w:b/>
          <w:sz w:val="24"/>
          <w:szCs w:val="24"/>
        </w:rPr>
        <w:tab/>
      </w:r>
      <w:r w:rsidRPr="009A5FAB">
        <w:rPr>
          <w:rFonts w:ascii="Arial" w:hAnsi="Arial" w:cs="Arial"/>
          <w:sz w:val="24"/>
          <w:szCs w:val="24"/>
        </w:rPr>
        <w:t>WM</w:t>
      </w:r>
    </w:p>
    <w:p w:rsidR="009A5FAB" w:rsidRDefault="009A5FAB" w:rsidP="006C2B5B">
      <w:pPr>
        <w:rPr>
          <w:rFonts w:ascii="Arial" w:hAnsi="Arial" w:cs="Arial"/>
          <w:b/>
          <w:sz w:val="24"/>
          <w:szCs w:val="24"/>
        </w:rPr>
      </w:pPr>
    </w:p>
    <w:p w:rsidR="009A5FAB" w:rsidRPr="009A5FAB" w:rsidRDefault="009A5FAB" w:rsidP="006C2B5B">
      <w:pPr>
        <w:rPr>
          <w:rFonts w:ascii="Arial" w:hAnsi="Arial" w:cs="Arial"/>
          <w:sz w:val="24"/>
          <w:szCs w:val="24"/>
        </w:rPr>
      </w:pPr>
      <w:r>
        <w:rPr>
          <w:rFonts w:ascii="Arial" w:hAnsi="Arial" w:cs="Arial"/>
          <w:b/>
          <w:sz w:val="24"/>
          <w:szCs w:val="24"/>
        </w:rPr>
        <w:t>AVC Providers: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A5FAB">
        <w:rPr>
          <w:rFonts w:ascii="Arial" w:hAnsi="Arial" w:cs="Arial"/>
          <w:sz w:val="24"/>
          <w:szCs w:val="24"/>
        </w:rPr>
        <w:t>Clerical Medical</w:t>
      </w:r>
    </w:p>
    <w:p w:rsidR="000B21E5" w:rsidRDefault="009A5FAB" w:rsidP="006C2B5B">
      <w:pPr>
        <w:rPr>
          <w:rFonts w:ascii="Arial" w:hAnsi="Arial" w:cs="Arial"/>
          <w:sz w:val="24"/>
          <w:szCs w:val="24"/>
        </w:rPr>
      </w:pPr>
      <w:r w:rsidRPr="009A5FAB">
        <w:rPr>
          <w:rFonts w:ascii="Arial" w:hAnsi="Arial" w:cs="Arial"/>
          <w:sz w:val="24"/>
          <w:szCs w:val="24"/>
        </w:rPr>
        <w:tab/>
      </w:r>
      <w:r w:rsidRPr="009A5FAB">
        <w:rPr>
          <w:rFonts w:ascii="Arial" w:hAnsi="Arial" w:cs="Arial"/>
          <w:sz w:val="24"/>
          <w:szCs w:val="24"/>
        </w:rPr>
        <w:tab/>
      </w:r>
      <w:r w:rsidRPr="009A5FAB">
        <w:rPr>
          <w:rFonts w:ascii="Arial" w:hAnsi="Arial" w:cs="Arial"/>
          <w:sz w:val="24"/>
          <w:szCs w:val="24"/>
        </w:rPr>
        <w:tab/>
      </w:r>
      <w:r w:rsidRPr="009A5FAB">
        <w:rPr>
          <w:rFonts w:ascii="Arial" w:hAnsi="Arial" w:cs="Arial"/>
          <w:sz w:val="24"/>
          <w:szCs w:val="24"/>
        </w:rPr>
        <w:tab/>
      </w:r>
      <w:r w:rsidRPr="009A5FAB">
        <w:rPr>
          <w:rFonts w:ascii="Arial" w:hAnsi="Arial" w:cs="Arial"/>
          <w:sz w:val="24"/>
          <w:szCs w:val="24"/>
        </w:rPr>
        <w:tab/>
        <w:t>Equitable Life (legacy only)</w:t>
      </w:r>
    </w:p>
    <w:p w:rsidR="000B21E5" w:rsidRDefault="000B21E5">
      <w:pPr>
        <w:rPr>
          <w:rFonts w:ascii="Arial" w:hAnsi="Arial" w:cs="Arial"/>
          <w:sz w:val="24"/>
          <w:szCs w:val="24"/>
        </w:rPr>
      </w:pPr>
      <w:r>
        <w:rPr>
          <w:rFonts w:ascii="Arial" w:hAnsi="Arial" w:cs="Arial"/>
          <w:sz w:val="24"/>
          <w:szCs w:val="24"/>
        </w:rPr>
        <w:br w:type="page"/>
      </w:r>
    </w:p>
    <w:p w:rsidR="00671813" w:rsidRPr="00274A55" w:rsidRDefault="00B45269" w:rsidP="00671813">
      <w:pPr>
        <w:rPr>
          <w:rFonts w:ascii="Arial" w:hAnsi="Arial" w:cs="Arial"/>
          <w:b/>
          <w:sz w:val="32"/>
          <w:szCs w:val="32"/>
        </w:rPr>
      </w:pPr>
      <w:r>
        <w:rPr>
          <w:rFonts w:ascii="Arial" w:hAnsi="Arial" w:cs="Arial"/>
          <w:b/>
          <w:sz w:val="32"/>
          <w:szCs w:val="32"/>
        </w:rPr>
        <w:lastRenderedPageBreak/>
        <w:t>The Local Government Pension</w:t>
      </w:r>
      <w:r w:rsidR="00671813" w:rsidRPr="00274A55">
        <w:rPr>
          <w:rFonts w:ascii="Arial" w:hAnsi="Arial" w:cs="Arial"/>
          <w:b/>
          <w:sz w:val="32"/>
          <w:szCs w:val="32"/>
        </w:rPr>
        <w:t xml:space="preserve"> S</w:t>
      </w:r>
      <w:r>
        <w:rPr>
          <w:rFonts w:ascii="Arial" w:hAnsi="Arial" w:cs="Arial"/>
          <w:b/>
          <w:sz w:val="32"/>
          <w:szCs w:val="32"/>
        </w:rPr>
        <w:t>cheme</w:t>
      </w:r>
    </w:p>
    <w:p w:rsidR="00671813" w:rsidRDefault="00671813" w:rsidP="00671813">
      <w:pPr>
        <w:rPr>
          <w:rFonts w:ascii="Arial" w:hAnsi="Arial" w:cs="Arial"/>
          <w:b/>
          <w:sz w:val="24"/>
          <w:szCs w:val="24"/>
        </w:rPr>
      </w:pPr>
    </w:p>
    <w:p w:rsidR="00671813" w:rsidRDefault="00B45269" w:rsidP="00671813">
      <w:pPr>
        <w:rPr>
          <w:rFonts w:ascii="Arial" w:hAnsi="Arial" w:cs="Arial"/>
          <w:sz w:val="24"/>
          <w:szCs w:val="24"/>
        </w:rPr>
      </w:pPr>
      <w:r w:rsidRPr="00B45269">
        <w:rPr>
          <w:rFonts w:ascii="Arial" w:hAnsi="Arial" w:cs="Arial"/>
          <w:sz w:val="24"/>
          <w:szCs w:val="24"/>
        </w:rPr>
        <w:t xml:space="preserve">The </w:t>
      </w:r>
      <w:r w:rsidR="004E51BD">
        <w:rPr>
          <w:rFonts w:ascii="Arial" w:hAnsi="Arial" w:cs="Arial"/>
          <w:sz w:val="24"/>
          <w:szCs w:val="24"/>
        </w:rPr>
        <w:t>Government Pension Scheme (LGPS) is a statutory pension scheme.</w:t>
      </w:r>
    </w:p>
    <w:p w:rsidR="004E51BD" w:rsidRDefault="004E51BD" w:rsidP="00671813">
      <w:pPr>
        <w:rPr>
          <w:rFonts w:ascii="Arial" w:hAnsi="Arial" w:cs="Arial"/>
          <w:sz w:val="24"/>
          <w:szCs w:val="24"/>
        </w:rPr>
      </w:pPr>
    </w:p>
    <w:p w:rsidR="004E51BD" w:rsidRDefault="004E51BD" w:rsidP="00671813">
      <w:pPr>
        <w:rPr>
          <w:rFonts w:ascii="Arial" w:hAnsi="Arial" w:cs="Arial"/>
          <w:sz w:val="24"/>
          <w:szCs w:val="24"/>
        </w:rPr>
      </w:pPr>
      <w:r>
        <w:rPr>
          <w:rFonts w:ascii="Arial" w:hAnsi="Arial" w:cs="Arial"/>
          <w:sz w:val="24"/>
          <w:szCs w:val="24"/>
        </w:rPr>
        <w:t>This means that it is very secure as its benefits are defined and set out in law.</w:t>
      </w:r>
    </w:p>
    <w:p w:rsidR="004E51BD" w:rsidRDefault="004E51BD" w:rsidP="00671813">
      <w:pPr>
        <w:rPr>
          <w:rFonts w:ascii="Arial" w:hAnsi="Arial" w:cs="Arial"/>
          <w:sz w:val="24"/>
          <w:szCs w:val="24"/>
        </w:rPr>
      </w:pPr>
    </w:p>
    <w:p w:rsidR="004E51BD" w:rsidRDefault="004E51BD" w:rsidP="00671813">
      <w:pPr>
        <w:rPr>
          <w:rFonts w:ascii="Arial" w:hAnsi="Arial" w:cs="Arial"/>
          <w:sz w:val="24"/>
          <w:szCs w:val="24"/>
        </w:rPr>
      </w:pPr>
      <w:r>
        <w:rPr>
          <w:rFonts w:ascii="Arial" w:hAnsi="Arial" w:cs="Arial"/>
          <w:sz w:val="24"/>
          <w:szCs w:val="24"/>
        </w:rPr>
        <w:t>Under regulation 34 of The Local Government Pension Scheme (Administration) Regu</w:t>
      </w:r>
      <w:r w:rsidR="0098477F">
        <w:rPr>
          <w:rFonts w:ascii="Arial" w:hAnsi="Arial" w:cs="Arial"/>
          <w:sz w:val="24"/>
          <w:szCs w:val="24"/>
        </w:rPr>
        <w:t>lations 2008 No. 239, all LGPS f</w:t>
      </w:r>
      <w:r>
        <w:rPr>
          <w:rFonts w:ascii="Arial" w:hAnsi="Arial" w:cs="Arial"/>
          <w:sz w:val="24"/>
          <w:szCs w:val="24"/>
        </w:rPr>
        <w:t>unds are required to publish an Annual Report.</w:t>
      </w:r>
    </w:p>
    <w:p w:rsidR="004E51BD" w:rsidRDefault="004E51BD" w:rsidP="00671813">
      <w:pPr>
        <w:rPr>
          <w:rFonts w:ascii="Arial" w:hAnsi="Arial" w:cs="Arial"/>
          <w:sz w:val="24"/>
          <w:szCs w:val="24"/>
        </w:rPr>
      </w:pPr>
    </w:p>
    <w:p w:rsidR="0098477F" w:rsidRDefault="0098477F" w:rsidP="00671813">
      <w:pPr>
        <w:rPr>
          <w:rFonts w:ascii="Arial" w:hAnsi="Arial" w:cs="Arial"/>
          <w:sz w:val="24"/>
          <w:szCs w:val="24"/>
        </w:rPr>
      </w:pPr>
      <w:r>
        <w:rPr>
          <w:rFonts w:ascii="Arial" w:hAnsi="Arial" w:cs="Arial"/>
          <w:sz w:val="24"/>
          <w:szCs w:val="24"/>
        </w:rPr>
        <w:t>This document is the Annual Report</w:t>
      </w:r>
      <w:r w:rsidR="009F2EFA">
        <w:rPr>
          <w:rFonts w:ascii="Arial" w:hAnsi="Arial" w:cs="Arial"/>
          <w:sz w:val="24"/>
          <w:szCs w:val="24"/>
        </w:rPr>
        <w:t xml:space="preserve"> and Accounts </w:t>
      </w:r>
      <w:r>
        <w:rPr>
          <w:rFonts w:ascii="Arial" w:hAnsi="Arial" w:cs="Arial"/>
          <w:sz w:val="24"/>
          <w:szCs w:val="24"/>
        </w:rPr>
        <w:t xml:space="preserve">of </w:t>
      </w:r>
      <w:r w:rsidR="00E862F3">
        <w:rPr>
          <w:rFonts w:ascii="Arial" w:hAnsi="Arial" w:cs="Arial"/>
          <w:sz w:val="24"/>
          <w:szCs w:val="24"/>
        </w:rPr>
        <w:t>the Brent Pension Fund for 2012/</w:t>
      </w:r>
      <w:r>
        <w:rPr>
          <w:rFonts w:ascii="Arial" w:hAnsi="Arial" w:cs="Arial"/>
          <w:sz w:val="24"/>
          <w:szCs w:val="24"/>
        </w:rPr>
        <w:t>13.</w:t>
      </w:r>
    </w:p>
    <w:p w:rsidR="0098477F" w:rsidRDefault="0098477F" w:rsidP="00671813">
      <w:pPr>
        <w:rPr>
          <w:rFonts w:ascii="Arial" w:hAnsi="Arial" w:cs="Arial"/>
          <w:sz w:val="24"/>
          <w:szCs w:val="24"/>
        </w:rPr>
      </w:pPr>
    </w:p>
    <w:p w:rsidR="0098477F" w:rsidRDefault="0098477F" w:rsidP="00671813">
      <w:pPr>
        <w:rPr>
          <w:rFonts w:ascii="Arial" w:hAnsi="Arial" w:cs="Arial"/>
          <w:sz w:val="24"/>
          <w:szCs w:val="24"/>
        </w:rPr>
      </w:pPr>
    </w:p>
    <w:p w:rsidR="0098477F" w:rsidRPr="0098477F" w:rsidRDefault="0098477F" w:rsidP="00671813">
      <w:pPr>
        <w:rPr>
          <w:rFonts w:ascii="Arial" w:hAnsi="Arial" w:cs="Arial"/>
          <w:b/>
          <w:sz w:val="24"/>
          <w:szCs w:val="24"/>
        </w:rPr>
      </w:pPr>
      <w:r w:rsidRPr="0098477F">
        <w:rPr>
          <w:rFonts w:ascii="Arial" w:hAnsi="Arial" w:cs="Arial"/>
          <w:b/>
          <w:sz w:val="24"/>
          <w:szCs w:val="24"/>
        </w:rPr>
        <w:t>The LGPS in brief</w:t>
      </w:r>
    </w:p>
    <w:p w:rsidR="0098477F" w:rsidRDefault="0098477F" w:rsidP="00671813">
      <w:pPr>
        <w:rPr>
          <w:rFonts w:ascii="Arial" w:hAnsi="Arial" w:cs="Arial"/>
          <w:sz w:val="24"/>
          <w:szCs w:val="24"/>
        </w:rPr>
      </w:pPr>
    </w:p>
    <w:p w:rsidR="0098477F" w:rsidRDefault="0098477F" w:rsidP="00907AD2">
      <w:pPr>
        <w:pStyle w:val="ListParagraph"/>
        <w:numPr>
          <w:ilvl w:val="0"/>
          <w:numId w:val="4"/>
        </w:numPr>
        <w:rPr>
          <w:rFonts w:ascii="Arial" w:hAnsi="Arial" w:cs="Arial"/>
          <w:sz w:val="24"/>
          <w:szCs w:val="24"/>
        </w:rPr>
      </w:pPr>
      <w:r>
        <w:rPr>
          <w:rFonts w:ascii="Arial" w:hAnsi="Arial" w:cs="Arial"/>
          <w:sz w:val="24"/>
          <w:szCs w:val="24"/>
        </w:rPr>
        <w:t>The LGPS is one of the largest public sector pension schemes in the UK, with 4.6 million members</w:t>
      </w:r>
      <w:r w:rsidR="007B35A4">
        <w:rPr>
          <w:rFonts w:ascii="Arial" w:hAnsi="Arial" w:cs="Arial"/>
          <w:sz w:val="24"/>
          <w:szCs w:val="24"/>
        </w:rPr>
        <w:t>.</w:t>
      </w:r>
    </w:p>
    <w:p w:rsidR="0098477F" w:rsidRDefault="0098477F" w:rsidP="0098477F">
      <w:pPr>
        <w:pStyle w:val="ListParagraph"/>
        <w:rPr>
          <w:rFonts w:ascii="Arial" w:hAnsi="Arial" w:cs="Arial"/>
          <w:sz w:val="24"/>
          <w:szCs w:val="24"/>
        </w:rPr>
      </w:pPr>
    </w:p>
    <w:p w:rsidR="0098477F" w:rsidRDefault="0098477F" w:rsidP="00907AD2">
      <w:pPr>
        <w:pStyle w:val="ListParagraph"/>
        <w:numPr>
          <w:ilvl w:val="0"/>
          <w:numId w:val="4"/>
        </w:numPr>
        <w:rPr>
          <w:rFonts w:ascii="Arial" w:hAnsi="Arial" w:cs="Arial"/>
          <w:sz w:val="24"/>
          <w:szCs w:val="24"/>
        </w:rPr>
      </w:pPr>
      <w:r>
        <w:rPr>
          <w:rFonts w:ascii="Arial" w:hAnsi="Arial" w:cs="Arial"/>
          <w:sz w:val="24"/>
          <w:szCs w:val="24"/>
        </w:rPr>
        <w:t xml:space="preserve">It is </w:t>
      </w:r>
      <w:r w:rsidR="0092586D">
        <w:rPr>
          <w:rFonts w:ascii="Arial" w:hAnsi="Arial" w:cs="Arial"/>
          <w:sz w:val="24"/>
          <w:szCs w:val="24"/>
        </w:rPr>
        <w:t>a nationwide pension scheme for people working in local government or for other types of employer participating in the scheme</w:t>
      </w:r>
      <w:r w:rsidR="003A0CD9">
        <w:rPr>
          <w:rFonts w:ascii="Arial" w:hAnsi="Arial" w:cs="Arial"/>
          <w:sz w:val="24"/>
          <w:szCs w:val="24"/>
        </w:rPr>
        <w:t>.</w:t>
      </w:r>
    </w:p>
    <w:p w:rsidR="0092586D" w:rsidRPr="0092586D" w:rsidRDefault="0092586D" w:rsidP="0092586D">
      <w:pPr>
        <w:pStyle w:val="ListParagraph"/>
        <w:rPr>
          <w:rFonts w:ascii="Arial" w:hAnsi="Arial" w:cs="Arial"/>
          <w:sz w:val="24"/>
          <w:szCs w:val="24"/>
        </w:rPr>
      </w:pPr>
    </w:p>
    <w:p w:rsidR="0092586D" w:rsidRDefault="0092586D" w:rsidP="00907AD2">
      <w:pPr>
        <w:pStyle w:val="ListParagraph"/>
        <w:numPr>
          <w:ilvl w:val="0"/>
          <w:numId w:val="4"/>
        </w:numPr>
        <w:rPr>
          <w:rFonts w:ascii="Arial" w:hAnsi="Arial" w:cs="Arial"/>
          <w:sz w:val="24"/>
          <w:szCs w:val="24"/>
        </w:rPr>
      </w:pPr>
      <w:r>
        <w:rPr>
          <w:rFonts w:ascii="Arial" w:hAnsi="Arial" w:cs="Arial"/>
          <w:sz w:val="24"/>
          <w:szCs w:val="24"/>
        </w:rPr>
        <w:t xml:space="preserve">The </w:t>
      </w:r>
      <w:r w:rsidR="00A076B0">
        <w:rPr>
          <w:rFonts w:ascii="Arial" w:hAnsi="Arial" w:cs="Arial"/>
          <w:sz w:val="24"/>
          <w:szCs w:val="24"/>
        </w:rPr>
        <w:t>LGPS is administered locally by 99 regional pension funds – one of which is the Brent Pension Fund</w:t>
      </w:r>
      <w:r w:rsidR="003A0CD9">
        <w:rPr>
          <w:rFonts w:ascii="Arial" w:hAnsi="Arial" w:cs="Arial"/>
          <w:sz w:val="24"/>
          <w:szCs w:val="24"/>
        </w:rPr>
        <w:t>.</w:t>
      </w:r>
    </w:p>
    <w:p w:rsidR="00A076B0" w:rsidRPr="00A076B0" w:rsidRDefault="00A076B0" w:rsidP="00A076B0">
      <w:pPr>
        <w:pStyle w:val="ListParagraph"/>
        <w:rPr>
          <w:rFonts w:ascii="Arial" w:hAnsi="Arial" w:cs="Arial"/>
          <w:sz w:val="24"/>
          <w:szCs w:val="24"/>
        </w:rPr>
      </w:pPr>
    </w:p>
    <w:p w:rsidR="00A076B0" w:rsidRDefault="00A076B0" w:rsidP="00907AD2">
      <w:pPr>
        <w:pStyle w:val="ListParagraph"/>
        <w:numPr>
          <w:ilvl w:val="0"/>
          <w:numId w:val="4"/>
        </w:numPr>
        <w:rPr>
          <w:rFonts w:ascii="Arial" w:hAnsi="Arial" w:cs="Arial"/>
          <w:sz w:val="24"/>
          <w:szCs w:val="24"/>
        </w:rPr>
      </w:pPr>
      <w:r>
        <w:rPr>
          <w:rFonts w:ascii="Arial" w:hAnsi="Arial" w:cs="Arial"/>
          <w:sz w:val="24"/>
          <w:szCs w:val="24"/>
        </w:rPr>
        <w:t>It is a funded scheme, which means that Fund income and assets are invested to meet future pension fund commitments</w:t>
      </w:r>
      <w:r w:rsidR="003A0CD9">
        <w:rPr>
          <w:rFonts w:ascii="Arial" w:hAnsi="Arial" w:cs="Arial"/>
          <w:sz w:val="24"/>
          <w:szCs w:val="24"/>
        </w:rPr>
        <w:t>.</w:t>
      </w:r>
    </w:p>
    <w:p w:rsidR="00A076B0" w:rsidRPr="00A076B0" w:rsidRDefault="00A076B0" w:rsidP="00A076B0">
      <w:pPr>
        <w:pStyle w:val="ListParagraph"/>
        <w:rPr>
          <w:rFonts w:ascii="Arial" w:hAnsi="Arial" w:cs="Arial"/>
          <w:sz w:val="24"/>
          <w:szCs w:val="24"/>
        </w:rPr>
      </w:pPr>
    </w:p>
    <w:p w:rsidR="00A076B0" w:rsidRDefault="00A076B0" w:rsidP="00907AD2">
      <w:pPr>
        <w:pStyle w:val="ListParagraph"/>
        <w:numPr>
          <w:ilvl w:val="0"/>
          <w:numId w:val="4"/>
        </w:numPr>
        <w:rPr>
          <w:rFonts w:ascii="Arial" w:hAnsi="Arial" w:cs="Arial"/>
          <w:sz w:val="24"/>
          <w:szCs w:val="24"/>
        </w:rPr>
      </w:pPr>
      <w:r>
        <w:rPr>
          <w:rFonts w:ascii="Arial" w:hAnsi="Arial" w:cs="Arial"/>
          <w:sz w:val="24"/>
          <w:szCs w:val="24"/>
        </w:rPr>
        <w:t>Benefits are defined and related to members’ s</w:t>
      </w:r>
      <w:r w:rsidR="00F204D0">
        <w:rPr>
          <w:rFonts w:ascii="Arial" w:hAnsi="Arial" w:cs="Arial"/>
          <w:sz w:val="24"/>
          <w:szCs w:val="24"/>
        </w:rPr>
        <w:t>alaries, so they are not dependa</w:t>
      </w:r>
      <w:r>
        <w:rPr>
          <w:rFonts w:ascii="Arial" w:hAnsi="Arial" w:cs="Arial"/>
          <w:sz w:val="24"/>
          <w:szCs w:val="24"/>
        </w:rPr>
        <w:t>nt</w:t>
      </w:r>
      <w:r w:rsidR="00F204D0">
        <w:rPr>
          <w:rFonts w:ascii="Arial" w:hAnsi="Arial" w:cs="Arial"/>
          <w:sz w:val="24"/>
          <w:szCs w:val="24"/>
        </w:rPr>
        <w:t xml:space="preserve"> </w:t>
      </w:r>
      <w:r w:rsidR="00F02CB2">
        <w:rPr>
          <w:rFonts w:ascii="Arial" w:hAnsi="Arial" w:cs="Arial"/>
          <w:sz w:val="24"/>
          <w:szCs w:val="24"/>
        </w:rPr>
        <w:t>on investment performance. Ultimately the local authority and local taxpayers are the final guarantors</w:t>
      </w:r>
      <w:r w:rsidR="003A0CD9">
        <w:rPr>
          <w:rFonts w:ascii="Arial" w:hAnsi="Arial" w:cs="Arial"/>
          <w:sz w:val="24"/>
          <w:szCs w:val="24"/>
        </w:rPr>
        <w:t>.</w:t>
      </w:r>
    </w:p>
    <w:p w:rsidR="00F02CB2" w:rsidRPr="00F02CB2" w:rsidRDefault="00F02CB2" w:rsidP="00F02CB2">
      <w:pPr>
        <w:pStyle w:val="ListParagraph"/>
        <w:rPr>
          <w:rFonts w:ascii="Arial" w:hAnsi="Arial" w:cs="Arial"/>
          <w:sz w:val="24"/>
          <w:szCs w:val="24"/>
        </w:rPr>
      </w:pPr>
    </w:p>
    <w:p w:rsidR="00F02CB2" w:rsidRPr="0098477F" w:rsidRDefault="00F02CB2" w:rsidP="00907AD2">
      <w:pPr>
        <w:pStyle w:val="ListParagraph"/>
        <w:numPr>
          <w:ilvl w:val="0"/>
          <w:numId w:val="4"/>
        </w:numPr>
        <w:rPr>
          <w:rFonts w:ascii="Arial" w:hAnsi="Arial" w:cs="Arial"/>
          <w:sz w:val="24"/>
          <w:szCs w:val="24"/>
        </w:rPr>
      </w:pPr>
      <w:r>
        <w:rPr>
          <w:rFonts w:ascii="Arial" w:hAnsi="Arial" w:cs="Arial"/>
          <w:sz w:val="24"/>
          <w:szCs w:val="24"/>
        </w:rPr>
        <w:t>The scheme is regulated by Parliament.</w:t>
      </w:r>
    </w:p>
    <w:p w:rsidR="004E51BD" w:rsidRDefault="004E51BD" w:rsidP="00671813">
      <w:pPr>
        <w:rPr>
          <w:rFonts w:ascii="Arial" w:hAnsi="Arial" w:cs="Arial"/>
          <w:sz w:val="24"/>
          <w:szCs w:val="24"/>
        </w:rPr>
      </w:pPr>
    </w:p>
    <w:p w:rsidR="00F45651" w:rsidRDefault="00F45651">
      <w:pPr>
        <w:rPr>
          <w:rFonts w:ascii="Arial" w:hAnsi="Arial" w:cs="Arial"/>
          <w:sz w:val="24"/>
          <w:szCs w:val="24"/>
        </w:rPr>
      </w:pPr>
      <w:r>
        <w:rPr>
          <w:rFonts w:ascii="Arial" w:hAnsi="Arial" w:cs="Arial"/>
          <w:sz w:val="24"/>
          <w:szCs w:val="24"/>
        </w:rPr>
        <w:br w:type="page"/>
      </w:r>
    </w:p>
    <w:p w:rsidR="00F45651" w:rsidRPr="00274A55" w:rsidRDefault="00F9255F" w:rsidP="00F45651">
      <w:pPr>
        <w:rPr>
          <w:rFonts w:ascii="Arial" w:hAnsi="Arial" w:cs="Arial"/>
          <w:b/>
          <w:sz w:val="32"/>
          <w:szCs w:val="32"/>
        </w:rPr>
      </w:pPr>
      <w:r>
        <w:rPr>
          <w:rFonts w:ascii="Arial" w:hAnsi="Arial" w:cs="Arial"/>
          <w:b/>
          <w:sz w:val="32"/>
          <w:szCs w:val="32"/>
        </w:rPr>
        <w:lastRenderedPageBreak/>
        <w:t>Governance</w:t>
      </w:r>
    </w:p>
    <w:p w:rsidR="00F45651" w:rsidRDefault="00F45651" w:rsidP="00F45651">
      <w:pPr>
        <w:rPr>
          <w:rFonts w:ascii="Arial" w:hAnsi="Arial" w:cs="Arial"/>
          <w:b/>
          <w:sz w:val="24"/>
          <w:szCs w:val="24"/>
        </w:rPr>
      </w:pPr>
    </w:p>
    <w:p w:rsidR="007971BA" w:rsidRDefault="007971BA" w:rsidP="00F45651">
      <w:pPr>
        <w:rPr>
          <w:rFonts w:ascii="Arial" w:hAnsi="Arial" w:cs="Arial"/>
          <w:b/>
          <w:sz w:val="24"/>
          <w:szCs w:val="24"/>
        </w:rPr>
      </w:pPr>
    </w:p>
    <w:p w:rsidR="00F9255F" w:rsidRPr="007971BA" w:rsidRDefault="00F9255F" w:rsidP="00F45651">
      <w:pPr>
        <w:rPr>
          <w:rFonts w:ascii="Arial" w:hAnsi="Arial" w:cs="Arial"/>
          <w:b/>
          <w:sz w:val="24"/>
          <w:szCs w:val="24"/>
        </w:rPr>
      </w:pPr>
      <w:r w:rsidRPr="007971BA">
        <w:rPr>
          <w:rFonts w:ascii="Arial" w:hAnsi="Arial" w:cs="Arial"/>
          <w:b/>
          <w:sz w:val="24"/>
          <w:szCs w:val="24"/>
        </w:rPr>
        <w:t>Governance Statement</w:t>
      </w:r>
    </w:p>
    <w:p w:rsidR="00F9255F" w:rsidRDefault="00F9255F" w:rsidP="00F45651">
      <w:pPr>
        <w:rPr>
          <w:rFonts w:ascii="Arial" w:hAnsi="Arial" w:cs="Arial"/>
          <w:sz w:val="24"/>
          <w:szCs w:val="24"/>
        </w:rPr>
      </w:pPr>
    </w:p>
    <w:p w:rsidR="00F45651" w:rsidRPr="00B45269" w:rsidRDefault="00F45651" w:rsidP="00F45651">
      <w:pPr>
        <w:rPr>
          <w:rFonts w:ascii="Arial" w:hAnsi="Arial" w:cs="Arial"/>
          <w:sz w:val="24"/>
          <w:szCs w:val="24"/>
        </w:rPr>
      </w:pPr>
      <w:r w:rsidRPr="00B45269">
        <w:rPr>
          <w:rFonts w:ascii="Arial" w:hAnsi="Arial" w:cs="Arial"/>
          <w:sz w:val="24"/>
          <w:szCs w:val="24"/>
        </w:rPr>
        <w:t>The</w:t>
      </w:r>
      <w:r w:rsidR="00F4587F">
        <w:rPr>
          <w:rFonts w:ascii="Arial" w:hAnsi="Arial" w:cs="Arial"/>
          <w:sz w:val="24"/>
          <w:szCs w:val="24"/>
        </w:rPr>
        <w:t xml:space="preserve"> Brent Pension Fund publishes a Governance Statement each year. The latest version of this document is at page </w:t>
      </w:r>
      <w:r w:rsidR="001F625F">
        <w:rPr>
          <w:rFonts w:ascii="Arial" w:hAnsi="Arial" w:cs="Arial"/>
          <w:sz w:val="24"/>
          <w:szCs w:val="24"/>
        </w:rPr>
        <w:t>58</w:t>
      </w:r>
      <w:r w:rsidR="00F4587F">
        <w:rPr>
          <w:rFonts w:ascii="Arial" w:hAnsi="Arial" w:cs="Arial"/>
          <w:sz w:val="24"/>
          <w:szCs w:val="24"/>
        </w:rPr>
        <w:t>.</w:t>
      </w:r>
    </w:p>
    <w:p w:rsidR="009A5FAB" w:rsidRPr="007971BA" w:rsidRDefault="009A5FAB" w:rsidP="006C2B5B">
      <w:pPr>
        <w:rPr>
          <w:rFonts w:ascii="Arial" w:hAnsi="Arial" w:cs="Arial"/>
          <w:sz w:val="24"/>
          <w:szCs w:val="24"/>
        </w:rPr>
      </w:pPr>
    </w:p>
    <w:p w:rsidR="007971BA" w:rsidRDefault="007971BA" w:rsidP="00F4413F">
      <w:pPr>
        <w:rPr>
          <w:rFonts w:ascii="Arial" w:hAnsi="Arial" w:cs="Arial"/>
          <w:sz w:val="24"/>
          <w:szCs w:val="24"/>
        </w:rPr>
      </w:pPr>
      <w:r w:rsidRPr="007971BA">
        <w:rPr>
          <w:rFonts w:ascii="Arial" w:hAnsi="Arial" w:cs="Arial"/>
          <w:sz w:val="24"/>
          <w:szCs w:val="24"/>
        </w:rPr>
        <w:t>The Governance</w:t>
      </w:r>
      <w:r>
        <w:rPr>
          <w:rFonts w:ascii="Arial" w:hAnsi="Arial" w:cs="Arial"/>
          <w:sz w:val="24"/>
          <w:szCs w:val="24"/>
        </w:rPr>
        <w:t xml:space="preserve"> Statement reflects the Fund’s commitment to transparency and engagement with employers and scheme members.</w:t>
      </w:r>
    </w:p>
    <w:p w:rsidR="007971BA" w:rsidRPr="007971BA" w:rsidRDefault="007971BA" w:rsidP="00F4413F">
      <w:pPr>
        <w:rPr>
          <w:rFonts w:ascii="Arial" w:hAnsi="Arial" w:cs="Arial"/>
          <w:sz w:val="24"/>
          <w:szCs w:val="24"/>
        </w:rPr>
      </w:pPr>
    </w:p>
    <w:p w:rsidR="007971BA" w:rsidRDefault="007971BA" w:rsidP="00F4413F">
      <w:pPr>
        <w:rPr>
          <w:rFonts w:ascii="Arial" w:hAnsi="Arial" w:cs="Arial"/>
          <w:sz w:val="24"/>
          <w:szCs w:val="24"/>
        </w:rPr>
      </w:pPr>
      <w:r w:rsidRPr="007971BA">
        <w:rPr>
          <w:rFonts w:ascii="Arial" w:hAnsi="Arial" w:cs="Arial"/>
          <w:sz w:val="24"/>
          <w:szCs w:val="24"/>
        </w:rPr>
        <w:t>We monitor, review and consult where appropriate to ensure that our governance arrangements continue to be effective and relevant.</w:t>
      </w:r>
    </w:p>
    <w:p w:rsidR="007971BA" w:rsidRDefault="007971BA" w:rsidP="00F4413F">
      <w:pPr>
        <w:rPr>
          <w:rFonts w:ascii="Arial" w:hAnsi="Arial" w:cs="Arial"/>
          <w:sz w:val="24"/>
          <w:szCs w:val="24"/>
        </w:rPr>
      </w:pPr>
    </w:p>
    <w:p w:rsidR="007971BA" w:rsidRDefault="007971BA" w:rsidP="00F4413F">
      <w:pPr>
        <w:rPr>
          <w:rFonts w:ascii="Arial" w:hAnsi="Arial" w:cs="Arial"/>
          <w:sz w:val="24"/>
          <w:szCs w:val="24"/>
        </w:rPr>
      </w:pPr>
    </w:p>
    <w:p w:rsidR="007971BA" w:rsidRPr="007971BA" w:rsidRDefault="007971BA" w:rsidP="00F4413F">
      <w:pPr>
        <w:rPr>
          <w:rFonts w:ascii="Arial" w:hAnsi="Arial" w:cs="Arial"/>
          <w:b/>
          <w:sz w:val="24"/>
          <w:szCs w:val="24"/>
        </w:rPr>
      </w:pPr>
      <w:r w:rsidRPr="007971BA">
        <w:rPr>
          <w:rFonts w:ascii="Arial" w:hAnsi="Arial" w:cs="Arial"/>
          <w:b/>
          <w:sz w:val="24"/>
          <w:szCs w:val="24"/>
        </w:rPr>
        <w:t>Administering Authority</w:t>
      </w:r>
    </w:p>
    <w:p w:rsidR="007971BA" w:rsidRDefault="007971BA" w:rsidP="00F4413F">
      <w:pPr>
        <w:rPr>
          <w:rFonts w:ascii="Arial" w:hAnsi="Arial" w:cs="Arial"/>
          <w:sz w:val="24"/>
          <w:szCs w:val="24"/>
        </w:rPr>
      </w:pPr>
    </w:p>
    <w:p w:rsidR="007971BA" w:rsidRDefault="007971BA" w:rsidP="00F4413F">
      <w:pPr>
        <w:rPr>
          <w:rFonts w:ascii="Arial" w:hAnsi="Arial" w:cs="Arial"/>
          <w:sz w:val="24"/>
          <w:szCs w:val="24"/>
        </w:rPr>
      </w:pPr>
      <w:r>
        <w:rPr>
          <w:rFonts w:ascii="Arial" w:hAnsi="Arial" w:cs="Arial"/>
          <w:sz w:val="24"/>
          <w:szCs w:val="24"/>
        </w:rPr>
        <w:t>Brent Council is the Administering Authority of the Brent Pension Fund and administers the LGPS on behalf of its participating employers.</w:t>
      </w:r>
    </w:p>
    <w:p w:rsidR="007971BA" w:rsidRDefault="007971BA" w:rsidP="00F4413F">
      <w:pPr>
        <w:rPr>
          <w:rFonts w:ascii="Arial" w:hAnsi="Arial" w:cs="Arial"/>
          <w:sz w:val="24"/>
          <w:szCs w:val="24"/>
        </w:rPr>
      </w:pPr>
    </w:p>
    <w:p w:rsidR="007E602C" w:rsidRDefault="007E602C" w:rsidP="00907AD2">
      <w:pPr>
        <w:pStyle w:val="ListParagraph"/>
        <w:numPr>
          <w:ilvl w:val="0"/>
          <w:numId w:val="5"/>
        </w:numPr>
        <w:rPr>
          <w:rFonts w:ascii="Arial" w:hAnsi="Arial" w:cs="Arial"/>
          <w:sz w:val="24"/>
          <w:szCs w:val="24"/>
        </w:rPr>
      </w:pPr>
      <w:r>
        <w:rPr>
          <w:rFonts w:ascii="Arial" w:hAnsi="Arial" w:cs="Arial"/>
          <w:sz w:val="24"/>
          <w:szCs w:val="24"/>
        </w:rPr>
        <w:t>Brent Council has delegated its pensions functions to the Pension Fund Sub-Committee</w:t>
      </w:r>
    </w:p>
    <w:p w:rsidR="003829F9" w:rsidRPr="003829F9" w:rsidRDefault="003829F9" w:rsidP="003829F9">
      <w:pPr>
        <w:rPr>
          <w:rFonts w:ascii="Arial" w:hAnsi="Arial" w:cs="Arial"/>
          <w:sz w:val="24"/>
          <w:szCs w:val="24"/>
        </w:rPr>
      </w:pPr>
    </w:p>
    <w:p w:rsidR="007E602C" w:rsidRDefault="007E602C" w:rsidP="00907AD2">
      <w:pPr>
        <w:pStyle w:val="ListParagraph"/>
        <w:numPr>
          <w:ilvl w:val="0"/>
          <w:numId w:val="5"/>
        </w:numPr>
        <w:rPr>
          <w:rFonts w:ascii="Arial" w:hAnsi="Arial" w:cs="Arial"/>
          <w:sz w:val="24"/>
          <w:szCs w:val="24"/>
        </w:rPr>
      </w:pPr>
      <w:r>
        <w:rPr>
          <w:rFonts w:ascii="Arial" w:hAnsi="Arial" w:cs="Arial"/>
          <w:sz w:val="24"/>
          <w:szCs w:val="24"/>
        </w:rPr>
        <w:t xml:space="preserve">Brent Council has delegated responsibility for the administration and financial accounting of the Fund to the </w:t>
      </w:r>
      <w:r w:rsidR="00C642FC">
        <w:rPr>
          <w:rFonts w:ascii="Arial" w:hAnsi="Arial" w:cs="Arial"/>
          <w:sz w:val="24"/>
          <w:szCs w:val="24"/>
        </w:rPr>
        <w:t>Chief Finance</w:t>
      </w:r>
      <w:r w:rsidR="00C9048B">
        <w:rPr>
          <w:rFonts w:ascii="Arial" w:hAnsi="Arial" w:cs="Arial"/>
          <w:sz w:val="24"/>
          <w:szCs w:val="24"/>
        </w:rPr>
        <w:t xml:space="preserve"> Officer</w:t>
      </w:r>
    </w:p>
    <w:p w:rsidR="003829F9" w:rsidRPr="003829F9" w:rsidRDefault="003829F9" w:rsidP="003829F9">
      <w:pPr>
        <w:pStyle w:val="ListParagraph"/>
        <w:rPr>
          <w:rFonts w:ascii="Arial" w:hAnsi="Arial" w:cs="Arial"/>
          <w:sz w:val="24"/>
          <w:szCs w:val="24"/>
        </w:rPr>
      </w:pPr>
    </w:p>
    <w:p w:rsidR="007E602C" w:rsidRPr="00DF06E1" w:rsidRDefault="007E602C" w:rsidP="00907AD2">
      <w:pPr>
        <w:pStyle w:val="ListParagraph"/>
        <w:numPr>
          <w:ilvl w:val="0"/>
          <w:numId w:val="5"/>
        </w:numPr>
        <w:rPr>
          <w:rFonts w:ascii="Arial" w:hAnsi="Arial" w:cs="Arial"/>
          <w:sz w:val="24"/>
          <w:szCs w:val="24"/>
        </w:rPr>
      </w:pPr>
      <w:r>
        <w:rPr>
          <w:rFonts w:ascii="Arial" w:hAnsi="Arial" w:cs="Arial"/>
          <w:sz w:val="24"/>
          <w:szCs w:val="24"/>
        </w:rPr>
        <w:t xml:space="preserve">This report supports Brent Council’s Annual Governance Statement, which is published at </w:t>
      </w:r>
      <w:r w:rsidRPr="00DF06E1">
        <w:rPr>
          <w:rFonts w:ascii="Arial" w:hAnsi="Arial" w:cs="Arial"/>
          <w:sz w:val="24"/>
          <w:szCs w:val="24"/>
        </w:rPr>
        <w:t xml:space="preserve">page </w:t>
      </w:r>
      <w:r w:rsidR="001F625F">
        <w:rPr>
          <w:rFonts w:ascii="Arial" w:hAnsi="Arial" w:cs="Arial"/>
          <w:sz w:val="24"/>
          <w:szCs w:val="24"/>
        </w:rPr>
        <w:t>58</w:t>
      </w:r>
      <w:r w:rsidRPr="00DF06E1">
        <w:rPr>
          <w:rFonts w:ascii="Arial" w:hAnsi="Arial" w:cs="Arial"/>
          <w:sz w:val="24"/>
          <w:szCs w:val="24"/>
        </w:rPr>
        <w:t>.</w:t>
      </w:r>
    </w:p>
    <w:p w:rsidR="007E602C" w:rsidRDefault="007E602C" w:rsidP="00F4413F">
      <w:pPr>
        <w:rPr>
          <w:rFonts w:ascii="Arial" w:hAnsi="Arial" w:cs="Arial"/>
          <w:sz w:val="24"/>
          <w:szCs w:val="24"/>
        </w:rPr>
      </w:pPr>
    </w:p>
    <w:p w:rsidR="008A2620" w:rsidRDefault="008A2620" w:rsidP="008A2620">
      <w:pPr>
        <w:rPr>
          <w:rFonts w:ascii="Arial" w:hAnsi="Arial" w:cs="Arial"/>
          <w:sz w:val="24"/>
          <w:szCs w:val="24"/>
        </w:rPr>
      </w:pPr>
    </w:p>
    <w:p w:rsidR="008A2620" w:rsidRPr="007971BA" w:rsidRDefault="008A2620" w:rsidP="008A2620">
      <w:pPr>
        <w:rPr>
          <w:rFonts w:ascii="Arial" w:hAnsi="Arial" w:cs="Arial"/>
          <w:b/>
          <w:sz w:val="24"/>
          <w:szCs w:val="24"/>
        </w:rPr>
      </w:pPr>
      <w:r>
        <w:rPr>
          <w:rFonts w:ascii="Arial" w:hAnsi="Arial" w:cs="Arial"/>
          <w:b/>
          <w:sz w:val="24"/>
          <w:szCs w:val="24"/>
        </w:rPr>
        <w:t>Governance Compliance</w:t>
      </w:r>
    </w:p>
    <w:p w:rsidR="008A2620" w:rsidRDefault="008A2620" w:rsidP="008A2620">
      <w:pPr>
        <w:rPr>
          <w:rFonts w:ascii="Arial" w:hAnsi="Arial" w:cs="Arial"/>
          <w:sz w:val="24"/>
          <w:szCs w:val="24"/>
        </w:rPr>
      </w:pPr>
    </w:p>
    <w:p w:rsidR="00C31739" w:rsidRDefault="00C31739" w:rsidP="008A2620">
      <w:pPr>
        <w:rPr>
          <w:rFonts w:ascii="Arial" w:hAnsi="Arial" w:cs="Arial"/>
          <w:sz w:val="24"/>
          <w:szCs w:val="24"/>
        </w:rPr>
      </w:pPr>
      <w:r>
        <w:rPr>
          <w:rFonts w:ascii="Arial" w:hAnsi="Arial" w:cs="Arial"/>
          <w:sz w:val="24"/>
          <w:szCs w:val="24"/>
        </w:rPr>
        <w:t xml:space="preserve">The </w:t>
      </w:r>
      <w:r w:rsidR="008A2620">
        <w:rPr>
          <w:rFonts w:ascii="Arial" w:hAnsi="Arial" w:cs="Arial"/>
          <w:sz w:val="24"/>
          <w:szCs w:val="24"/>
        </w:rPr>
        <w:t xml:space="preserve">Brent </w:t>
      </w:r>
      <w:r>
        <w:rPr>
          <w:rFonts w:ascii="Arial" w:hAnsi="Arial" w:cs="Arial"/>
          <w:sz w:val="24"/>
          <w:szCs w:val="24"/>
        </w:rPr>
        <w:t>Pension Fund is fully compliant with the principles set out in the Local Government Pension Scheme (Administration) Regulations 2008 (as amended) Regulation 31.</w:t>
      </w:r>
    </w:p>
    <w:p w:rsidR="00C31739" w:rsidRDefault="00C31739" w:rsidP="008A2620">
      <w:pPr>
        <w:rPr>
          <w:rFonts w:ascii="Arial" w:hAnsi="Arial" w:cs="Arial"/>
          <w:sz w:val="24"/>
          <w:szCs w:val="24"/>
        </w:rPr>
      </w:pPr>
    </w:p>
    <w:p w:rsidR="00697B6E" w:rsidRDefault="00C31739" w:rsidP="008A2620">
      <w:pPr>
        <w:rPr>
          <w:rFonts w:ascii="Arial" w:hAnsi="Arial" w:cs="Arial"/>
          <w:sz w:val="24"/>
          <w:szCs w:val="24"/>
        </w:rPr>
      </w:pPr>
      <w:r>
        <w:rPr>
          <w:rFonts w:ascii="Arial" w:hAnsi="Arial" w:cs="Arial"/>
          <w:sz w:val="24"/>
          <w:szCs w:val="24"/>
        </w:rPr>
        <w:t xml:space="preserve">The full compliance statement is at </w:t>
      </w:r>
      <w:r w:rsidRPr="00DF06E1">
        <w:rPr>
          <w:rFonts w:ascii="Arial" w:hAnsi="Arial" w:cs="Arial"/>
          <w:sz w:val="24"/>
          <w:szCs w:val="24"/>
        </w:rPr>
        <w:t xml:space="preserve">page </w:t>
      </w:r>
      <w:r w:rsidR="001F625F">
        <w:rPr>
          <w:rFonts w:ascii="Arial" w:hAnsi="Arial" w:cs="Arial"/>
          <w:sz w:val="24"/>
          <w:szCs w:val="24"/>
        </w:rPr>
        <w:t>60</w:t>
      </w:r>
      <w:r w:rsidRPr="00DF06E1">
        <w:rPr>
          <w:rFonts w:ascii="Arial" w:hAnsi="Arial" w:cs="Arial"/>
          <w:sz w:val="24"/>
          <w:szCs w:val="24"/>
        </w:rPr>
        <w:t>.</w:t>
      </w:r>
    </w:p>
    <w:p w:rsidR="00697B6E" w:rsidRDefault="00697B6E" w:rsidP="008A2620">
      <w:pPr>
        <w:rPr>
          <w:rFonts w:ascii="Arial" w:hAnsi="Arial" w:cs="Arial"/>
          <w:sz w:val="24"/>
          <w:szCs w:val="24"/>
        </w:rPr>
      </w:pPr>
    </w:p>
    <w:p w:rsidR="00697B6E" w:rsidRDefault="00697B6E" w:rsidP="00697B6E">
      <w:pPr>
        <w:rPr>
          <w:rFonts w:ascii="Arial" w:hAnsi="Arial" w:cs="Arial"/>
          <w:sz w:val="24"/>
          <w:szCs w:val="24"/>
        </w:rPr>
      </w:pPr>
    </w:p>
    <w:p w:rsidR="00697B6E" w:rsidRPr="007971BA" w:rsidRDefault="00697B6E" w:rsidP="00697B6E">
      <w:pPr>
        <w:rPr>
          <w:rFonts w:ascii="Arial" w:hAnsi="Arial" w:cs="Arial"/>
          <w:b/>
          <w:sz w:val="24"/>
          <w:szCs w:val="24"/>
        </w:rPr>
      </w:pPr>
      <w:r>
        <w:rPr>
          <w:rFonts w:ascii="Arial" w:hAnsi="Arial" w:cs="Arial"/>
          <w:b/>
          <w:sz w:val="24"/>
          <w:szCs w:val="24"/>
        </w:rPr>
        <w:t>Pension Fund Sub-Committee</w:t>
      </w:r>
    </w:p>
    <w:p w:rsidR="00697B6E" w:rsidRDefault="00697B6E" w:rsidP="00697B6E">
      <w:pPr>
        <w:rPr>
          <w:rFonts w:ascii="Arial" w:hAnsi="Arial" w:cs="Arial"/>
          <w:sz w:val="24"/>
          <w:szCs w:val="24"/>
        </w:rPr>
      </w:pPr>
    </w:p>
    <w:p w:rsidR="00697B6E" w:rsidRDefault="00697B6E" w:rsidP="00697B6E">
      <w:pPr>
        <w:rPr>
          <w:rFonts w:ascii="Arial" w:hAnsi="Arial" w:cs="Arial"/>
          <w:sz w:val="24"/>
          <w:szCs w:val="24"/>
        </w:rPr>
      </w:pPr>
      <w:r>
        <w:rPr>
          <w:rFonts w:ascii="Arial" w:hAnsi="Arial" w:cs="Arial"/>
          <w:sz w:val="24"/>
          <w:szCs w:val="24"/>
        </w:rPr>
        <w:t>The Pension Fund Sub-Committee is responsible for the strategic management of the assets of the Fund and the administration of benefits. The Pension Fund Sub-Committee meets quarterly to:</w:t>
      </w:r>
    </w:p>
    <w:p w:rsidR="003829F9" w:rsidRDefault="003829F9" w:rsidP="00697B6E">
      <w:pPr>
        <w:rPr>
          <w:rFonts w:ascii="Arial" w:hAnsi="Arial" w:cs="Arial"/>
          <w:sz w:val="24"/>
          <w:szCs w:val="24"/>
        </w:rPr>
      </w:pPr>
    </w:p>
    <w:p w:rsidR="0000251F" w:rsidRDefault="00C642FC" w:rsidP="00907AD2">
      <w:pPr>
        <w:pStyle w:val="ListParagraph"/>
        <w:numPr>
          <w:ilvl w:val="0"/>
          <w:numId w:val="6"/>
        </w:numPr>
        <w:rPr>
          <w:rFonts w:ascii="Arial" w:hAnsi="Arial" w:cs="Arial"/>
          <w:sz w:val="24"/>
          <w:szCs w:val="24"/>
        </w:rPr>
      </w:pPr>
      <w:r>
        <w:rPr>
          <w:rFonts w:ascii="Arial" w:hAnsi="Arial" w:cs="Arial"/>
          <w:sz w:val="24"/>
          <w:szCs w:val="24"/>
        </w:rPr>
        <w:t>e</w:t>
      </w:r>
      <w:r w:rsidR="0000251F">
        <w:rPr>
          <w:rFonts w:ascii="Arial" w:hAnsi="Arial" w:cs="Arial"/>
          <w:sz w:val="24"/>
          <w:szCs w:val="24"/>
        </w:rPr>
        <w:t xml:space="preserve">nsure </w:t>
      </w:r>
      <w:r w:rsidR="003829F9">
        <w:rPr>
          <w:rFonts w:ascii="Arial" w:hAnsi="Arial" w:cs="Arial"/>
          <w:sz w:val="24"/>
          <w:szCs w:val="24"/>
        </w:rPr>
        <w:t>compliance with legislation and best practice</w:t>
      </w:r>
    </w:p>
    <w:p w:rsidR="003829F9" w:rsidRDefault="003829F9" w:rsidP="003829F9">
      <w:pPr>
        <w:pStyle w:val="ListParagraph"/>
        <w:rPr>
          <w:rFonts w:ascii="Arial" w:hAnsi="Arial" w:cs="Arial"/>
          <w:sz w:val="24"/>
          <w:szCs w:val="24"/>
        </w:rPr>
      </w:pPr>
    </w:p>
    <w:p w:rsidR="003829F9" w:rsidRDefault="00C642FC" w:rsidP="00907AD2">
      <w:pPr>
        <w:pStyle w:val="ListParagraph"/>
        <w:numPr>
          <w:ilvl w:val="0"/>
          <w:numId w:val="6"/>
        </w:numPr>
        <w:rPr>
          <w:rFonts w:ascii="Arial" w:hAnsi="Arial" w:cs="Arial"/>
          <w:sz w:val="24"/>
          <w:szCs w:val="24"/>
        </w:rPr>
      </w:pPr>
      <w:r>
        <w:rPr>
          <w:rFonts w:ascii="Arial" w:hAnsi="Arial" w:cs="Arial"/>
          <w:sz w:val="24"/>
          <w:szCs w:val="24"/>
        </w:rPr>
        <w:t>d</w:t>
      </w:r>
      <w:r w:rsidR="003829F9">
        <w:rPr>
          <w:rFonts w:ascii="Arial" w:hAnsi="Arial" w:cs="Arial"/>
          <w:sz w:val="24"/>
          <w:szCs w:val="24"/>
        </w:rPr>
        <w:t>etermine policy for the investment, funding and administration of the Fund</w:t>
      </w:r>
    </w:p>
    <w:p w:rsidR="006A0D1A" w:rsidRPr="006A0D1A" w:rsidRDefault="006A0D1A" w:rsidP="006A0D1A">
      <w:pPr>
        <w:rPr>
          <w:rFonts w:ascii="Arial" w:hAnsi="Arial" w:cs="Arial"/>
          <w:sz w:val="24"/>
          <w:szCs w:val="24"/>
        </w:rPr>
      </w:pPr>
    </w:p>
    <w:p w:rsidR="003829F9" w:rsidRDefault="00C642FC" w:rsidP="00907AD2">
      <w:pPr>
        <w:pStyle w:val="ListParagraph"/>
        <w:numPr>
          <w:ilvl w:val="0"/>
          <w:numId w:val="6"/>
        </w:numPr>
        <w:rPr>
          <w:rFonts w:ascii="Arial" w:hAnsi="Arial" w:cs="Arial"/>
          <w:sz w:val="24"/>
          <w:szCs w:val="24"/>
        </w:rPr>
      </w:pPr>
      <w:r>
        <w:rPr>
          <w:rFonts w:ascii="Arial" w:hAnsi="Arial" w:cs="Arial"/>
          <w:sz w:val="24"/>
          <w:szCs w:val="24"/>
        </w:rPr>
        <w:lastRenderedPageBreak/>
        <w:t>m</w:t>
      </w:r>
      <w:r w:rsidR="00C96E89">
        <w:rPr>
          <w:rFonts w:ascii="Arial" w:hAnsi="Arial" w:cs="Arial"/>
          <w:sz w:val="24"/>
          <w:szCs w:val="24"/>
        </w:rPr>
        <w:t>onitor performance across all aspects of the service</w:t>
      </w:r>
    </w:p>
    <w:p w:rsidR="00C96E89" w:rsidRPr="00C96E89" w:rsidRDefault="00C96E89" w:rsidP="00C96E89">
      <w:pPr>
        <w:rPr>
          <w:rFonts w:ascii="Arial" w:hAnsi="Arial" w:cs="Arial"/>
          <w:sz w:val="24"/>
          <w:szCs w:val="24"/>
        </w:rPr>
      </w:pPr>
    </w:p>
    <w:p w:rsidR="00C96E89" w:rsidRDefault="00C642FC" w:rsidP="00907AD2">
      <w:pPr>
        <w:pStyle w:val="ListParagraph"/>
        <w:numPr>
          <w:ilvl w:val="0"/>
          <w:numId w:val="6"/>
        </w:numPr>
        <w:rPr>
          <w:rFonts w:ascii="Arial" w:hAnsi="Arial" w:cs="Arial"/>
          <w:sz w:val="24"/>
          <w:szCs w:val="24"/>
        </w:rPr>
      </w:pPr>
      <w:r>
        <w:rPr>
          <w:rFonts w:ascii="Arial" w:hAnsi="Arial" w:cs="Arial"/>
          <w:sz w:val="24"/>
          <w:szCs w:val="24"/>
        </w:rPr>
        <w:t>c</w:t>
      </w:r>
      <w:r w:rsidR="00C96E89">
        <w:rPr>
          <w:rFonts w:ascii="Arial" w:hAnsi="Arial" w:cs="Arial"/>
          <w:sz w:val="24"/>
          <w:szCs w:val="24"/>
        </w:rPr>
        <w:t>onsider issues arising and make decisions to secure efficient and effective performance and service delivery</w:t>
      </w:r>
    </w:p>
    <w:p w:rsidR="00C96E89" w:rsidRPr="00C96E89" w:rsidRDefault="00C96E89" w:rsidP="00C96E89">
      <w:pPr>
        <w:pStyle w:val="ListParagraph"/>
        <w:rPr>
          <w:rFonts w:ascii="Arial" w:hAnsi="Arial" w:cs="Arial"/>
          <w:sz w:val="24"/>
          <w:szCs w:val="24"/>
        </w:rPr>
      </w:pPr>
    </w:p>
    <w:p w:rsidR="00C96E89" w:rsidRDefault="00C642FC" w:rsidP="00907AD2">
      <w:pPr>
        <w:pStyle w:val="ListParagraph"/>
        <w:numPr>
          <w:ilvl w:val="0"/>
          <w:numId w:val="6"/>
        </w:numPr>
        <w:rPr>
          <w:rFonts w:ascii="Arial" w:hAnsi="Arial" w:cs="Arial"/>
          <w:sz w:val="24"/>
          <w:szCs w:val="24"/>
        </w:rPr>
      </w:pPr>
      <w:r>
        <w:rPr>
          <w:rFonts w:ascii="Arial" w:hAnsi="Arial" w:cs="Arial"/>
          <w:sz w:val="24"/>
          <w:szCs w:val="24"/>
        </w:rPr>
        <w:t>a</w:t>
      </w:r>
      <w:r w:rsidR="00AD4CC7">
        <w:rPr>
          <w:rFonts w:ascii="Arial" w:hAnsi="Arial" w:cs="Arial"/>
          <w:sz w:val="24"/>
          <w:szCs w:val="24"/>
        </w:rPr>
        <w:t>ppoint and monitor advisers</w:t>
      </w:r>
    </w:p>
    <w:p w:rsidR="00AD4CC7" w:rsidRPr="00AD4CC7" w:rsidRDefault="00AD4CC7" w:rsidP="00AD4CC7">
      <w:pPr>
        <w:pStyle w:val="ListParagraph"/>
        <w:rPr>
          <w:rFonts w:ascii="Arial" w:hAnsi="Arial" w:cs="Arial"/>
          <w:sz w:val="24"/>
          <w:szCs w:val="24"/>
        </w:rPr>
      </w:pPr>
    </w:p>
    <w:p w:rsidR="00AD4CC7" w:rsidRPr="0000251F" w:rsidRDefault="00C642FC" w:rsidP="00907AD2">
      <w:pPr>
        <w:pStyle w:val="ListParagraph"/>
        <w:numPr>
          <w:ilvl w:val="0"/>
          <w:numId w:val="6"/>
        </w:numPr>
        <w:rPr>
          <w:rFonts w:ascii="Arial" w:hAnsi="Arial" w:cs="Arial"/>
          <w:sz w:val="24"/>
          <w:szCs w:val="24"/>
        </w:rPr>
      </w:pPr>
      <w:r>
        <w:rPr>
          <w:rFonts w:ascii="Arial" w:hAnsi="Arial" w:cs="Arial"/>
          <w:sz w:val="24"/>
          <w:szCs w:val="24"/>
        </w:rPr>
        <w:t>e</w:t>
      </w:r>
      <w:r w:rsidR="00AD4CC7">
        <w:rPr>
          <w:rFonts w:ascii="Arial" w:hAnsi="Arial" w:cs="Arial"/>
          <w:sz w:val="24"/>
          <w:szCs w:val="24"/>
        </w:rPr>
        <w:t xml:space="preserve">nsure that arrangements are </w:t>
      </w:r>
      <w:r w:rsidR="00136B48">
        <w:rPr>
          <w:rFonts w:ascii="Arial" w:hAnsi="Arial" w:cs="Arial"/>
          <w:sz w:val="24"/>
          <w:szCs w:val="24"/>
        </w:rPr>
        <w:t>in place for consultation with stakeholders as necessary.</w:t>
      </w:r>
    </w:p>
    <w:p w:rsidR="0000251F" w:rsidRDefault="0000251F" w:rsidP="00697B6E">
      <w:pPr>
        <w:rPr>
          <w:rFonts w:ascii="Arial" w:hAnsi="Arial" w:cs="Arial"/>
          <w:sz w:val="24"/>
          <w:szCs w:val="24"/>
        </w:rPr>
      </w:pPr>
    </w:p>
    <w:p w:rsidR="00136B48" w:rsidRDefault="00136B48" w:rsidP="00697B6E">
      <w:pPr>
        <w:rPr>
          <w:rFonts w:ascii="Arial" w:hAnsi="Arial" w:cs="Arial"/>
          <w:sz w:val="24"/>
          <w:szCs w:val="24"/>
        </w:rPr>
      </w:pPr>
    </w:p>
    <w:p w:rsidR="00136B48" w:rsidRPr="00206DA5" w:rsidRDefault="00206DA5" w:rsidP="00697B6E">
      <w:pPr>
        <w:rPr>
          <w:rFonts w:ascii="Arial" w:hAnsi="Arial" w:cs="Arial"/>
          <w:b/>
          <w:sz w:val="24"/>
          <w:szCs w:val="24"/>
        </w:rPr>
      </w:pPr>
      <w:r w:rsidRPr="00206DA5">
        <w:rPr>
          <w:rFonts w:ascii="Arial" w:hAnsi="Arial" w:cs="Arial"/>
          <w:b/>
          <w:sz w:val="24"/>
          <w:szCs w:val="24"/>
        </w:rPr>
        <w:t>Pension Fund Sub-Committee Membership as at 31 March 2013</w:t>
      </w:r>
    </w:p>
    <w:p w:rsidR="00136B48" w:rsidRDefault="00136B48" w:rsidP="00697B6E">
      <w:pPr>
        <w:rPr>
          <w:rFonts w:ascii="Arial" w:hAnsi="Arial" w:cs="Arial"/>
          <w:sz w:val="24"/>
          <w:szCs w:val="24"/>
        </w:rPr>
      </w:pPr>
    </w:p>
    <w:p w:rsidR="00136B48" w:rsidRDefault="00206DA5" w:rsidP="00697B6E">
      <w:pPr>
        <w:rPr>
          <w:rFonts w:ascii="Arial" w:hAnsi="Arial" w:cs="Arial"/>
          <w:sz w:val="24"/>
          <w:szCs w:val="24"/>
        </w:rPr>
      </w:pPr>
      <w:r w:rsidRPr="00EF4C2F">
        <w:rPr>
          <w:rFonts w:ascii="Arial" w:hAnsi="Arial" w:cs="Arial"/>
          <w:b/>
          <w:sz w:val="24"/>
          <w:szCs w:val="24"/>
        </w:rPr>
        <w:t>Chair:</w:t>
      </w:r>
      <w:r w:rsidRPr="00EF4C2F">
        <w:rPr>
          <w:rFonts w:ascii="Arial" w:hAnsi="Arial" w:cs="Arial"/>
          <w:b/>
          <w:sz w:val="24"/>
          <w:szCs w:val="24"/>
        </w:rPr>
        <w:tab/>
      </w:r>
      <w:r>
        <w:rPr>
          <w:rFonts w:ascii="Arial" w:hAnsi="Arial" w:cs="Arial"/>
          <w:sz w:val="24"/>
          <w:szCs w:val="24"/>
        </w:rPr>
        <w:tab/>
      </w:r>
      <w:r>
        <w:rPr>
          <w:rFonts w:ascii="Arial" w:hAnsi="Arial" w:cs="Arial"/>
          <w:sz w:val="24"/>
          <w:szCs w:val="24"/>
        </w:rPr>
        <w:tab/>
      </w:r>
      <w:r w:rsidR="00EF4C2F">
        <w:rPr>
          <w:rFonts w:ascii="Arial" w:hAnsi="Arial" w:cs="Arial"/>
          <w:sz w:val="24"/>
          <w:szCs w:val="24"/>
        </w:rPr>
        <w:tab/>
      </w:r>
      <w:r w:rsidR="00EF4C2F">
        <w:rPr>
          <w:rFonts w:ascii="Arial" w:hAnsi="Arial" w:cs="Arial"/>
          <w:sz w:val="24"/>
          <w:szCs w:val="24"/>
        </w:rPr>
        <w:tab/>
      </w:r>
      <w:r>
        <w:rPr>
          <w:rFonts w:ascii="Arial" w:hAnsi="Arial" w:cs="Arial"/>
          <w:sz w:val="24"/>
          <w:szCs w:val="24"/>
        </w:rPr>
        <w:t>Cllr Shafique Choudhary</w:t>
      </w:r>
    </w:p>
    <w:p w:rsidR="00206DA5" w:rsidRDefault="00EF4C2F" w:rsidP="00697B6E">
      <w:pPr>
        <w:rPr>
          <w:rFonts w:ascii="Arial" w:hAnsi="Arial" w:cs="Arial"/>
          <w:sz w:val="24"/>
          <w:szCs w:val="24"/>
        </w:rPr>
      </w:pPr>
      <w:r>
        <w:rPr>
          <w:rFonts w:ascii="Arial" w:hAnsi="Arial" w:cs="Arial"/>
          <w:sz w:val="24"/>
          <w:szCs w:val="24"/>
        </w:rPr>
        <w:tab/>
      </w:r>
    </w:p>
    <w:p w:rsidR="00206DA5" w:rsidRDefault="00206DA5" w:rsidP="00697B6E">
      <w:pPr>
        <w:rPr>
          <w:rFonts w:ascii="Arial" w:hAnsi="Arial" w:cs="Arial"/>
          <w:sz w:val="24"/>
          <w:szCs w:val="24"/>
        </w:rPr>
      </w:pPr>
      <w:r w:rsidRPr="00EF4C2F">
        <w:rPr>
          <w:rFonts w:ascii="Arial" w:hAnsi="Arial" w:cs="Arial"/>
          <w:b/>
          <w:sz w:val="24"/>
          <w:szCs w:val="24"/>
        </w:rPr>
        <w:t>Vice Chair:</w:t>
      </w:r>
      <w:r>
        <w:rPr>
          <w:rFonts w:ascii="Arial" w:hAnsi="Arial" w:cs="Arial"/>
          <w:sz w:val="24"/>
          <w:szCs w:val="24"/>
        </w:rPr>
        <w:tab/>
      </w:r>
      <w:r>
        <w:rPr>
          <w:rFonts w:ascii="Arial" w:hAnsi="Arial" w:cs="Arial"/>
          <w:sz w:val="24"/>
          <w:szCs w:val="24"/>
        </w:rPr>
        <w:tab/>
      </w:r>
      <w:r w:rsidR="00EF4C2F">
        <w:rPr>
          <w:rFonts w:ascii="Arial" w:hAnsi="Arial" w:cs="Arial"/>
          <w:sz w:val="24"/>
          <w:szCs w:val="24"/>
        </w:rPr>
        <w:tab/>
      </w:r>
      <w:r w:rsidR="00EF4C2F">
        <w:rPr>
          <w:rFonts w:ascii="Arial" w:hAnsi="Arial" w:cs="Arial"/>
          <w:sz w:val="24"/>
          <w:szCs w:val="24"/>
        </w:rPr>
        <w:tab/>
      </w:r>
      <w:r>
        <w:rPr>
          <w:rFonts w:ascii="Arial" w:hAnsi="Arial" w:cs="Arial"/>
          <w:sz w:val="24"/>
          <w:szCs w:val="24"/>
        </w:rPr>
        <w:t>Cllr George Crane</w:t>
      </w:r>
    </w:p>
    <w:p w:rsidR="00206DA5" w:rsidRDefault="00206DA5" w:rsidP="00697B6E">
      <w:pPr>
        <w:rPr>
          <w:rFonts w:ascii="Arial" w:hAnsi="Arial" w:cs="Arial"/>
          <w:sz w:val="24"/>
          <w:szCs w:val="24"/>
        </w:rPr>
      </w:pPr>
    </w:p>
    <w:p w:rsidR="00206DA5" w:rsidRDefault="00206DA5" w:rsidP="00697B6E">
      <w:pPr>
        <w:rPr>
          <w:rFonts w:ascii="Arial" w:hAnsi="Arial" w:cs="Arial"/>
          <w:sz w:val="24"/>
          <w:szCs w:val="24"/>
        </w:rPr>
      </w:pPr>
      <w:r w:rsidRPr="00EF4C2F">
        <w:rPr>
          <w:rFonts w:ascii="Arial" w:hAnsi="Arial" w:cs="Arial"/>
          <w:b/>
          <w:sz w:val="24"/>
          <w:szCs w:val="24"/>
        </w:rPr>
        <w:t>Other Members:</w:t>
      </w:r>
      <w:r>
        <w:rPr>
          <w:rFonts w:ascii="Arial" w:hAnsi="Arial" w:cs="Arial"/>
          <w:sz w:val="24"/>
          <w:szCs w:val="24"/>
        </w:rPr>
        <w:tab/>
      </w:r>
      <w:r w:rsidR="00EF4C2F">
        <w:rPr>
          <w:rFonts w:ascii="Arial" w:hAnsi="Arial" w:cs="Arial"/>
          <w:sz w:val="24"/>
          <w:szCs w:val="24"/>
        </w:rPr>
        <w:tab/>
      </w:r>
      <w:r w:rsidR="00EF4C2F">
        <w:rPr>
          <w:rFonts w:ascii="Arial" w:hAnsi="Arial" w:cs="Arial"/>
          <w:sz w:val="24"/>
          <w:szCs w:val="24"/>
        </w:rPr>
        <w:tab/>
        <w:t>Cllr Mary Arnold</w:t>
      </w:r>
    </w:p>
    <w:p w:rsidR="00EF4C2F" w:rsidRDefault="00EF4C2F" w:rsidP="00697B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Joyce Bacchus</w:t>
      </w:r>
    </w:p>
    <w:p w:rsidR="00EF4C2F" w:rsidRDefault="00EF4C2F" w:rsidP="00697B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Daniel Brown</w:t>
      </w:r>
    </w:p>
    <w:p w:rsidR="00EF4C2F" w:rsidRDefault="00EF4C2F" w:rsidP="00697B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Sami Hashmi</w:t>
      </w:r>
    </w:p>
    <w:p w:rsidR="00EF4C2F" w:rsidRDefault="00EF4C2F" w:rsidP="00697B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Bhiku Patel</w:t>
      </w:r>
    </w:p>
    <w:p w:rsidR="00EF4C2F" w:rsidRDefault="00EF4C2F" w:rsidP="00697B6E">
      <w:pPr>
        <w:rPr>
          <w:rFonts w:ascii="Arial" w:hAnsi="Arial" w:cs="Arial"/>
          <w:sz w:val="24"/>
          <w:szCs w:val="24"/>
        </w:rPr>
      </w:pPr>
    </w:p>
    <w:p w:rsidR="00EF4C2F" w:rsidRDefault="00BB6A57" w:rsidP="00697B6E">
      <w:pPr>
        <w:rPr>
          <w:rFonts w:ascii="Arial" w:hAnsi="Arial" w:cs="Arial"/>
          <w:sz w:val="24"/>
          <w:szCs w:val="24"/>
        </w:rPr>
      </w:pPr>
      <w:r>
        <w:rPr>
          <w:rFonts w:ascii="Arial" w:hAnsi="Arial" w:cs="Arial"/>
          <w:b/>
          <w:sz w:val="24"/>
          <w:szCs w:val="24"/>
        </w:rPr>
        <w:t>Employee</w:t>
      </w:r>
      <w:r w:rsidR="00EF4C2F">
        <w:rPr>
          <w:rFonts w:ascii="Arial" w:hAnsi="Arial" w:cs="Arial"/>
          <w:b/>
          <w:sz w:val="24"/>
          <w:szCs w:val="24"/>
        </w:rPr>
        <w:t xml:space="preserve"> representative:</w:t>
      </w:r>
      <w:r w:rsidR="00EF4C2F">
        <w:rPr>
          <w:rFonts w:ascii="Arial" w:hAnsi="Arial" w:cs="Arial"/>
          <w:b/>
          <w:sz w:val="24"/>
          <w:szCs w:val="24"/>
        </w:rPr>
        <w:tab/>
      </w:r>
      <w:r w:rsidR="00EF4C2F" w:rsidRPr="00EF4C2F">
        <w:rPr>
          <w:rFonts w:ascii="Arial" w:hAnsi="Arial" w:cs="Arial"/>
          <w:sz w:val="24"/>
          <w:szCs w:val="24"/>
        </w:rPr>
        <w:t>George Fraser</w:t>
      </w:r>
    </w:p>
    <w:p w:rsidR="00EF4C2F" w:rsidRDefault="00EF4C2F" w:rsidP="00697B6E">
      <w:pPr>
        <w:rPr>
          <w:rFonts w:ascii="Arial" w:hAnsi="Arial" w:cs="Arial"/>
          <w:sz w:val="24"/>
          <w:szCs w:val="24"/>
        </w:rPr>
      </w:pPr>
    </w:p>
    <w:p w:rsidR="00EF4C2F" w:rsidRPr="00BB6A57" w:rsidRDefault="00EF4C2F" w:rsidP="00697B6E">
      <w:pPr>
        <w:rPr>
          <w:rFonts w:ascii="Arial" w:hAnsi="Arial" w:cs="Arial"/>
          <w:sz w:val="24"/>
          <w:szCs w:val="24"/>
        </w:rPr>
      </w:pPr>
      <w:r>
        <w:rPr>
          <w:rFonts w:ascii="Arial" w:hAnsi="Arial" w:cs="Arial"/>
          <w:b/>
          <w:sz w:val="24"/>
          <w:szCs w:val="24"/>
        </w:rPr>
        <w:t>Employer representative:</w:t>
      </w:r>
      <w:r>
        <w:rPr>
          <w:rFonts w:ascii="Arial" w:hAnsi="Arial" w:cs="Arial"/>
          <w:b/>
          <w:sz w:val="24"/>
          <w:szCs w:val="24"/>
        </w:rPr>
        <w:tab/>
      </w:r>
      <w:r w:rsidR="00BB6A57">
        <w:rPr>
          <w:rFonts w:ascii="Arial" w:hAnsi="Arial" w:cs="Arial"/>
          <w:sz w:val="24"/>
          <w:szCs w:val="24"/>
        </w:rPr>
        <w:t>Ashok Patel</w:t>
      </w:r>
    </w:p>
    <w:p w:rsidR="00206DA5" w:rsidRDefault="00206DA5" w:rsidP="00697B6E">
      <w:pPr>
        <w:rPr>
          <w:rFonts w:ascii="Arial" w:hAnsi="Arial" w:cs="Arial"/>
          <w:sz w:val="24"/>
          <w:szCs w:val="24"/>
        </w:rPr>
      </w:pPr>
    </w:p>
    <w:p w:rsidR="00136B48" w:rsidRDefault="00BB6A57" w:rsidP="002D296B">
      <w:pPr>
        <w:ind w:left="3600" w:hanging="3600"/>
        <w:rPr>
          <w:rFonts w:ascii="Arial" w:hAnsi="Arial" w:cs="Arial"/>
          <w:sz w:val="24"/>
          <w:szCs w:val="24"/>
        </w:rPr>
      </w:pPr>
      <w:r w:rsidRPr="00FD0577">
        <w:rPr>
          <w:rFonts w:ascii="Arial" w:hAnsi="Arial" w:cs="Arial"/>
          <w:b/>
          <w:sz w:val="24"/>
          <w:szCs w:val="24"/>
        </w:rPr>
        <w:t>Other attendees:</w:t>
      </w:r>
      <w:r>
        <w:rPr>
          <w:rFonts w:ascii="Arial" w:hAnsi="Arial" w:cs="Arial"/>
          <w:sz w:val="24"/>
          <w:szCs w:val="24"/>
        </w:rPr>
        <w:tab/>
      </w:r>
      <w:r w:rsidR="00F46DFE">
        <w:rPr>
          <w:rFonts w:ascii="Arial" w:hAnsi="Arial" w:cs="Arial"/>
          <w:sz w:val="24"/>
          <w:szCs w:val="24"/>
        </w:rPr>
        <w:t xml:space="preserve">Mick Bowden, </w:t>
      </w:r>
      <w:r w:rsidR="002D296B">
        <w:rPr>
          <w:rFonts w:ascii="Arial" w:hAnsi="Arial" w:cs="Arial"/>
          <w:sz w:val="24"/>
          <w:szCs w:val="24"/>
        </w:rPr>
        <w:t>Deputy Director of Finance</w:t>
      </w:r>
    </w:p>
    <w:p w:rsidR="00BB6A57" w:rsidRDefault="00BB6A57" w:rsidP="00697B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Anthony Dodridge, Head of Investments</w:t>
      </w:r>
    </w:p>
    <w:p w:rsidR="00BB6A57" w:rsidRPr="00FD0577" w:rsidRDefault="00BB6A57" w:rsidP="00BB6A57">
      <w:pPr>
        <w:rPr>
          <w:rFonts w:ascii="Arial" w:hAnsi="Arial" w:cs="Arial"/>
          <w:sz w:val="24"/>
          <w:szCs w:val="24"/>
        </w:rPr>
      </w:pPr>
      <w:r w:rsidRPr="00FD0577">
        <w:rPr>
          <w:rFonts w:ascii="Arial" w:hAnsi="Arial" w:cs="Arial"/>
          <w:sz w:val="24"/>
          <w:szCs w:val="24"/>
        </w:rPr>
        <w:tab/>
      </w:r>
      <w:r w:rsidRPr="00FD0577">
        <w:rPr>
          <w:rFonts w:ascii="Arial" w:hAnsi="Arial" w:cs="Arial"/>
          <w:sz w:val="24"/>
          <w:szCs w:val="24"/>
        </w:rPr>
        <w:tab/>
      </w:r>
      <w:r w:rsidRPr="00FD0577">
        <w:rPr>
          <w:rFonts w:ascii="Arial" w:hAnsi="Arial" w:cs="Arial"/>
          <w:sz w:val="24"/>
          <w:szCs w:val="24"/>
        </w:rPr>
        <w:tab/>
      </w:r>
      <w:r w:rsidRPr="00FD0577">
        <w:rPr>
          <w:rFonts w:ascii="Arial" w:hAnsi="Arial" w:cs="Arial"/>
          <w:sz w:val="24"/>
          <w:szCs w:val="24"/>
        </w:rPr>
        <w:tab/>
      </w:r>
      <w:r w:rsidRPr="00FD0577">
        <w:rPr>
          <w:rFonts w:ascii="Arial" w:hAnsi="Arial" w:cs="Arial"/>
          <w:sz w:val="24"/>
          <w:szCs w:val="24"/>
        </w:rPr>
        <w:tab/>
        <w:t>Andrew Gray, Pensions Manager</w:t>
      </w:r>
    </w:p>
    <w:p w:rsidR="00FD0577" w:rsidRDefault="00BB6A57" w:rsidP="00BB6A57">
      <w:pPr>
        <w:rPr>
          <w:rFonts w:ascii="Arial" w:hAnsi="Arial" w:cs="Arial"/>
          <w:sz w:val="24"/>
          <w:szCs w:val="24"/>
        </w:rPr>
      </w:pPr>
      <w:r w:rsidRPr="00FD0577">
        <w:rPr>
          <w:rFonts w:ascii="Arial" w:hAnsi="Arial" w:cs="Arial"/>
          <w:sz w:val="24"/>
          <w:szCs w:val="24"/>
        </w:rPr>
        <w:tab/>
      </w:r>
      <w:r w:rsidRPr="00FD0577">
        <w:rPr>
          <w:rFonts w:ascii="Arial" w:hAnsi="Arial" w:cs="Arial"/>
          <w:sz w:val="24"/>
          <w:szCs w:val="24"/>
        </w:rPr>
        <w:tab/>
      </w:r>
      <w:r w:rsidRPr="00FD0577">
        <w:rPr>
          <w:rFonts w:ascii="Arial" w:hAnsi="Arial" w:cs="Arial"/>
          <w:sz w:val="24"/>
          <w:szCs w:val="24"/>
        </w:rPr>
        <w:tab/>
      </w:r>
      <w:r w:rsidRPr="00FD0577">
        <w:rPr>
          <w:rFonts w:ascii="Arial" w:hAnsi="Arial" w:cs="Arial"/>
          <w:sz w:val="24"/>
          <w:szCs w:val="24"/>
        </w:rPr>
        <w:tab/>
      </w:r>
      <w:r w:rsidRPr="00FD0577">
        <w:rPr>
          <w:rFonts w:ascii="Arial" w:hAnsi="Arial" w:cs="Arial"/>
          <w:sz w:val="24"/>
          <w:szCs w:val="24"/>
        </w:rPr>
        <w:tab/>
        <w:t>Peter Davies, Independent Adviser</w:t>
      </w:r>
    </w:p>
    <w:p w:rsidR="00FD0577" w:rsidRDefault="00FD0577" w:rsidP="00BB6A57">
      <w:pPr>
        <w:rPr>
          <w:rFonts w:ascii="Arial" w:hAnsi="Arial" w:cs="Arial"/>
          <w:sz w:val="24"/>
          <w:szCs w:val="24"/>
        </w:rPr>
      </w:pPr>
    </w:p>
    <w:p w:rsidR="00FD0577" w:rsidRPr="00FD0577" w:rsidRDefault="00FD0577" w:rsidP="00BB6A57">
      <w:pPr>
        <w:rPr>
          <w:rFonts w:ascii="Arial" w:hAnsi="Arial" w:cs="Arial"/>
          <w:b/>
          <w:sz w:val="24"/>
          <w:szCs w:val="24"/>
        </w:rPr>
      </w:pPr>
    </w:p>
    <w:p w:rsidR="00FD0577" w:rsidRPr="00FD0577" w:rsidRDefault="00FD0577" w:rsidP="00BB6A57">
      <w:pPr>
        <w:rPr>
          <w:rFonts w:ascii="Arial" w:hAnsi="Arial" w:cs="Arial"/>
          <w:b/>
          <w:sz w:val="24"/>
          <w:szCs w:val="24"/>
        </w:rPr>
      </w:pPr>
      <w:r w:rsidRPr="00FD0577">
        <w:rPr>
          <w:rFonts w:ascii="Arial" w:hAnsi="Arial" w:cs="Arial"/>
          <w:b/>
          <w:sz w:val="24"/>
          <w:szCs w:val="24"/>
        </w:rPr>
        <w:t>Pension Fund Sub-Committee Training</w:t>
      </w:r>
    </w:p>
    <w:p w:rsidR="00FD0577" w:rsidRDefault="00FD0577" w:rsidP="00BB6A57">
      <w:pPr>
        <w:rPr>
          <w:rFonts w:ascii="Arial" w:hAnsi="Arial" w:cs="Arial"/>
          <w:sz w:val="24"/>
          <w:szCs w:val="24"/>
        </w:rPr>
      </w:pPr>
    </w:p>
    <w:p w:rsidR="00FD0577" w:rsidRDefault="00FD0577" w:rsidP="00BB6A57">
      <w:pPr>
        <w:rPr>
          <w:rFonts w:ascii="Arial" w:hAnsi="Arial" w:cs="Arial"/>
          <w:sz w:val="24"/>
          <w:szCs w:val="24"/>
        </w:rPr>
      </w:pPr>
      <w:r>
        <w:rPr>
          <w:rFonts w:ascii="Arial" w:hAnsi="Arial" w:cs="Arial"/>
          <w:sz w:val="24"/>
          <w:szCs w:val="24"/>
        </w:rPr>
        <w:t>Training is business driven, therefore the programme is flexible. This allows us to effectively align training with operational needs and current ag</w:t>
      </w:r>
      <w:r w:rsidR="00A53A81">
        <w:rPr>
          <w:rFonts w:ascii="Arial" w:hAnsi="Arial" w:cs="Arial"/>
          <w:sz w:val="24"/>
          <w:szCs w:val="24"/>
        </w:rPr>
        <w:t>enda items, helping to support M</w:t>
      </w:r>
      <w:r>
        <w:rPr>
          <w:rFonts w:ascii="Arial" w:hAnsi="Arial" w:cs="Arial"/>
          <w:sz w:val="24"/>
          <w:szCs w:val="24"/>
        </w:rPr>
        <w:t>ember decision making.</w:t>
      </w:r>
    </w:p>
    <w:p w:rsidR="00FD0577" w:rsidRDefault="00FD0577" w:rsidP="00BB6A57">
      <w:pPr>
        <w:rPr>
          <w:rFonts w:ascii="Arial" w:hAnsi="Arial" w:cs="Arial"/>
          <w:sz w:val="24"/>
          <w:szCs w:val="24"/>
        </w:rPr>
      </w:pPr>
    </w:p>
    <w:p w:rsidR="00FD0577" w:rsidRPr="00FD0577" w:rsidRDefault="00FD0577" w:rsidP="00BB6A57">
      <w:pPr>
        <w:rPr>
          <w:rFonts w:ascii="Arial" w:hAnsi="Arial" w:cs="Arial"/>
          <w:sz w:val="24"/>
          <w:szCs w:val="24"/>
        </w:rPr>
      </w:pPr>
      <w:r w:rsidRPr="00FD0577">
        <w:rPr>
          <w:rFonts w:ascii="Arial" w:hAnsi="Arial" w:cs="Arial"/>
          <w:sz w:val="24"/>
          <w:szCs w:val="24"/>
        </w:rPr>
        <w:t>Member training is supplemented by attendance at pension</w:t>
      </w:r>
      <w:r>
        <w:rPr>
          <w:rFonts w:ascii="Arial" w:hAnsi="Arial" w:cs="Arial"/>
          <w:sz w:val="24"/>
          <w:szCs w:val="24"/>
        </w:rPr>
        <w:t>s</w:t>
      </w:r>
      <w:r w:rsidRPr="00FD0577">
        <w:rPr>
          <w:rFonts w:ascii="Arial" w:hAnsi="Arial" w:cs="Arial"/>
          <w:sz w:val="24"/>
          <w:szCs w:val="24"/>
        </w:rPr>
        <w:t xml:space="preserve"> investment conferences and other associated events.</w:t>
      </w:r>
    </w:p>
    <w:p w:rsidR="00FD0577" w:rsidRDefault="00FD0577" w:rsidP="00BB6A57">
      <w:pPr>
        <w:rPr>
          <w:rFonts w:ascii="Arial" w:hAnsi="Arial" w:cs="Arial"/>
          <w:b/>
          <w:sz w:val="24"/>
          <w:szCs w:val="24"/>
        </w:rPr>
      </w:pPr>
    </w:p>
    <w:p w:rsidR="00384590" w:rsidRDefault="00384590">
      <w:pPr>
        <w:rPr>
          <w:rFonts w:ascii="Arial" w:hAnsi="Arial" w:cs="Arial"/>
          <w:b/>
          <w:sz w:val="24"/>
          <w:szCs w:val="24"/>
        </w:rPr>
      </w:pPr>
    </w:p>
    <w:p w:rsidR="00384590" w:rsidRDefault="00384590" w:rsidP="00BB6A57">
      <w:pPr>
        <w:rPr>
          <w:rFonts w:ascii="Arial" w:hAnsi="Arial" w:cs="Arial"/>
          <w:b/>
          <w:sz w:val="24"/>
          <w:szCs w:val="24"/>
        </w:rPr>
      </w:pPr>
      <w:r>
        <w:rPr>
          <w:rFonts w:ascii="Arial" w:hAnsi="Arial" w:cs="Arial"/>
          <w:b/>
          <w:sz w:val="24"/>
          <w:szCs w:val="24"/>
        </w:rPr>
        <w:t>Conflict of Interests</w:t>
      </w:r>
    </w:p>
    <w:p w:rsidR="00384590" w:rsidRDefault="00384590" w:rsidP="00BB6A57">
      <w:pPr>
        <w:rPr>
          <w:rFonts w:ascii="Arial" w:hAnsi="Arial" w:cs="Arial"/>
          <w:b/>
          <w:sz w:val="24"/>
          <w:szCs w:val="24"/>
        </w:rPr>
      </w:pPr>
    </w:p>
    <w:p w:rsidR="006A0D1A" w:rsidRDefault="00384590">
      <w:pPr>
        <w:rPr>
          <w:rFonts w:ascii="Arial" w:hAnsi="Arial" w:cs="Arial"/>
          <w:b/>
          <w:sz w:val="24"/>
          <w:szCs w:val="24"/>
        </w:rPr>
      </w:pPr>
      <w:r>
        <w:rPr>
          <w:rFonts w:ascii="Arial" w:hAnsi="Arial" w:cs="Arial"/>
          <w:sz w:val="24"/>
          <w:szCs w:val="24"/>
        </w:rPr>
        <w:t>There is a standing agenda item at each Pension Fund Sub-Committee meeting for Mem</w:t>
      </w:r>
      <w:r w:rsidR="00DA049E">
        <w:rPr>
          <w:rFonts w:ascii="Arial" w:hAnsi="Arial" w:cs="Arial"/>
          <w:sz w:val="24"/>
          <w:szCs w:val="24"/>
        </w:rPr>
        <w:t>bers to declare any personal or</w:t>
      </w:r>
      <w:r>
        <w:rPr>
          <w:rFonts w:ascii="Arial" w:hAnsi="Arial" w:cs="Arial"/>
          <w:sz w:val="24"/>
          <w:szCs w:val="24"/>
        </w:rPr>
        <w:t xml:space="preserve"> prejudicial interests.</w:t>
      </w:r>
      <w:r w:rsidR="006A0D1A">
        <w:rPr>
          <w:rFonts w:ascii="Arial" w:hAnsi="Arial" w:cs="Arial"/>
          <w:b/>
          <w:sz w:val="24"/>
          <w:szCs w:val="24"/>
        </w:rPr>
        <w:br w:type="page"/>
      </w:r>
    </w:p>
    <w:p w:rsidR="00384590" w:rsidRPr="00384590" w:rsidRDefault="00384590" w:rsidP="00BB6A57">
      <w:pPr>
        <w:rPr>
          <w:rFonts w:ascii="Arial" w:hAnsi="Arial" w:cs="Arial"/>
          <w:b/>
          <w:sz w:val="24"/>
          <w:szCs w:val="24"/>
        </w:rPr>
      </w:pPr>
      <w:r w:rsidRPr="00384590">
        <w:rPr>
          <w:rFonts w:ascii="Arial" w:hAnsi="Arial" w:cs="Arial"/>
          <w:b/>
          <w:sz w:val="24"/>
          <w:szCs w:val="24"/>
        </w:rPr>
        <w:lastRenderedPageBreak/>
        <w:t>Accountability and Transparency</w:t>
      </w:r>
    </w:p>
    <w:p w:rsidR="00384590" w:rsidRDefault="00384590" w:rsidP="00BB6A57">
      <w:pPr>
        <w:rPr>
          <w:rFonts w:ascii="Arial" w:hAnsi="Arial" w:cs="Arial"/>
          <w:sz w:val="24"/>
          <w:szCs w:val="24"/>
        </w:rPr>
      </w:pPr>
    </w:p>
    <w:p w:rsidR="00744E9D" w:rsidRDefault="00384590" w:rsidP="00BB6A57">
      <w:pPr>
        <w:rPr>
          <w:rFonts w:ascii="Arial" w:hAnsi="Arial" w:cs="Arial"/>
          <w:sz w:val="24"/>
          <w:szCs w:val="24"/>
        </w:rPr>
      </w:pPr>
      <w:r>
        <w:rPr>
          <w:rFonts w:ascii="Arial" w:hAnsi="Arial" w:cs="Arial"/>
          <w:sz w:val="24"/>
          <w:szCs w:val="24"/>
        </w:rPr>
        <w:t xml:space="preserve">Pension Fund Sub-Committee agendas, reports and minutes are published on the Brent Council website at </w:t>
      </w:r>
      <w:hyperlink r:id="rId9" w:history="1">
        <w:r w:rsidR="00744E9D" w:rsidRPr="00897D25">
          <w:rPr>
            <w:rStyle w:val="Hyperlink"/>
            <w:rFonts w:ascii="Arial" w:hAnsi="Arial" w:cs="Arial"/>
            <w:sz w:val="24"/>
            <w:szCs w:val="24"/>
          </w:rPr>
          <w:t>www.brent.gov.uk</w:t>
        </w:r>
      </w:hyperlink>
      <w:r>
        <w:rPr>
          <w:rFonts w:ascii="Arial" w:hAnsi="Arial" w:cs="Arial"/>
          <w:sz w:val="24"/>
          <w:szCs w:val="24"/>
        </w:rPr>
        <w:t>.</w:t>
      </w:r>
    </w:p>
    <w:p w:rsidR="00744E9D" w:rsidRDefault="00744E9D" w:rsidP="00BB6A57">
      <w:pPr>
        <w:rPr>
          <w:rFonts w:ascii="Arial" w:hAnsi="Arial" w:cs="Arial"/>
          <w:sz w:val="24"/>
          <w:szCs w:val="24"/>
        </w:rPr>
      </w:pPr>
    </w:p>
    <w:p w:rsidR="00527DD4" w:rsidRDefault="00744E9D" w:rsidP="00BB6A57">
      <w:pPr>
        <w:rPr>
          <w:rFonts w:ascii="Arial" w:hAnsi="Arial" w:cs="Arial"/>
          <w:sz w:val="24"/>
          <w:szCs w:val="24"/>
        </w:rPr>
      </w:pPr>
      <w:r>
        <w:rPr>
          <w:rFonts w:ascii="Arial" w:hAnsi="Arial" w:cs="Arial"/>
          <w:sz w:val="24"/>
          <w:szCs w:val="24"/>
        </w:rPr>
        <w:t>Pension Fund Sub-Committee meetings are open to members of the public.</w:t>
      </w:r>
    </w:p>
    <w:p w:rsidR="00527DD4" w:rsidRDefault="00527DD4">
      <w:pPr>
        <w:rPr>
          <w:rFonts w:ascii="Arial" w:hAnsi="Arial" w:cs="Arial"/>
          <w:sz w:val="24"/>
          <w:szCs w:val="24"/>
        </w:rPr>
      </w:pPr>
      <w:r>
        <w:rPr>
          <w:rFonts w:ascii="Arial" w:hAnsi="Arial" w:cs="Arial"/>
          <w:sz w:val="24"/>
          <w:szCs w:val="24"/>
        </w:rPr>
        <w:br w:type="page"/>
      </w:r>
    </w:p>
    <w:p w:rsidR="00527DD4" w:rsidRPr="00274A55" w:rsidRDefault="00527DD4" w:rsidP="00527DD4">
      <w:pPr>
        <w:rPr>
          <w:rFonts w:ascii="Arial" w:hAnsi="Arial" w:cs="Arial"/>
          <w:b/>
          <w:sz w:val="32"/>
          <w:szCs w:val="32"/>
        </w:rPr>
      </w:pPr>
      <w:r>
        <w:rPr>
          <w:rFonts w:ascii="Arial" w:hAnsi="Arial" w:cs="Arial"/>
          <w:b/>
          <w:sz w:val="32"/>
          <w:szCs w:val="32"/>
        </w:rPr>
        <w:lastRenderedPageBreak/>
        <w:t>Scheme Administration</w:t>
      </w:r>
    </w:p>
    <w:p w:rsidR="00527DD4" w:rsidRDefault="00527DD4" w:rsidP="00527DD4">
      <w:pPr>
        <w:rPr>
          <w:rFonts w:ascii="Arial" w:hAnsi="Arial" w:cs="Arial"/>
          <w:b/>
          <w:sz w:val="24"/>
          <w:szCs w:val="24"/>
        </w:rPr>
      </w:pPr>
    </w:p>
    <w:p w:rsidR="00527DD4" w:rsidRDefault="00527DD4" w:rsidP="00527DD4">
      <w:pPr>
        <w:rPr>
          <w:rFonts w:ascii="Arial" w:hAnsi="Arial" w:cs="Arial"/>
          <w:b/>
          <w:sz w:val="24"/>
          <w:szCs w:val="24"/>
        </w:rPr>
      </w:pPr>
    </w:p>
    <w:p w:rsidR="00E002F5" w:rsidRDefault="00E002F5" w:rsidP="00527DD4">
      <w:pPr>
        <w:rPr>
          <w:rFonts w:ascii="Arial" w:hAnsi="Arial" w:cs="Arial"/>
          <w:b/>
          <w:sz w:val="24"/>
          <w:szCs w:val="24"/>
        </w:rPr>
      </w:pPr>
      <w:r>
        <w:rPr>
          <w:rFonts w:ascii="Arial" w:hAnsi="Arial" w:cs="Arial"/>
          <w:b/>
          <w:sz w:val="24"/>
          <w:szCs w:val="24"/>
        </w:rPr>
        <w:t>The Brent Pensions Team</w:t>
      </w:r>
    </w:p>
    <w:p w:rsidR="00E002F5" w:rsidRDefault="00E002F5" w:rsidP="00527DD4">
      <w:pPr>
        <w:rPr>
          <w:rFonts w:ascii="Arial" w:hAnsi="Arial" w:cs="Arial"/>
          <w:b/>
          <w:sz w:val="24"/>
          <w:szCs w:val="24"/>
        </w:rPr>
      </w:pPr>
    </w:p>
    <w:p w:rsidR="00E002F5" w:rsidRDefault="00E002F5" w:rsidP="00527DD4">
      <w:pPr>
        <w:rPr>
          <w:rFonts w:ascii="Arial" w:hAnsi="Arial" w:cs="Arial"/>
          <w:sz w:val="24"/>
          <w:szCs w:val="24"/>
        </w:rPr>
      </w:pPr>
      <w:r w:rsidRPr="00E002F5">
        <w:rPr>
          <w:rFonts w:ascii="Arial" w:hAnsi="Arial" w:cs="Arial"/>
          <w:sz w:val="24"/>
          <w:szCs w:val="24"/>
        </w:rPr>
        <w:t xml:space="preserve">The Brent </w:t>
      </w:r>
      <w:r w:rsidR="00F52606">
        <w:rPr>
          <w:rFonts w:ascii="Arial" w:hAnsi="Arial" w:cs="Arial"/>
          <w:sz w:val="24"/>
          <w:szCs w:val="24"/>
        </w:rPr>
        <w:t>Pensions Team monitors and manages the Fund’s contractor for pension administration services</w:t>
      </w:r>
      <w:r w:rsidR="00A311F7">
        <w:rPr>
          <w:rFonts w:ascii="Arial" w:hAnsi="Arial" w:cs="Arial"/>
          <w:sz w:val="24"/>
          <w:szCs w:val="24"/>
        </w:rPr>
        <w:t>, Capita Employee Benefits.</w:t>
      </w:r>
      <w:r w:rsidR="00E620F3">
        <w:rPr>
          <w:rFonts w:ascii="Arial" w:hAnsi="Arial" w:cs="Arial"/>
          <w:sz w:val="24"/>
          <w:szCs w:val="24"/>
        </w:rPr>
        <w:t xml:space="preserve"> The team is a contact point for employees who wish to join the scheme, for advice on procedures and for queries and complaints.</w:t>
      </w:r>
    </w:p>
    <w:p w:rsidR="00E620F3" w:rsidRDefault="00E620F3" w:rsidP="00527DD4">
      <w:pPr>
        <w:rPr>
          <w:rFonts w:ascii="Arial" w:hAnsi="Arial" w:cs="Arial"/>
          <w:sz w:val="24"/>
          <w:szCs w:val="24"/>
        </w:rPr>
      </w:pPr>
    </w:p>
    <w:p w:rsidR="00E620F3" w:rsidRDefault="00E620F3" w:rsidP="00527DD4">
      <w:pPr>
        <w:rPr>
          <w:rFonts w:ascii="Arial" w:hAnsi="Arial" w:cs="Arial"/>
          <w:sz w:val="24"/>
          <w:szCs w:val="24"/>
        </w:rPr>
      </w:pPr>
      <w:r>
        <w:rPr>
          <w:rFonts w:ascii="Arial" w:hAnsi="Arial" w:cs="Arial"/>
          <w:sz w:val="24"/>
          <w:szCs w:val="24"/>
        </w:rPr>
        <w:t>The Pensions Team is accountable to the Pension Fund Sub-Committee, participating employers and scheme members. The team are fully committed to providing a quality service to meet the needs of the Fund’s various stakeholders and to delivering excellent customer care.</w:t>
      </w:r>
    </w:p>
    <w:p w:rsidR="00E620F3" w:rsidRDefault="00E620F3" w:rsidP="00527DD4">
      <w:pPr>
        <w:rPr>
          <w:rFonts w:ascii="Arial" w:hAnsi="Arial" w:cs="Arial"/>
          <w:sz w:val="24"/>
          <w:szCs w:val="24"/>
        </w:rPr>
      </w:pPr>
    </w:p>
    <w:p w:rsidR="00E620F3" w:rsidRDefault="00E620F3" w:rsidP="00527DD4">
      <w:pPr>
        <w:rPr>
          <w:rFonts w:ascii="Arial" w:hAnsi="Arial" w:cs="Arial"/>
          <w:sz w:val="24"/>
          <w:szCs w:val="24"/>
        </w:rPr>
      </w:pPr>
      <w:r>
        <w:rPr>
          <w:rFonts w:ascii="Arial" w:hAnsi="Arial" w:cs="Arial"/>
          <w:sz w:val="24"/>
          <w:szCs w:val="24"/>
        </w:rPr>
        <w:t>The team’s responsibilities include the following:</w:t>
      </w:r>
    </w:p>
    <w:p w:rsidR="00E620F3" w:rsidRDefault="00E620F3" w:rsidP="00527DD4">
      <w:pPr>
        <w:rPr>
          <w:rFonts w:ascii="Arial" w:hAnsi="Arial" w:cs="Arial"/>
          <w:sz w:val="24"/>
          <w:szCs w:val="24"/>
        </w:rPr>
      </w:pPr>
    </w:p>
    <w:p w:rsidR="00E620F3" w:rsidRDefault="0048383C" w:rsidP="00907AD2">
      <w:pPr>
        <w:pStyle w:val="ListParagraph"/>
        <w:numPr>
          <w:ilvl w:val="0"/>
          <w:numId w:val="7"/>
        </w:numPr>
        <w:rPr>
          <w:rFonts w:ascii="Arial" w:hAnsi="Arial" w:cs="Arial"/>
          <w:sz w:val="24"/>
          <w:szCs w:val="24"/>
        </w:rPr>
      </w:pPr>
      <w:r>
        <w:rPr>
          <w:rFonts w:ascii="Arial" w:hAnsi="Arial" w:cs="Arial"/>
          <w:sz w:val="24"/>
          <w:szCs w:val="24"/>
        </w:rPr>
        <w:t>e</w:t>
      </w:r>
      <w:r w:rsidR="00E620F3" w:rsidRPr="00E620F3">
        <w:rPr>
          <w:rFonts w:ascii="Arial" w:hAnsi="Arial" w:cs="Arial"/>
          <w:sz w:val="24"/>
          <w:szCs w:val="24"/>
        </w:rPr>
        <w:t>nsuring the accuracy of pensions records, including the preparation and distribution of the Annual Benefit S</w:t>
      </w:r>
      <w:r w:rsidR="00E620F3">
        <w:rPr>
          <w:rFonts w:ascii="Arial" w:hAnsi="Arial" w:cs="Arial"/>
          <w:sz w:val="24"/>
          <w:szCs w:val="24"/>
        </w:rPr>
        <w:t>tatements to all scheme members</w:t>
      </w:r>
    </w:p>
    <w:p w:rsidR="00E620F3" w:rsidRPr="00E620F3" w:rsidRDefault="00E620F3" w:rsidP="00E620F3">
      <w:pPr>
        <w:rPr>
          <w:rFonts w:ascii="Arial" w:hAnsi="Arial" w:cs="Arial"/>
          <w:sz w:val="24"/>
          <w:szCs w:val="24"/>
        </w:rPr>
      </w:pPr>
    </w:p>
    <w:p w:rsidR="00E620F3" w:rsidRDefault="0048383C" w:rsidP="00907AD2">
      <w:pPr>
        <w:pStyle w:val="ListParagraph"/>
        <w:numPr>
          <w:ilvl w:val="0"/>
          <w:numId w:val="7"/>
        </w:numPr>
        <w:rPr>
          <w:rFonts w:ascii="Arial" w:hAnsi="Arial" w:cs="Arial"/>
          <w:sz w:val="24"/>
          <w:szCs w:val="24"/>
        </w:rPr>
      </w:pPr>
      <w:r>
        <w:rPr>
          <w:rFonts w:ascii="Arial" w:hAnsi="Arial" w:cs="Arial"/>
          <w:sz w:val="24"/>
          <w:szCs w:val="24"/>
        </w:rPr>
        <w:t>t</w:t>
      </w:r>
      <w:r w:rsidR="00E620F3">
        <w:rPr>
          <w:rFonts w:ascii="Arial" w:hAnsi="Arial" w:cs="Arial"/>
          <w:sz w:val="24"/>
          <w:szCs w:val="24"/>
        </w:rPr>
        <w:t>he timely collection of contributions</w:t>
      </w:r>
    </w:p>
    <w:p w:rsidR="00E620F3" w:rsidRPr="00E620F3" w:rsidRDefault="00E620F3" w:rsidP="00E620F3">
      <w:pPr>
        <w:pStyle w:val="ListParagraph"/>
        <w:rPr>
          <w:rFonts w:ascii="Arial" w:hAnsi="Arial" w:cs="Arial"/>
          <w:sz w:val="24"/>
          <w:szCs w:val="24"/>
        </w:rPr>
      </w:pPr>
    </w:p>
    <w:p w:rsidR="00E620F3" w:rsidRDefault="0048383C" w:rsidP="00907AD2">
      <w:pPr>
        <w:pStyle w:val="ListParagraph"/>
        <w:numPr>
          <w:ilvl w:val="0"/>
          <w:numId w:val="7"/>
        </w:numPr>
        <w:rPr>
          <w:rFonts w:ascii="Arial" w:hAnsi="Arial" w:cs="Arial"/>
          <w:sz w:val="24"/>
          <w:szCs w:val="24"/>
        </w:rPr>
      </w:pPr>
      <w:r>
        <w:rPr>
          <w:rFonts w:ascii="Arial" w:hAnsi="Arial" w:cs="Arial"/>
          <w:sz w:val="24"/>
          <w:szCs w:val="24"/>
        </w:rPr>
        <w:t>a</w:t>
      </w:r>
      <w:r w:rsidR="00E620F3">
        <w:rPr>
          <w:rFonts w:ascii="Arial" w:hAnsi="Arial" w:cs="Arial"/>
          <w:sz w:val="24"/>
          <w:szCs w:val="24"/>
        </w:rPr>
        <w:t>dvice and guidance to scheme members</w:t>
      </w:r>
    </w:p>
    <w:p w:rsidR="00E620F3" w:rsidRPr="00E620F3" w:rsidRDefault="00E620F3" w:rsidP="00E620F3">
      <w:pPr>
        <w:pStyle w:val="ListParagraph"/>
        <w:rPr>
          <w:rFonts w:ascii="Arial" w:hAnsi="Arial" w:cs="Arial"/>
          <w:sz w:val="24"/>
          <w:szCs w:val="24"/>
        </w:rPr>
      </w:pPr>
    </w:p>
    <w:p w:rsidR="00E620F3" w:rsidRDefault="0048383C" w:rsidP="00907AD2">
      <w:pPr>
        <w:pStyle w:val="ListParagraph"/>
        <w:numPr>
          <w:ilvl w:val="0"/>
          <w:numId w:val="7"/>
        </w:numPr>
        <w:rPr>
          <w:rFonts w:ascii="Arial" w:hAnsi="Arial" w:cs="Arial"/>
          <w:sz w:val="24"/>
          <w:szCs w:val="24"/>
        </w:rPr>
      </w:pPr>
      <w:r>
        <w:rPr>
          <w:rFonts w:ascii="Arial" w:hAnsi="Arial" w:cs="Arial"/>
          <w:sz w:val="24"/>
          <w:szCs w:val="24"/>
        </w:rPr>
        <w:t>a</w:t>
      </w:r>
      <w:r w:rsidR="00E620F3">
        <w:rPr>
          <w:rFonts w:ascii="Arial" w:hAnsi="Arial" w:cs="Arial"/>
          <w:sz w:val="24"/>
          <w:szCs w:val="24"/>
        </w:rPr>
        <w:t>dvice and guidance to employers</w:t>
      </w:r>
    </w:p>
    <w:p w:rsidR="00E620F3" w:rsidRPr="00E620F3" w:rsidRDefault="00E620F3" w:rsidP="00E620F3">
      <w:pPr>
        <w:pStyle w:val="ListParagraph"/>
        <w:rPr>
          <w:rFonts w:ascii="Arial" w:hAnsi="Arial" w:cs="Arial"/>
          <w:sz w:val="24"/>
          <w:szCs w:val="24"/>
        </w:rPr>
      </w:pPr>
    </w:p>
    <w:p w:rsidR="00E620F3" w:rsidRPr="00E620F3" w:rsidRDefault="0048383C" w:rsidP="00907AD2">
      <w:pPr>
        <w:pStyle w:val="ListParagraph"/>
        <w:numPr>
          <w:ilvl w:val="0"/>
          <w:numId w:val="7"/>
        </w:numPr>
        <w:rPr>
          <w:rFonts w:ascii="Arial" w:hAnsi="Arial" w:cs="Arial"/>
          <w:sz w:val="24"/>
          <w:szCs w:val="24"/>
        </w:rPr>
      </w:pPr>
      <w:r>
        <w:rPr>
          <w:rFonts w:ascii="Arial" w:hAnsi="Arial" w:cs="Arial"/>
          <w:sz w:val="24"/>
          <w:szCs w:val="24"/>
        </w:rPr>
        <w:t>e</w:t>
      </w:r>
      <w:r w:rsidR="00E620F3">
        <w:rPr>
          <w:rFonts w:ascii="Arial" w:hAnsi="Arial" w:cs="Arial"/>
          <w:sz w:val="24"/>
          <w:szCs w:val="24"/>
        </w:rPr>
        <w:t>arly retirement schemes for Fund employers</w:t>
      </w:r>
      <w:r w:rsidR="007043AC">
        <w:rPr>
          <w:rFonts w:ascii="Arial" w:hAnsi="Arial" w:cs="Arial"/>
          <w:sz w:val="24"/>
          <w:szCs w:val="24"/>
        </w:rPr>
        <w:t>.</w:t>
      </w:r>
    </w:p>
    <w:p w:rsidR="00E620F3" w:rsidRPr="00E620F3" w:rsidRDefault="00E620F3" w:rsidP="00E620F3">
      <w:pPr>
        <w:ind w:left="360"/>
        <w:rPr>
          <w:rFonts w:ascii="Arial" w:hAnsi="Arial" w:cs="Arial"/>
          <w:sz w:val="24"/>
          <w:szCs w:val="24"/>
        </w:rPr>
      </w:pPr>
    </w:p>
    <w:p w:rsidR="00E620F3" w:rsidRDefault="00E620F3" w:rsidP="00527DD4">
      <w:pPr>
        <w:rPr>
          <w:rFonts w:ascii="Arial" w:hAnsi="Arial" w:cs="Arial"/>
          <w:sz w:val="24"/>
          <w:szCs w:val="24"/>
        </w:rPr>
      </w:pPr>
    </w:p>
    <w:p w:rsidR="00E620F3" w:rsidRPr="00FD4C89" w:rsidRDefault="00FD4C89" w:rsidP="00527DD4">
      <w:pPr>
        <w:rPr>
          <w:rFonts w:ascii="Arial" w:hAnsi="Arial" w:cs="Arial"/>
          <w:b/>
          <w:sz w:val="24"/>
          <w:szCs w:val="24"/>
        </w:rPr>
      </w:pPr>
      <w:r w:rsidRPr="00FD4C89">
        <w:rPr>
          <w:rFonts w:ascii="Arial" w:hAnsi="Arial" w:cs="Arial"/>
          <w:b/>
          <w:sz w:val="24"/>
          <w:szCs w:val="24"/>
        </w:rPr>
        <w:t>Operational costs</w:t>
      </w:r>
    </w:p>
    <w:p w:rsidR="00FD4C89" w:rsidRDefault="00FD4C89" w:rsidP="00527DD4">
      <w:pPr>
        <w:rPr>
          <w:rFonts w:ascii="Arial" w:hAnsi="Arial" w:cs="Arial"/>
          <w:sz w:val="24"/>
          <w:szCs w:val="24"/>
        </w:rPr>
      </w:pPr>
    </w:p>
    <w:p w:rsidR="00FD4C89" w:rsidRDefault="00B429F7" w:rsidP="00527DD4">
      <w:pPr>
        <w:rPr>
          <w:rFonts w:ascii="Arial" w:hAnsi="Arial" w:cs="Arial"/>
          <w:sz w:val="24"/>
          <w:szCs w:val="24"/>
        </w:rPr>
      </w:pPr>
      <w:r>
        <w:rPr>
          <w:rFonts w:ascii="Arial" w:hAnsi="Arial" w:cs="Arial"/>
          <w:sz w:val="24"/>
          <w:szCs w:val="24"/>
        </w:rPr>
        <w:t>The Fund’s operational costs are monitored throughout the year by the Fund’s management team and reported in the Pension Fund Annual Accounts.</w:t>
      </w:r>
    </w:p>
    <w:p w:rsidR="00A311F7" w:rsidRDefault="00A311F7" w:rsidP="00527DD4">
      <w:pPr>
        <w:rPr>
          <w:rFonts w:ascii="Arial" w:hAnsi="Arial" w:cs="Arial"/>
          <w:sz w:val="24"/>
          <w:szCs w:val="24"/>
        </w:rPr>
      </w:pPr>
    </w:p>
    <w:p w:rsidR="00A311F7" w:rsidRPr="00E002F5" w:rsidRDefault="00A311F7" w:rsidP="00527DD4">
      <w:pPr>
        <w:rPr>
          <w:rFonts w:ascii="Arial" w:hAnsi="Arial" w:cs="Arial"/>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6A0D1A" w:rsidRDefault="006A0D1A">
      <w:pPr>
        <w:rPr>
          <w:rFonts w:ascii="Arial" w:hAnsi="Arial" w:cs="Arial"/>
          <w:b/>
          <w:sz w:val="32"/>
          <w:szCs w:val="32"/>
        </w:rPr>
      </w:pPr>
      <w:r>
        <w:rPr>
          <w:rFonts w:ascii="Arial" w:hAnsi="Arial" w:cs="Arial"/>
          <w:b/>
          <w:sz w:val="32"/>
          <w:szCs w:val="32"/>
        </w:rPr>
        <w:br w:type="page"/>
      </w:r>
    </w:p>
    <w:p w:rsidR="00B429F7" w:rsidRPr="00B429F7" w:rsidRDefault="00B429F7" w:rsidP="00527DD4">
      <w:pPr>
        <w:rPr>
          <w:rFonts w:ascii="Arial" w:hAnsi="Arial" w:cs="Arial"/>
          <w:b/>
          <w:sz w:val="32"/>
          <w:szCs w:val="32"/>
        </w:rPr>
      </w:pPr>
      <w:r w:rsidRPr="00B429F7">
        <w:rPr>
          <w:rFonts w:ascii="Arial" w:hAnsi="Arial" w:cs="Arial"/>
          <w:b/>
          <w:sz w:val="32"/>
          <w:szCs w:val="32"/>
        </w:rPr>
        <w:lastRenderedPageBreak/>
        <w:t>Communications</w:t>
      </w:r>
    </w:p>
    <w:p w:rsidR="00B429F7" w:rsidRDefault="00B429F7" w:rsidP="00527DD4">
      <w:pPr>
        <w:rPr>
          <w:rFonts w:ascii="Arial" w:hAnsi="Arial" w:cs="Arial"/>
          <w:b/>
          <w:sz w:val="24"/>
          <w:szCs w:val="24"/>
        </w:rPr>
      </w:pPr>
    </w:p>
    <w:p w:rsidR="00B429F7" w:rsidRDefault="00B429F7" w:rsidP="00527DD4">
      <w:pPr>
        <w:rPr>
          <w:rFonts w:ascii="Arial" w:hAnsi="Arial" w:cs="Arial"/>
          <w:b/>
          <w:sz w:val="24"/>
          <w:szCs w:val="24"/>
        </w:rPr>
      </w:pPr>
    </w:p>
    <w:p w:rsidR="00B429F7" w:rsidRDefault="00B429F7" w:rsidP="00527DD4">
      <w:pPr>
        <w:rPr>
          <w:rFonts w:ascii="Arial" w:hAnsi="Arial" w:cs="Arial"/>
          <w:sz w:val="24"/>
          <w:szCs w:val="24"/>
        </w:rPr>
      </w:pPr>
      <w:r w:rsidRPr="00B429F7">
        <w:rPr>
          <w:rFonts w:ascii="Arial" w:hAnsi="Arial" w:cs="Arial"/>
          <w:sz w:val="24"/>
          <w:szCs w:val="24"/>
        </w:rPr>
        <w:t xml:space="preserve">The </w:t>
      </w:r>
      <w:r>
        <w:rPr>
          <w:rFonts w:ascii="Arial" w:hAnsi="Arial" w:cs="Arial"/>
          <w:sz w:val="24"/>
          <w:szCs w:val="24"/>
        </w:rPr>
        <w:t>Brent Pension Fund is committed to delivering a consistently high level of performance and customer service. Excellent communication is core to this commitment.</w:t>
      </w:r>
    </w:p>
    <w:p w:rsidR="00B429F7" w:rsidRDefault="00B429F7" w:rsidP="00527DD4">
      <w:pPr>
        <w:rPr>
          <w:rFonts w:ascii="Arial" w:hAnsi="Arial" w:cs="Arial"/>
          <w:sz w:val="24"/>
          <w:szCs w:val="24"/>
        </w:rPr>
      </w:pPr>
    </w:p>
    <w:p w:rsidR="00B429F7" w:rsidRDefault="00B429F7" w:rsidP="00527DD4">
      <w:pPr>
        <w:rPr>
          <w:rFonts w:ascii="Arial" w:hAnsi="Arial" w:cs="Arial"/>
          <w:sz w:val="24"/>
          <w:szCs w:val="24"/>
        </w:rPr>
      </w:pPr>
      <w:r>
        <w:rPr>
          <w:rFonts w:ascii="Arial" w:hAnsi="Arial" w:cs="Arial"/>
          <w:sz w:val="24"/>
          <w:szCs w:val="24"/>
        </w:rPr>
        <w:t>In all our communications we aim to:</w:t>
      </w:r>
    </w:p>
    <w:p w:rsidR="00B429F7" w:rsidRDefault="00B429F7" w:rsidP="00527DD4">
      <w:pPr>
        <w:rPr>
          <w:rFonts w:ascii="Arial" w:hAnsi="Arial" w:cs="Arial"/>
          <w:sz w:val="24"/>
          <w:szCs w:val="24"/>
        </w:rPr>
      </w:pPr>
    </w:p>
    <w:p w:rsidR="00B429F7" w:rsidRDefault="0048383C" w:rsidP="00907AD2">
      <w:pPr>
        <w:pStyle w:val="ListParagraph"/>
        <w:numPr>
          <w:ilvl w:val="0"/>
          <w:numId w:val="8"/>
        </w:numPr>
        <w:rPr>
          <w:rFonts w:ascii="Arial" w:hAnsi="Arial" w:cs="Arial"/>
          <w:sz w:val="24"/>
          <w:szCs w:val="24"/>
        </w:rPr>
      </w:pPr>
      <w:r>
        <w:rPr>
          <w:rFonts w:ascii="Arial" w:hAnsi="Arial" w:cs="Arial"/>
          <w:sz w:val="24"/>
          <w:szCs w:val="24"/>
        </w:rPr>
        <w:t>p</w:t>
      </w:r>
      <w:r w:rsidR="00B429F7">
        <w:rPr>
          <w:rFonts w:ascii="Arial" w:hAnsi="Arial" w:cs="Arial"/>
          <w:sz w:val="24"/>
          <w:szCs w:val="24"/>
        </w:rPr>
        <w:t>rovide clear, relevant, accurate, accessible and timely information</w:t>
      </w:r>
    </w:p>
    <w:p w:rsidR="00B429F7" w:rsidRPr="00B429F7" w:rsidRDefault="00B429F7" w:rsidP="00B429F7">
      <w:pPr>
        <w:rPr>
          <w:rFonts w:ascii="Arial" w:hAnsi="Arial" w:cs="Arial"/>
          <w:sz w:val="24"/>
          <w:szCs w:val="24"/>
        </w:rPr>
      </w:pPr>
    </w:p>
    <w:p w:rsidR="00B429F7" w:rsidRDefault="0048383C" w:rsidP="00907AD2">
      <w:pPr>
        <w:pStyle w:val="ListParagraph"/>
        <w:numPr>
          <w:ilvl w:val="0"/>
          <w:numId w:val="8"/>
        </w:numPr>
        <w:rPr>
          <w:rFonts w:ascii="Arial" w:hAnsi="Arial" w:cs="Arial"/>
          <w:sz w:val="24"/>
          <w:szCs w:val="24"/>
        </w:rPr>
      </w:pPr>
      <w:r>
        <w:rPr>
          <w:rFonts w:ascii="Arial" w:hAnsi="Arial" w:cs="Arial"/>
          <w:sz w:val="24"/>
          <w:szCs w:val="24"/>
        </w:rPr>
        <w:t>c</w:t>
      </w:r>
      <w:r w:rsidR="00B429F7">
        <w:rPr>
          <w:rFonts w:ascii="Arial" w:hAnsi="Arial" w:cs="Arial"/>
          <w:sz w:val="24"/>
          <w:szCs w:val="24"/>
        </w:rPr>
        <w:t>arefully listen, consider and respond to communications we receive</w:t>
      </w:r>
    </w:p>
    <w:p w:rsidR="00B429F7" w:rsidRPr="00B429F7" w:rsidRDefault="00B429F7" w:rsidP="00B429F7">
      <w:pPr>
        <w:pStyle w:val="ListParagraph"/>
        <w:rPr>
          <w:rFonts w:ascii="Arial" w:hAnsi="Arial" w:cs="Arial"/>
          <w:sz w:val="24"/>
          <w:szCs w:val="24"/>
        </w:rPr>
      </w:pPr>
    </w:p>
    <w:p w:rsidR="00B429F7" w:rsidRDefault="0048383C" w:rsidP="00907AD2">
      <w:pPr>
        <w:pStyle w:val="ListParagraph"/>
        <w:numPr>
          <w:ilvl w:val="0"/>
          <w:numId w:val="8"/>
        </w:numPr>
        <w:rPr>
          <w:rFonts w:ascii="Arial" w:hAnsi="Arial" w:cs="Arial"/>
          <w:sz w:val="24"/>
          <w:szCs w:val="24"/>
        </w:rPr>
      </w:pPr>
      <w:r>
        <w:rPr>
          <w:rFonts w:ascii="Arial" w:hAnsi="Arial" w:cs="Arial"/>
          <w:sz w:val="24"/>
          <w:szCs w:val="24"/>
        </w:rPr>
        <w:t>u</w:t>
      </w:r>
      <w:r w:rsidR="00B429F7">
        <w:rPr>
          <w:rFonts w:ascii="Arial" w:hAnsi="Arial" w:cs="Arial"/>
          <w:sz w:val="24"/>
          <w:szCs w:val="24"/>
        </w:rPr>
        <w:t>se plain English where possible and avoid unnecessary jargon</w:t>
      </w:r>
    </w:p>
    <w:p w:rsidR="00B429F7" w:rsidRPr="00B429F7" w:rsidRDefault="00B429F7" w:rsidP="00B429F7">
      <w:pPr>
        <w:pStyle w:val="ListParagraph"/>
        <w:rPr>
          <w:rFonts w:ascii="Arial" w:hAnsi="Arial" w:cs="Arial"/>
          <w:sz w:val="24"/>
          <w:szCs w:val="24"/>
        </w:rPr>
      </w:pPr>
    </w:p>
    <w:p w:rsidR="00B429F7" w:rsidRDefault="0048383C" w:rsidP="00907AD2">
      <w:pPr>
        <w:pStyle w:val="ListParagraph"/>
        <w:numPr>
          <w:ilvl w:val="0"/>
          <w:numId w:val="8"/>
        </w:numPr>
        <w:rPr>
          <w:rFonts w:ascii="Arial" w:hAnsi="Arial" w:cs="Arial"/>
          <w:sz w:val="24"/>
          <w:szCs w:val="24"/>
        </w:rPr>
      </w:pPr>
      <w:r>
        <w:rPr>
          <w:rFonts w:ascii="Arial" w:hAnsi="Arial" w:cs="Arial"/>
          <w:sz w:val="24"/>
          <w:szCs w:val="24"/>
        </w:rPr>
        <w:t>u</w:t>
      </w:r>
      <w:r w:rsidR="00B429F7">
        <w:rPr>
          <w:rFonts w:ascii="Arial" w:hAnsi="Arial" w:cs="Arial"/>
          <w:sz w:val="24"/>
          <w:szCs w:val="24"/>
        </w:rPr>
        <w:t>se the communication method that best suit</w:t>
      </w:r>
      <w:r w:rsidR="00EF6AE1">
        <w:rPr>
          <w:rFonts w:ascii="Arial" w:hAnsi="Arial" w:cs="Arial"/>
          <w:sz w:val="24"/>
          <w:szCs w:val="24"/>
        </w:rPr>
        <w:t>s</w:t>
      </w:r>
      <w:r w:rsidR="00B429F7">
        <w:rPr>
          <w:rFonts w:ascii="Arial" w:hAnsi="Arial" w:cs="Arial"/>
          <w:sz w:val="24"/>
          <w:szCs w:val="24"/>
        </w:rPr>
        <w:t xml:space="preserve"> the audience and the information being passed on.</w:t>
      </w:r>
    </w:p>
    <w:p w:rsidR="00B429F7" w:rsidRDefault="00B429F7" w:rsidP="00B429F7">
      <w:pPr>
        <w:rPr>
          <w:rFonts w:ascii="Arial" w:hAnsi="Arial" w:cs="Arial"/>
          <w:sz w:val="24"/>
          <w:szCs w:val="24"/>
        </w:rPr>
      </w:pPr>
    </w:p>
    <w:p w:rsidR="00B429F7" w:rsidRPr="00B429F7" w:rsidRDefault="002728C4" w:rsidP="00B429F7">
      <w:pPr>
        <w:rPr>
          <w:rFonts w:ascii="Arial" w:hAnsi="Arial" w:cs="Arial"/>
          <w:sz w:val="24"/>
          <w:szCs w:val="24"/>
        </w:rPr>
      </w:pPr>
      <w:r>
        <w:rPr>
          <w:rFonts w:ascii="Arial" w:hAnsi="Arial" w:cs="Arial"/>
          <w:sz w:val="24"/>
          <w:szCs w:val="24"/>
        </w:rPr>
        <w:t>The</w:t>
      </w:r>
      <w:r w:rsidR="00280FEF">
        <w:rPr>
          <w:rFonts w:ascii="Arial" w:hAnsi="Arial" w:cs="Arial"/>
          <w:sz w:val="24"/>
          <w:szCs w:val="24"/>
        </w:rPr>
        <w:t xml:space="preserve"> Council’s Communication Polic</w:t>
      </w:r>
      <w:r>
        <w:rPr>
          <w:rFonts w:ascii="Arial" w:hAnsi="Arial" w:cs="Arial"/>
          <w:sz w:val="24"/>
          <w:szCs w:val="24"/>
        </w:rPr>
        <w:t xml:space="preserve">y Statement can be found at </w:t>
      </w:r>
      <w:r w:rsidRPr="004F44F3">
        <w:rPr>
          <w:rFonts w:ascii="Arial" w:hAnsi="Arial" w:cs="Arial"/>
          <w:sz w:val="24"/>
          <w:szCs w:val="24"/>
        </w:rPr>
        <w:t xml:space="preserve">page </w:t>
      </w:r>
      <w:r w:rsidR="00941D80">
        <w:rPr>
          <w:rFonts w:ascii="Arial" w:hAnsi="Arial" w:cs="Arial"/>
          <w:sz w:val="24"/>
          <w:szCs w:val="24"/>
        </w:rPr>
        <w:t>63</w:t>
      </w:r>
      <w:r w:rsidRPr="004F44F3">
        <w:rPr>
          <w:rFonts w:ascii="Arial" w:hAnsi="Arial" w:cs="Arial"/>
          <w:sz w:val="24"/>
          <w:szCs w:val="24"/>
        </w:rPr>
        <w:t>.</w:t>
      </w:r>
    </w:p>
    <w:p w:rsidR="00B429F7" w:rsidRPr="007F0DDB" w:rsidRDefault="00B429F7" w:rsidP="00527DD4">
      <w:pPr>
        <w:rPr>
          <w:rFonts w:ascii="Arial" w:hAnsi="Arial" w:cs="Arial"/>
          <w:sz w:val="24"/>
          <w:szCs w:val="24"/>
        </w:rPr>
      </w:pPr>
    </w:p>
    <w:p w:rsidR="007F0DDB" w:rsidRPr="007F0DDB" w:rsidRDefault="007F0DDB" w:rsidP="00527DD4">
      <w:pPr>
        <w:rPr>
          <w:rFonts w:ascii="Arial" w:hAnsi="Arial" w:cs="Arial"/>
          <w:sz w:val="24"/>
          <w:szCs w:val="24"/>
        </w:rPr>
      </w:pPr>
      <w:r w:rsidRPr="007F0DDB">
        <w:rPr>
          <w:rFonts w:ascii="Arial" w:hAnsi="Arial" w:cs="Arial"/>
          <w:sz w:val="24"/>
          <w:szCs w:val="24"/>
        </w:rPr>
        <w:t>The Statement sets out who our main customers and contacts are, detailing how and when we communicate with them. We continually review and monitor our communications and the Statement is formally reviewed and endorsed each year by the Pension Fund Sub-Committee.</w:t>
      </w:r>
    </w:p>
    <w:p w:rsidR="007F0DDB" w:rsidRDefault="007F0DDB" w:rsidP="00527DD4">
      <w:pPr>
        <w:rPr>
          <w:rFonts w:ascii="Arial" w:hAnsi="Arial" w:cs="Arial"/>
          <w:b/>
          <w:sz w:val="24"/>
          <w:szCs w:val="24"/>
        </w:rPr>
      </w:pPr>
    </w:p>
    <w:p w:rsidR="00FF2390" w:rsidRDefault="00FF2390">
      <w:pPr>
        <w:rPr>
          <w:rFonts w:ascii="Arial" w:hAnsi="Arial" w:cs="Arial"/>
          <w:b/>
          <w:sz w:val="32"/>
          <w:szCs w:val="32"/>
        </w:rPr>
      </w:pPr>
      <w:r>
        <w:rPr>
          <w:rFonts w:ascii="Arial" w:hAnsi="Arial" w:cs="Arial"/>
          <w:b/>
          <w:sz w:val="32"/>
          <w:szCs w:val="32"/>
        </w:rPr>
        <w:br w:type="page"/>
      </w:r>
    </w:p>
    <w:p w:rsidR="00DE61AB" w:rsidRDefault="00280FEF" w:rsidP="00DE61AB">
      <w:pPr>
        <w:rPr>
          <w:rFonts w:ascii="Arial" w:hAnsi="Arial" w:cs="Arial"/>
          <w:b/>
          <w:sz w:val="32"/>
          <w:szCs w:val="32"/>
        </w:rPr>
      </w:pPr>
      <w:r>
        <w:rPr>
          <w:rFonts w:ascii="Arial" w:hAnsi="Arial" w:cs="Arial"/>
          <w:b/>
          <w:sz w:val="32"/>
          <w:szCs w:val="32"/>
        </w:rPr>
        <w:lastRenderedPageBreak/>
        <w:t>Actuarial</w:t>
      </w:r>
      <w:r w:rsidR="00FF2390">
        <w:rPr>
          <w:rFonts w:ascii="Arial" w:hAnsi="Arial" w:cs="Arial"/>
          <w:b/>
          <w:sz w:val="32"/>
          <w:szCs w:val="32"/>
        </w:rPr>
        <w:t xml:space="preserve"> </w:t>
      </w:r>
      <w:r w:rsidR="00C641E8">
        <w:rPr>
          <w:rFonts w:ascii="Arial" w:hAnsi="Arial" w:cs="Arial"/>
          <w:b/>
          <w:sz w:val="32"/>
          <w:szCs w:val="32"/>
        </w:rPr>
        <w:t>Position</w:t>
      </w:r>
    </w:p>
    <w:p w:rsidR="00DE61AB" w:rsidRPr="008C2D96" w:rsidRDefault="00DE61AB" w:rsidP="00DE61AB">
      <w:pPr>
        <w:rPr>
          <w:rFonts w:ascii="Arial" w:hAnsi="Arial" w:cs="Arial"/>
          <w:b/>
          <w:sz w:val="24"/>
          <w:szCs w:val="24"/>
        </w:rPr>
      </w:pPr>
    </w:p>
    <w:p w:rsidR="00DE61AB" w:rsidRPr="008C2D96" w:rsidRDefault="00DE61AB" w:rsidP="00DE61AB">
      <w:pPr>
        <w:rPr>
          <w:rFonts w:ascii="Arial" w:hAnsi="Arial" w:cs="Arial"/>
          <w:b/>
          <w:sz w:val="24"/>
          <w:szCs w:val="24"/>
        </w:rPr>
      </w:pPr>
    </w:p>
    <w:p w:rsidR="001026A2" w:rsidRDefault="00803D6F" w:rsidP="00DE61AB">
      <w:pPr>
        <w:rPr>
          <w:rFonts w:ascii="Arial" w:hAnsi="Arial" w:cs="Arial"/>
          <w:snapToGrid w:val="0"/>
          <w:color w:val="000000"/>
          <w:sz w:val="24"/>
        </w:rPr>
      </w:pPr>
      <w:r>
        <w:rPr>
          <w:rFonts w:ascii="Arial" w:hAnsi="Arial" w:cs="Arial"/>
          <w:sz w:val="24"/>
          <w:szCs w:val="24"/>
        </w:rPr>
        <w:t xml:space="preserve">An actuarial valuation of the Fund is </w:t>
      </w:r>
      <w:r w:rsidR="009A2EF8" w:rsidRPr="001D4A1D">
        <w:rPr>
          <w:rFonts w:ascii="Arial" w:hAnsi="Arial" w:cs="Arial"/>
          <w:sz w:val="24"/>
          <w:szCs w:val="24"/>
        </w:rPr>
        <w:t>carried out every th</w:t>
      </w:r>
      <w:r w:rsidR="004811B8">
        <w:rPr>
          <w:rFonts w:ascii="Arial" w:hAnsi="Arial" w:cs="Arial"/>
          <w:sz w:val="24"/>
          <w:szCs w:val="24"/>
        </w:rPr>
        <w:t>ree</w:t>
      </w:r>
      <w:r w:rsidR="009A2EF8" w:rsidRPr="001D4A1D">
        <w:rPr>
          <w:rFonts w:ascii="Arial" w:hAnsi="Arial" w:cs="Arial"/>
          <w:sz w:val="24"/>
          <w:szCs w:val="24"/>
        </w:rPr>
        <w:t xml:space="preserve"> year</w:t>
      </w:r>
      <w:r w:rsidR="004811B8">
        <w:rPr>
          <w:rFonts w:ascii="Arial" w:hAnsi="Arial" w:cs="Arial"/>
          <w:sz w:val="24"/>
          <w:szCs w:val="24"/>
        </w:rPr>
        <w:t>s by the Fund’s actuary</w:t>
      </w:r>
      <w:r w:rsidR="009A2EF8" w:rsidRPr="001D4A1D">
        <w:rPr>
          <w:rFonts w:ascii="Arial" w:hAnsi="Arial" w:cs="Arial"/>
          <w:sz w:val="24"/>
          <w:szCs w:val="24"/>
        </w:rPr>
        <w:t xml:space="preserve">. </w:t>
      </w:r>
      <w:r w:rsidRPr="00573A65">
        <w:rPr>
          <w:rFonts w:ascii="Arial" w:hAnsi="Arial" w:cs="Arial"/>
          <w:sz w:val="24"/>
          <w:szCs w:val="24"/>
        </w:rPr>
        <w:t xml:space="preserve">The </w:t>
      </w:r>
      <w:r>
        <w:rPr>
          <w:rFonts w:ascii="Arial" w:hAnsi="Arial" w:cs="Arial"/>
          <w:sz w:val="24"/>
          <w:szCs w:val="24"/>
        </w:rPr>
        <w:t xml:space="preserve">most recent actuarial </w:t>
      </w:r>
      <w:r w:rsidRPr="00573A65">
        <w:rPr>
          <w:rFonts w:ascii="Arial" w:hAnsi="Arial" w:cs="Arial"/>
          <w:sz w:val="24"/>
          <w:szCs w:val="24"/>
        </w:rPr>
        <w:t xml:space="preserve">valuation </w:t>
      </w:r>
      <w:r>
        <w:rPr>
          <w:rFonts w:ascii="Arial" w:hAnsi="Arial" w:cs="Arial"/>
          <w:sz w:val="24"/>
          <w:szCs w:val="24"/>
        </w:rPr>
        <w:t xml:space="preserve">carried out under Regulation 36 of </w:t>
      </w:r>
      <w:r w:rsidRPr="001D4A1D">
        <w:rPr>
          <w:rFonts w:ascii="Arial" w:hAnsi="Arial" w:cs="Arial"/>
          <w:sz w:val="24"/>
          <w:szCs w:val="24"/>
        </w:rPr>
        <w:t>the Local Government Pension Scheme (Administration) Regulations 2008</w:t>
      </w:r>
      <w:r>
        <w:rPr>
          <w:rFonts w:ascii="Arial" w:hAnsi="Arial" w:cs="Arial"/>
          <w:sz w:val="24"/>
          <w:szCs w:val="24"/>
        </w:rPr>
        <w:t xml:space="preserve"> was as at 31 March 2010.</w:t>
      </w:r>
      <w:r w:rsidR="00BA77E2">
        <w:rPr>
          <w:rFonts w:ascii="Arial" w:hAnsi="Arial" w:cs="Arial"/>
          <w:sz w:val="24"/>
          <w:szCs w:val="24"/>
        </w:rPr>
        <w:t xml:space="preserve"> </w:t>
      </w:r>
      <w:r w:rsidR="00BA77E2" w:rsidRPr="009410F7">
        <w:rPr>
          <w:rFonts w:ascii="Arial" w:hAnsi="Arial" w:cs="Arial"/>
          <w:snapToGrid w:val="0"/>
          <w:color w:val="000000"/>
          <w:sz w:val="24"/>
        </w:rPr>
        <w:t xml:space="preserve">The </w:t>
      </w:r>
      <w:r w:rsidR="003D35D8">
        <w:rPr>
          <w:rFonts w:ascii="Arial" w:hAnsi="Arial" w:cs="Arial"/>
          <w:snapToGrid w:val="0"/>
          <w:color w:val="000000"/>
          <w:sz w:val="24"/>
        </w:rPr>
        <w:t>latest</w:t>
      </w:r>
      <w:r w:rsidR="001026A2">
        <w:rPr>
          <w:rFonts w:ascii="Arial" w:hAnsi="Arial" w:cs="Arial"/>
          <w:snapToGrid w:val="0"/>
          <w:color w:val="000000"/>
          <w:sz w:val="24"/>
        </w:rPr>
        <w:t xml:space="preserve"> valuation as at</w:t>
      </w:r>
    </w:p>
    <w:p w:rsidR="00DE61AB" w:rsidRDefault="001026A2" w:rsidP="00DE61AB">
      <w:pPr>
        <w:rPr>
          <w:rFonts w:ascii="Arial" w:hAnsi="Arial" w:cs="Arial"/>
          <w:sz w:val="24"/>
          <w:szCs w:val="24"/>
        </w:rPr>
      </w:pPr>
      <w:r>
        <w:rPr>
          <w:rFonts w:ascii="Arial" w:hAnsi="Arial" w:cs="Arial"/>
          <w:snapToGrid w:val="0"/>
          <w:color w:val="000000"/>
          <w:sz w:val="24"/>
        </w:rPr>
        <w:t xml:space="preserve">31 </w:t>
      </w:r>
      <w:r w:rsidR="00BA77E2" w:rsidRPr="009410F7">
        <w:rPr>
          <w:rFonts w:ascii="Arial" w:hAnsi="Arial" w:cs="Arial"/>
          <w:snapToGrid w:val="0"/>
          <w:color w:val="000000"/>
          <w:sz w:val="24"/>
        </w:rPr>
        <w:t>March 2013</w:t>
      </w:r>
      <w:r w:rsidR="003D35D8">
        <w:rPr>
          <w:rFonts w:ascii="Arial" w:hAnsi="Arial" w:cs="Arial"/>
          <w:snapToGrid w:val="0"/>
          <w:color w:val="000000"/>
          <w:sz w:val="24"/>
        </w:rPr>
        <w:t xml:space="preserve"> is currently in the process of being carried out</w:t>
      </w:r>
      <w:r w:rsidR="00BA77E2" w:rsidRPr="009410F7">
        <w:rPr>
          <w:rFonts w:ascii="Arial" w:hAnsi="Arial" w:cs="Arial"/>
          <w:snapToGrid w:val="0"/>
          <w:color w:val="000000"/>
          <w:sz w:val="24"/>
        </w:rPr>
        <w:t>.</w:t>
      </w:r>
    </w:p>
    <w:p w:rsidR="00DE61AB" w:rsidRDefault="00DE61AB" w:rsidP="00DE61AB">
      <w:pPr>
        <w:rPr>
          <w:rFonts w:ascii="Arial" w:hAnsi="Arial" w:cs="Arial"/>
          <w:sz w:val="24"/>
          <w:szCs w:val="24"/>
        </w:rPr>
      </w:pPr>
    </w:p>
    <w:p w:rsidR="00DE61AB" w:rsidRDefault="009A2EF8" w:rsidP="00DE61AB">
      <w:pPr>
        <w:rPr>
          <w:rFonts w:ascii="Arial" w:hAnsi="Arial" w:cs="Arial"/>
          <w:sz w:val="24"/>
          <w:szCs w:val="24"/>
        </w:rPr>
      </w:pPr>
      <w:r w:rsidRPr="001D4A1D">
        <w:rPr>
          <w:rFonts w:ascii="Arial" w:hAnsi="Arial" w:cs="Arial"/>
          <w:sz w:val="24"/>
          <w:szCs w:val="24"/>
        </w:rPr>
        <w:t>The purpose of this is to establish that the Brent Pension Fund is able to meet its liabilities to past and present contributors and to revi</w:t>
      </w:r>
      <w:r w:rsidR="00DE61AB">
        <w:rPr>
          <w:rFonts w:ascii="Arial" w:hAnsi="Arial" w:cs="Arial"/>
          <w:sz w:val="24"/>
          <w:szCs w:val="24"/>
        </w:rPr>
        <w:t>ew employer contribution rates.</w:t>
      </w:r>
      <w:r w:rsidR="008852F9">
        <w:rPr>
          <w:rFonts w:ascii="Arial" w:hAnsi="Arial" w:cs="Arial"/>
          <w:sz w:val="24"/>
          <w:szCs w:val="24"/>
        </w:rPr>
        <w:t xml:space="preserve"> The f</w:t>
      </w:r>
      <w:r w:rsidR="00ED2D6B">
        <w:rPr>
          <w:rFonts w:ascii="Arial" w:hAnsi="Arial" w:cs="Arial"/>
          <w:sz w:val="24"/>
          <w:szCs w:val="24"/>
        </w:rPr>
        <w:t>unding objective is to achieve and then maintain assets equal to the funding target</w:t>
      </w:r>
      <w:r w:rsidR="008852F9">
        <w:rPr>
          <w:rFonts w:ascii="Arial" w:hAnsi="Arial" w:cs="Arial"/>
          <w:sz w:val="24"/>
          <w:szCs w:val="24"/>
        </w:rPr>
        <w:t>. The funding t</w:t>
      </w:r>
      <w:r w:rsidR="00B90776">
        <w:rPr>
          <w:rFonts w:ascii="Arial" w:hAnsi="Arial" w:cs="Arial"/>
          <w:sz w:val="24"/>
          <w:szCs w:val="24"/>
        </w:rPr>
        <w:t>arget is the present value of 100% of accrued liabilities.</w:t>
      </w:r>
    </w:p>
    <w:p w:rsidR="00505ED4" w:rsidRDefault="00505ED4" w:rsidP="00DE61AB">
      <w:pPr>
        <w:rPr>
          <w:rFonts w:ascii="Arial" w:hAnsi="Arial" w:cs="Arial"/>
          <w:sz w:val="24"/>
          <w:szCs w:val="24"/>
        </w:rPr>
      </w:pPr>
    </w:p>
    <w:p w:rsidR="00505ED4" w:rsidRDefault="00505ED4" w:rsidP="00DE61AB">
      <w:pPr>
        <w:rPr>
          <w:rFonts w:ascii="Arial" w:hAnsi="Arial" w:cs="Arial"/>
          <w:sz w:val="24"/>
          <w:szCs w:val="24"/>
        </w:rPr>
      </w:pPr>
      <w:r>
        <w:rPr>
          <w:rFonts w:ascii="Arial" w:hAnsi="Arial" w:cs="Arial"/>
          <w:sz w:val="24"/>
          <w:szCs w:val="24"/>
        </w:rPr>
        <w:t>In summary, the key funding principles are as follows:</w:t>
      </w:r>
    </w:p>
    <w:p w:rsidR="00505ED4" w:rsidRDefault="00505ED4" w:rsidP="00DE61AB">
      <w:pPr>
        <w:rPr>
          <w:rFonts w:ascii="Arial" w:hAnsi="Arial" w:cs="Arial"/>
          <w:sz w:val="24"/>
          <w:szCs w:val="24"/>
        </w:rPr>
      </w:pPr>
    </w:p>
    <w:p w:rsidR="00505ED4" w:rsidRDefault="008852F9" w:rsidP="00907AD2">
      <w:pPr>
        <w:pStyle w:val="ListParagraph"/>
        <w:numPr>
          <w:ilvl w:val="0"/>
          <w:numId w:val="23"/>
        </w:numPr>
        <w:rPr>
          <w:rFonts w:ascii="Arial" w:hAnsi="Arial" w:cs="Arial"/>
          <w:sz w:val="24"/>
          <w:szCs w:val="24"/>
        </w:rPr>
      </w:pPr>
      <w:r>
        <w:rPr>
          <w:rFonts w:ascii="Arial" w:hAnsi="Arial" w:cs="Arial"/>
          <w:sz w:val="24"/>
          <w:szCs w:val="24"/>
        </w:rPr>
        <w:t>e</w:t>
      </w:r>
      <w:r w:rsidR="00505ED4">
        <w:rPr>
          <w:rFonts w:ascii="Arial" w:hAnsi="Arial" w:cs="Arial"/>
          <w:sz w:val="24"/>
          <w:szCs w:val="24"/>
        </w:rPr>
        <w:t>nsure that sufficient resources are available to meet all benefi</w:t>
      </w:r>
      <w:r w:rsidR="007B35A4">
        <w:rPr>
          <w:rFonts w:ascii="Arial" w:hAnsi="Arial" w:cs="Arial"/>
          <w:sz w:val="24"/>
          <w:szCs w:val="24"/>
        </w:rPr>
        <w:t>ts as they fall due for payment;</w:t>
      </w:r>
    </w:p>
    <w:p w:rsidR="007B35A4" w:rsidRPr="007B35A4" w:rsidRDefault="007B35A4" w:rsidP="007B35A4">
      <w:pPr>
        <w:ind w:left="360"/>
        <w:rPr>
          <w:rFonts w:ascii="Arial" w:hAnsi="Arial" w:cs="Arial"/>
          <w:sz w:val="24"/>
          <w:szCs w:val="24"/>
        </w:rPr>
      </w:pPr>
    </w:p>
    <w:p w:rsidR="007B35A4" w:rsidRDefault="008852F9" w:rsidP="00907AD2">
      <w:pPr>
        <w:pStyle w:val="ListParagraph"/>
        <w:numPr>
          <w:ilvl w:val="0"/>
          <w:numId w:val="23"/>
        </w:numPr>
        <w:rPr>
          <w:rFonts w:ascii="Arial" w:hAnsi="Arial" w:cs="Arial"/>
          <w:sz w:val="24"/>
          <w:szCs w:val="24"/>
        </w:rPr>
      </w:pPr>
      <w:r>
        <w:rPr>
          <w:rFonts w:ascii="Arial" w:hAnsi="Arial" w:cs="Arial"/>
          <w:sz w:val="24"/>
          <w:szCs w:val="24"/>
        </w:rPr>
        <w:t>r</w:t>
      </w:r>
      <w:r w:rsidR="00505ED4" w:rsidRPr="007B35A4">
        <w:rPr>
          <w:rFonts w:ascii="Arial" w:hAnsi="Arial" w:cs="Arial"/>
          <w:sz w:val="24"/>
          <w:szCs w:val="24"/>
        </w:rPr>
        <w:t>ecover any shortfall in assets, relative to the value of accrued liabilities, over broadly the future working lifetime of current employees</w:t>
      </w:r>
      <w:r w:rsidR="007B35A4">
        <w:rPr>
          <w:rFonts w:ascii="Arial" w:hAnsi="Arial" w:cs="Arial"/>
          <w:sz w:val="24"/>
          <w:szCs w:val="24"/>
        </w:rPr>
        <w:t>;</w:t>
      </w:r>
    </w:p>
    <w:p w:rsidR="007B35A4" w:rsidRPr="007B35A4" w:rsidRDefault="007B35A4" w:rsidP="007B35A4">
      <w:pPr>
        <w:pStyle w:val="ListParagraph"/>
        <w:rPr>
          <w:rFonts w:ascii="Arial" w:hAnsi="Arial" w:cs="Arial"/>
          <w:sz w:val="24"/>
          <w:szCs w:val="24"/>
        </w:rPr>
      </w:pPr>
    </w:p>
    <w:p w:rsidR="007B35A4" w:rsidRDefault="008852F9" w:rsidP="00907AD2">
      <w:pPr>
        <w:pStyle w:val="ListParagraph"/>
        <w:numPr>
          <w:ilvl w:val="0"/>
          <w:numId w:val="23"/>
        </w:numPr>
        <w:rPr>
          <w:rFonts w:ascii="Arial" w:hAnsi="Arial" w:cs="Arial"/>
          <w:sz w:val="24"/>
          <w:szCs w:val="24"/>
        </w:rPr>
      </w:pPr>
      <w:r>
        <w:rPr>
          <w:rFonts w:ascii="Arial" w:hAnsi="Arial" w:cs="Arial"/>
          <w:sz w:val="24"/>
          <w:szCs w:val="24"/>
        </w:rPr>
        <w:t>e</w:t>
      </w:r>
      <w:r w:rsidR="00505ED4" w:rsidRPr="007B35A4">
        <w:rPr>
          <w:rFonts w:ascii="Arial" w:hAnsi="Arial" w:cs="Arial"/>
          <w:sz w:val="24"/>
          <w:szCs w:val="24"/>
        </w:rPr>
        <w:t>nable employer contributions to be kept as stable as possible and at reasonable cost</w:t>
      </w:r>
      <w:r w:rsidR="007B35A4">
        <w:rPr>
          <w:rFonts w:ascii="Arial" w:hAnsi="Arial" w:cs="Arial"/>
          <w:sz w:val="24"/>
          <w:szCs w:val="24"/>
        </w:rPr>
        <w:t>; and</w:t>
      </w:r>
    </w:p>
    <w:p w:rsidR="007B35A4" w:rsidRPr="007B35A4" w:rsidRDefault="007B35A4" w:rsidP="007B35A4">
      <w:pPr>
        <w:pStyle w:val="ListParagraph"/>
        <w:rPr>
          <w:rFonts w:ascii="Arial" w:hAnsi="Arial" w:cs="Arial"/>
          <w:sz w:val="24"/>
          <w:szCs w:val="24"/>
        </w:rPr>
      </w:pPr>
    </w:p>
    <w:p w:rsidR="007043AC" w:rsidRPr="007B35A4" w:rsidRDefault="008852F9" w:rsidP="00907AD2">
      <w:pPr>
        <w:pStyle w:val="ListParagraph"/>
        <w:numPr>
          <w:ilvl w:val="0"/>
          <w:numId w:val="23"/>
        </w:numPr>
        <w:rPr>
          <w:rFonts w:ascii="Arial" w:hAnsi="Arial" w:cs="Arial"/>
          <w:sz w:val="24"/>
          <w:szCs w:val="24"/>
        </w:rPr>
      </w:pPr>
      <w:r>
        <w:rPr>
          <w:rFonts w:ascii="Arial" w:hAnsi="Arial" w:cs="Arial"/>
          <w:sz w:val="24"/>
          <w:szCs w:val="24"/>
        </w:rPr>
        <w:t>m</w:t>
      </w:r>
      <w:r w:rsidR="007043AC" w:rsidRPr="007B35A4">
        <w:rPr>
          <w:rFonts w:ascii="Arial" w:hAnsi="Arial" w:cs="Arial"/>
          <w:sz w:val="24"/>
          <w:szCs w:val="24"/>
        </w:rPr>
        <w:t>aximise the returns from investments within reasonable risk parameters.</w:t>
      </w:r>
    </w:p>
    <w:p w:rsidR="00F06151" w:rsidRDefault="00F06151" w:rsidP="00DE61AB">
      <w:pPr>
        <w:rPr>
          <w:rFonts w:ascii="Arial" w:hAnsi="Arial" w:cs="Arial"/>
          <w:sz w:val="24"/>
          <w:szCs w:val="24"/>
        </w:rPr>
      </w:pPr>
    </w:p>
    <w:p w:rsidR="00F06151" w:rsidRDefault="00704C34" w:rsidP="00DE61AB">
      <w:pPr>
        <w:rPr>
          <w:rFonts w:ascii="Arial" w:hAnsi="Arial" w:cs="Arial"/>
          <w:sz w:val="24"/>
          <w:szCs w:val="24"/>
        </w:rPr>
      </w:pPr>
      <w:r>
        <w:rPr>
          <w:rFonts w:ascii="Arial" w:hAnsi="Arial" w:cs="Arial"/>
          <w:sz w:val="24"/>
          <w:szCs w:val="24"/>
        </w:rPr>
        <w:t>Th</w:t>
      </w:r>
      <w:r w:rsidR="00E3512E">
        <w:rPr>
          <w:rFonts w:ascii="Arial" w:hAnsi="Arial" w:cs="Arial"/>
          <w:sz w:val="24"/>
          <w:szCs w:val="24"/>
        </w:rPr>
        <w:t>e most recent</w:t>
      </w:r>
      <w:r w:rsidR="00A203DA">
        <w:rPr>
          <w:rFonts w:ascii="Arial" w:hAnsi="Arial" w:cs="Arial"/>
          <w:sz w:val="24"/>
          <w:szCs w:val="24"/>
        </w:rPr>
        <w:t xml:space="preserve"> valuation revealed that the Fund’s assets, which at 31 March 2010 were valued at £</w:t>
      </w:r>
      <w:r w:rsidR="00980D6D">
        <w:rPr>
          <w:rFonts w:ascii="Arial" w:hAnsi="Arial" w:cs="Arial"/>
          <w:sz w:val="24"/>
          <w:szCs w:val="24"/>
        </w:rPr>
        <w:t>457.4m, were sufficient to meet 61% of the liabilities</w:t>
      </w:r>
      <w:r w:rsidR="00043472">
        <w:rPr>
          <w:rFonts w:ascii="Arial" w:hAnsi="Arial" w:cs="Arial"/>
          <w:sz w:val="24"/>
          <w:szCs w:val="24"/>
        </w:rPr>
        <w:t xml:space="preserve"> (i.e., the present value of promised retirement benefits) accrued up to that date.</w:t>
      </w:r>
      <w:r w:rsidR="00F93D1A">
        <w:rPr>
          <w:rFonts w:ascii="Arial" w:hAnsi="Arial" w:cs="Arial"/>
          <w:sz w:val="24"/>
          <w:szCs w:val="24"/>
        </w:rPr>
        <w:t xml:space="preserve"> The resulting deficit at the 2010 valuation was £</w:t>
      </w:r>
      <w:r w:rsidR="004300F1">
        <w:rPr>
          <w:rFonts w:ascii="Arial" w:hAnsi="Arial" w:cs="Arial"/>
          <w:sz w:val="24"/>
          <w:szCs w:val="24"/>
        </w:rPr>
        <w:t>293.6m.</w:t>
      </w:r>
    </w:p>
    <w:p w:rsidR="00A51CC3" w:rsidRDefault="00A51CC3" w:rsidP="00DE61AB">
      <w:pPr>
        <w:rPr>
          <w:rFonts w:ascii="Arial" w:hAnsi="Arial" w:cs="Arial"/>
          <w:sz w:val="24"/>
          <w:szCs w:val="24"/>
        </w:rPr>
      </w:pPr>
    </w:p>
    <w:p w:rsidR="00A23E73" w:rsidRDefault="00ED40BA" w:rsidP="00A23E73">
      <w:pPr>
        <w:rPr>
          <w:rFonts w:ascii="Arial" w:hAnsi="Arial" w:cs="Arial"/>
          <w:sz w:val="24"/>
          <w:szCs w:val="24"/>
        </w:rPr>
      </w:pPr>
      <w:r>
        <w:rPr>
          <w:rFonts w:ascii="Arial" w:hAnsi="Arial" w:cs="Arial"/>
          <w:sz w:val="24"/>
          <w:szCs w:val="24"/>
        </w:rPr>
        <w:t xml:space="preserve">Asset-liability modelling was carried out which demonstrated </w:t>
      </w:r>
      <w:r w:rsidR="005B18A5">
        <w:rPr>
          <w:rFonts w:ascii="Arial" w:hAnsi="Arial" w:cs="Arial"/>
          <w:sz w:val="24"/>
          <w:szCs w:val="24"/>
        </w:rPr>
        <w:t>that an average empl</w:t>
      </w:r>
      <w:r w:rsidR="00DA1A2C">
        <w:rPr>
          <w:rFonts w:ascii="Arial" w:hAnsi="Arial" w:cs="Arial"/>
          <w:sz w:val="24"/>
          <w:szCs w:val="24"/>
        </w:rPr>
        <w:t xml:space="preserve">oyer contribution rate of </w:t>
      </w:r>
      <w:r w:rsidR="005B18A5">
        <w:rPr>
          <w:rFonts w:ascii="Arial" w:hAnsi="Arial" w:cs="Arial"/>
          <w:sz w:val="24"/>
          <w:szCs w:val="24"/>
        </w:rPr>
        <w:t>24.6% of pensionable pay</w:t>
      </w:r>
      <w:r w:rsidR="00A05AF4">
        <w:rPr>
          <w:rFonts w:ascii="Arial" w:hAnsi="Arial" w:cs="Arial"/>
          <w:sz w:val="24"/>
          <w:szCs w:val="24"/>
        </w:rPr>
        <w:t xml:space="preserve"> would restore the Fund to full funding using a 25-year recovery period.</w:t>
      </w:r>
    </w:p>
    <w:p w:rsidR="00A23E73" w:rsidRDefault="00A23E73" w:rsidP="00A23E73">
      <w:pPr>
        <w:rPr>
          <w:rFonts w:ascii="Arial" w:hAnsi="Arial" w:cs="Arial"/>
          <w:sz w:val="24"/>
          <w:szCs w:val="24"/>
        </w:rPr>
      </w:pPr>
    </w:p>
    <w:p w:rsidR="00AC3B58" w:rsidRPr="00A23E73" w:rsidRDefault="006415F1" w:rsidP="00A23E73">
      <w:pPr>
        <w:rPr>
          <w:rFonts w:ascii="Arial" w:hAnsi="Arial" w:cs="Arial"/>
          <w:sz w:val="24"/>
          <w:szCs w:val="24"/>
        </w:rPr>
      </w:pPr>
      <w:r w:rsidRPr="009A69BC">
        <w:rPr>
          <w:rFonts w:ascii="Arial" w:hAnsi="Arial" w:cs="Arial"/>
          <w:sz w:val="24"/>
          <w:szCs w:val="24"/>
        </w:rPr>
        <w:t xml:space="preserve">During 2012/13, the most commonly applied employer contribution rate within the Brent Pension Fund </w:t>
      </w:r>
      <w:r w:rsidR="0052256D" w:rsidRPr="009A69BC">
        <w:rPr>
          <w:rFonts w:ascii="Arial" w:hAnsi="Arial" w:cs="Arial"/>
          <w:sz w:val="24"/>
          <w:szCs w:val="24"/>
        </w:rPr>
        <w:t xml:space="preserve">was 26.9% of pensionable pay. </w:t>
      </w:r>
      <w:r w:rsidR="009A69BC" w:rsidRPr="009A69BC">
        <w:rPr>
          <w:rFonts w:ascii="Arial" w:hAnsi="Arial" w:cs="Arial"/>
          <w:sz w:val="24"/>
          <w:szCs w:val="24"/>
        </w:rPr>
        <w:t>O</w:t>
      </w:r>
      <w:r w:rsidR="009301FE" w:rsidRPr="009A69BC">
        <w:rPr>
          <w:rFonts w:ascii="Arial" w:hAnsi="Arial" w:cs="Arial"/>
          <w:sz w:val="24"/>
          <w:szCs w:val="24"/>
        </w:rPr>
        <w:t>ther employers</w:t>
      </w:r>
      <w:r w:rsidR="009A69BC" w:rsidRPr="009A69BC">
        <w:rPr>
          <w:rFonts w:ascii="Arial" w:hAnsi="Arial" w:cs="Arial"/>
          <w:sz w:val="24"/>
          <w:szCs w:val="24"/>
        </w:rPr>
        <w:t xml:space="preserve"> hav</w:t>
      </w:r>
      <w:r w:rsidR="009301FE" w:rsidRPr="009A69BC">
        <w:rPr>
          <w:rFonts w:ascii="Arial" w:hAnsi="Arial" w:cs="Arial"/>
          <w:sz w:val="24"/>
          <w:szCs w:val="24"/>
        </w:rPr>
        <w:t xml:space="preserve">e </w:t>
      </w:r>
      <w:r w:rsidR="009A2EF8" w:rsidRPr="009A69BC">
        <w:rPr>
          <w:rFonts w:ascii="Arial" w:hAnsi="Arial" w:cs="Arial"/>
          <w:sz w:val="24"/>
          <w:szCs w:val="24"/>
        </w:rPr>
        <w:t>different rates of contributions depending on their past experience, their current staff profile, and the recovery period agreed with the Administering Authority. In addition</w:t>
      </w:r>
      <w:r w:rsidR="000A208A" w:rsidRPr="009A69BC">
        <w:rPr>
          <w:rFonts w:ascii="Arial" w:hAnsi="Arial" w:cs="Arial"/>
          <w:sz w:val="24"/>
          <w:szCs w:val="24"/>
        </w:rPr>
        <w:t>,</w:t>
      </w:r>
      <w:r w:rsidR="009A2EF8" w:rsidRPr="009A69BC">
        <w:rPr>
          <w:rFonts w:ascii="Arial" w:hAnsi="Arial" w:cs="Arial"/>
          <w:sz w:val="24"/>
          <w:szCs w:val="24"/>
        </w:rPr>
        <w:t xml:space="preserve"> the Administering Authority agreed that the significant increases in contribution requirements could be phased in for some employers</w:t>
      </w:r>
      <w:r w:rsidR="00AC3B58" w:rsidRPr="009A69BC">
        <w:rPr>
          <w:rFonts w:ascii="Arial" w:hAnsi="Arial" w:cs="Arial"/>
          <w:sz w:val="24"/>
          <w:szCs w:val="24"/>
        </w:rPr>
        <w:t xml:space="preserve"> over periods of up to 6 years.</w:t>
      </w:r>
    </w:p>
    <w:p w:rsidR="009A2EF8" w:rsidRPr="002E4AF7" w:rsidRDefault="009A2EF8" w:rsidP="009A2EF8">
      <w:pPr>
        <w:spacing w:after="240"/>
        <w:jc w:val="both"/>
        <w:rPr>
          <w:rFonts w:ascii="Arial" w:hAnsi="Arial" w:cs="Arial"/>
        </w:rPr>
      </w:pPr>
    </w:p>
    <w:p w:rsidR="00B45417" w:rsidRPr="00B45417" w:rsidRDefault="00391E0C" w:rsidP="00FF2390">
      <w:pPr>
        <w:rPr>
          <w:rFonts w:ascii="Arial" w:hAnsi="Arial" w:cs="Arial"/>
          <w:b/>
          <w:sz w:val="32"/>
          <w:szCs w:val="32"/>
        </w:rPr>
      </w:pPr>
      <w:r w:rsidRPr="00BB6A57">
        <w:rPr>
          <w:rFonts w:ascii="Arial" w:hAnsi="Arial" w:cs="Arial"/>
          <w:b/>
          <w:sz w:val="24"/>
          <w:szCs w:val="24"/>
        </w:rPr>
        <w:br w:type="page"/>
      </w:r>
      <w:r w:rsidR="004C30A3">
        <w:rPr>
          <w:rFonts w:ascii="Arial" w:hAnsi="Arial" w:cs="Arial"/>
          <w:b/>
          <w:sz w:val="32"/>
          <w:szCs w:val="32"/>
        </w:rPr>
        <w:lastRenderedPageBreak/>
        <w:t>Investment</w:t>
      </w:r>
      <w:r w:rsidR="00B45417" w:rsidRPr="00B45417">
        <w:rPr>
          <w:rFonts w:ascii="Arial" w:hAnsi="Arial" w:cs="Arial"/>
          <w:b/>
          <w:sz w:val="32"/>
          <w:szCs w:val="32"/>
        </w:rPr>
        <w:t xml:space="preserve"> Review 20</w:t>
      </w:r>
      <w:r w:rsidR="004C30A3">
        <w:rPr>
          <w:rFonts w:ascii="Arial" w:hAnsi="Arial" w:cs="Arial"/>
          <w:b/>
          <w:sz w:val="32"/>
          <w:szCs w:val="32"/>
        </w:rPr>
        <w:t>12/</w:t>
      </w:r>
      <w:r w:rsidR="00B45417" w:rsidRPr="00B45417">
        <w:rPr>
          <w:rFonts w:ascii="Arial" w:hAnsi="Arial" w:cs="Arial"/>
          <w:b/>
          <w:sz w:val="32"/>
          <w:szCs w:val="32"/>
        </w:rPr>
        <w:t>13</w:t>
      </w:r>
    </w:p>
    <w:p w:rsidR="00732989" w:rsidRPr="00DD2F2C" w:rsidRDefault="00732989" w:rsidP="00732989">
      <w:pPr>
        <w:rPr>
          <w:rFonts w:ascii="Arial" w:hAnsi="Arial" w:cs="Arial"/>
          <w:b/>
          <w:sz w:val="24"/>
          <w:szCs w:val="24"/>
        </w:rPr>
      </w:pPr>
    </w:p>
    <w:p w:rsidR="00732989" w:rsidRPr="00DD2F2C" w:rsidRDefault="00732989" w:rsidP="00732989">
      <w:pPr>
        <w:rPr>
          <w:rFonts w:ascii="Arial" w:hAnsi="Arial" w:cs="Arial"/>
          <w:b/>
          <w:sz w:val="24"/>
          <w:szCs w:val="24"/>
        </w:rPr>
      </w:pPr>
    </w:p>
    <w:p w:rsidR="00732989" w:rsidRDefault="00732989" w:rsidP="0053641A">
      <w:pPr>
        <w:rPr>
          <w:rFonts w:ascii="Arial" w:hAnsi="Arial" w:cs="Arial"/>
          <w:b/>
          <w:sz w:val="24"/>
          <w:szCs w:val="24"/>
        </w:rPr>
      </w:pPr>
      <w:r w:rsidRPr="00DD2F2C">
        <w:rPr>
          <w:rFonts w:ascii="Arial" w:hAnsi="Arial" w:cs="Arial"/>
          <w:b/>
          <w:sz w:val="24"/>
          <w:szCs w:val="24"/>
        </w:rPr>
        <w:t>Economic Background</w:t>
      </w:r>
    </w:p>
    <w:p w:rsidR="005623A0" w:rsidRPr="00DD2F2C" w:rsidRDefault="005623A0" w:rsidP="0053641A">
      <w:pPr>
        <w:rPr>
          <w:rFonts w:ascii="Arial" w:hAnsi="Arial" w:cs="Arial"/>
          <w:b/>
          <w:sz w:val="24"/>
          <w:szCs w:val="24"/>
        </w:rPr>
      </w:pPr>
    </w:p>
    <w:p w:rsidR="00732989" w:rsidRPr="00DD2F2C" w:rsidRDefault="00746E02" w:rsidP="0053641A">
      <w:pPr>
        <w:rPr>
          <w:rFonts w:ascii="Arial" w:hAnsi="Arial" w:cs="Arial"/>
          <w:sz w:val="24"/>
          <w:szCs w:val="24"/>
        </w:rPr>
      </w:pPr>
      <w:r>
        <w:rPr>
          <w:rFonts w:ascii="Arial" w:hAnsi="Arial" w:cs="Arial"/>
          <w:sz w:val="24"/>
          <w:szCs w:val="24"/>
        </w:rPr>
        <w:t>Gross Domestic Product (</w:t>
      </w:r>
      <w:r w:rsidR="00732989" w:rsidRPr="00DD2F2C">
        <w:rPr>
          <w:rFonts w:ascii="Arial" w:hAnsi="Arial" w:cs="Arial"/>
          <w:sz w:val="24"/>
          <w:szCs w:val="24"/>
        </w:rPr>
        <w:t>GDP</w:t>
      </w:r>
      <w:r>
        <w:rPr>
          <w:rFonts w:ascii="Arial" w:hAnsi="Arial" w:cs="Arial"/>
          <w:sz w:val="24"/>
          <w:szCs w:val="24"/>
        </w:rPr>
        <w:t>)</w:t>
      </w:r>
      <w:r w:rsidR="00732989" w:rsidRPr="00DD2F2C">
        <w:rPr>
          <w:rFonts w:ascii="Arial" w:hAnsi="Arial" w:cs="Arial"/>
          <w:sz w:val="24"/>
          <w:szCs w:val="24"/>
        </w:rPr>
        <w:t xml:space="preserve"> growth in 2012 was in line with mid-year forecasts, except for a disappointing UK which r</w:t>
      </w:r>
      <w:r w:rsidR="0053641A">
        <w:rPr>
          <w:rFonts w:ascii="Arial" w:hAnsi="Arial" w:cs="Arial"/>
          <w:sz w:val="24"/>
          <w:szCs w:val="24"/>
        </w:rPr>
        <w:t>ecorded no growth for the year.</w:t>
      </w:r>
      <w:r w:rsidR="00732989" w:rsidRPr="00DD2F2C">
        <w:rPr>
          <w:rFonts w:ascii="Arial" w:hAnsi="Arial" w:cs="Arial"/>
          <w:sz w:val="24"/>
          <w:szCs w:val="24"/>
        </w:rPr>
        <w:t xml:space="preserve"> T</w:t>
      </w:r>
      <w:r w:rsidR="00AC7580">
        <w:rPr>
          <w:rFonts w:ascii="Arial" w:hAnsi="Arial" w:cs="Arial"/>
          <w:sz w:val="24"/>
          <w:szCs w:val="24"/>
        </w:rPr>
        <w:t>he US and Japan each grew by 2%</w:t>
      </w:r>
      <w:r w:rsidR="00732989" w:rsidRPr="00DD2F2C">
        <w:rPr>
          <w:rFonts w:ascii="Arial" w:hAnsi="Arial" w:cs="Arial"/>
          <w:sz w:val="24"/>
          <w:szCs w:val="24"/>
        </w:rPr>
        <w:t xml:space="preserve"> and China by 8%, but the Eurozone economies contracted by 0.5%. Forecasts for 2013 show an improvement for the UK, and similar numbers to 2012 elsewhere, but these remain below the longer-term trend rates of growth.</w:t>
      </w:r>
    </w:p>
    <w:p w:rsidR="00732989" w:rsidRPr="00DD2F2C" w:rsidRDefault="00732989" w:rsidP="0053641A">
      <w:pPr>
        <w:rPr>
          <w:rFonts w:ascii="Arial" w:hAnsi="Arial" w:cs="Arial"/>
          <w:i/>
          <w:sz w:val="24"/>
          <w:szCs w:val="24"/>
        </w:rPr>
      </w:pPr>
    </w:p>
    <w:p w:rsidR="00732989" w:rsidRPr="00DD2F2C" w:rsidRDefault="00732989" w:rsidP="0053641A">
      <w:pPr>
        <w:rPr>
          <w:rFonts w:ascii="Arial" w:hAnsi="Arial" w:cs="Arial"/>
          <w:sz w:val="24"/>
          <w:szCs w:val="24"/>
        </w:rPr>
      </w:pPr>
      <w:r w:rsidRPr="00DD2F2C">
        <w:rPr>
          <w:rFonts w:ascii="Arial" w:hAnsi="Arial" w:cs="Arial"/>
          <w:sz w:val="24"/>
          <w:szCs w:val="24"/>
        </w:rPr>
        <w:t xml:space="preserve">Within the Eurozone, fears that Greece would leave the euro – and worries about the situation in Spain and Italy – were alleviated by </w:t>
      </w:r>
      <w:r w:rsidR="00F33F8C">
        <w:rPr>
          <w:rFonts w:ascii="Arial" w:hAnsi="Arial" w:cs="Arial"/>
          <w:sz w:val="24"/>
          <w:szCs w:val="24"/>
        </w:rPr>
        <w:t>European Central Bank (</w:t>
      </w:r>
      <w:r w:rsidRPr="00DD2F2C">
        <w:rPr>
          <w:rFonts w:ascii="Arial" w:hAnsi="Arial" w:cs="Arial"/>
          <w:sz w:val="24"/>
          <w:szCs w:val="24"/>
        </w:rPr>
        <w:t>ECB</w:t>
      </w:r>
      <w:r w:rsidR="00F33F8C">
        <w:rPr>
          <w:rFonts w:ascii="Arial" w:hAnsi="Arial" w:cs="Arial"/>
          <w:sz w:val="24"/>
          <w:szCs w:val="24"/>
        </w:rPr>
        <w:t>)</w:t>
      </w:r>
      <w:r w:rsidRPr="00DD2F2C">
        <w:rPr>
          <w:rFonts w:ascii="Arial" w:hAnsi="Arial" w:cs="Arial"/>
          <w:sz w:val="24"/>
          <w:szCs w:val="24"/>
        </w:rPr>
        <w:t xml:space="preserve"> President Mario Draghi’s statement in July</w:t>
      </w:r>
      <w:r w:rsidR="00746E02">
        <w:rPr>
          <w:rFonts w:ascii="Arial" w:hAnsi="Arial" w:cs="Arial"/>
          <w:sz w:val="24"/>
          <w:szCs w:val="24"/>
        </w:rPr>
        <w:t xml:space="preserve"> 2012</w:t>
      </w:r>
      <w:r w:rsidRPr="00DD2F2C">
        <w:rPr>
          <w:rFonts w:ascii="Arial" w:hAnsi="Arial" w:cs="Arial"/>
          <w:sz w:val="24"/>
          <w:szCs w:val="24"/>
        </w:rPr>
        <w:t xml:space="preserve"> that he would do “whatever it takes” to preserve the euro. This was backed up by the launch of the ECB’s </w:t>
      </w:r>
      <w:r w:rsidR="002F2B61">
        <w:rPr>
          <w:rFonts w:ascii="Arial" w:hAnsi="Arial" w:cs="Arial"/>
          <w:sz w:val="24"/>
          <w:szCs w:val="24"/>
        </w:rPr>
        <w:t>Outright Monetary Transactions (</w:t>
      </w:r>
      <w:r w:rsidRPr="00DD2F2C">
        <w:rPr>
          <w:rFonts w:ascii="Arial" w:hAnsi="Arial" w:cs="Arial"/>
          <w:sz w:val="24"/>
          <w:szCs w:val="24"/>
        </w:rPr>
        <w:t>OMT</w:t>
      </w:r>
      <w:r w:rsidR="002F2B61">
        <w:rPr>
          <w:rFonts w:ascii="Arial" w:hAnsi="Arial" w:cs="Arial"/>
          <w:sz w:val="24"/>
          <w:szCs w:val="24"/>
        </w:rPr>
        <w:t>)</w:t>
      </w:r>
      <w:r w:rsidRPr="00DD2F2C">
        <w:rPr>
          <w:rFonts w:ascii="Arial" w:hAnsi="Arial" w:cs="Arial"/>
          <w:sz w:val="24"/>
          <w:szCs w:val="24"/>
        </w:rPr>
        <w:t xml:space="preserve"> policy, under which the ECB would buy shorter-dated government bonds provided the government in question had requested help and agreed to the imposition of fiscal conditions. The policy has not yet been activated, but the yields on Spanish and Italian sovereign bonds have fallen significantly. Elections in Holland and Italy have shown strong support fo</w:t>
      </w:r>
      <w:r w:rsidR="00BB2909">
        <w:rPr>
          <w:rFonts w:ascii="Arial" w:hAnsi="Arial" w:cs="Arial"/>
          <w:sz w:val="24"/>
          <w:szCs w:val="24"/>
        </w:rPr>
        <w:t>r the anti-austerity candidates</w:t>
      </w:r>
      <w:r w:rsidRPr="00DD2F2C">
        <w:rPr>
          <w:rFonts w:ascii="Arial" w:hAnsi="Arial" w:cs="Arial"/>
          <w:sz w:val="24"/>
          <w:szCs w:val="24"/>
        </w:rPr>
        <w:t xml:space="preserve"> which casts doubt on the political acceptability of further austerity measures. In the UK, the Chancellor has had to admit that his deficit reduction targets will not be met until at least two years later than planned.</w:t>
      </w:r>
    </w:p>
    <w:p w:rsidR="00732989" w:rsidRPr="00DD2F2C" w:rsidRDefault="00732989" w:rsidP="0053641A">
      <w:pPr>
        <w:rPr>
          <w:rFonts w:ascii="Arial" w:hAnsi="Arial" w:cs="Arial"/>
          <w:i/>
          <w:sz w:val="24"/>
          <w:szCs w:val="24"/>
        </w:rPr>
      </w:pPr>
    </w:p>
    <w:p w:rsidR="00732989" w:rsidRPr="00DD2F2C" w:rsidRDefault="00732989" w:rsidP="0053641A">
      <w:pPr>
        <w:rPr>
          <w:rFonts w:ascii="Arial" w:hAnsi="Arial" w:cs="Arial"/>
          <w:sz w:val="24"/>
          <w:szCs w:val="24"/>
        </w:rPr>
      </w:pPr>
      <w:r w:rsidRPr="00DD2F2C">
        <w:rPr>
          <w:rFonts w:ascii="Arial" w:hAnsi="Arial" w:cs="Arial"/>
          <w:sz w:val="24"/>
          <w:szCs w:val="24"/>
        </w:rPr>
        <w:t>The US Federal Reserve has continued its programme of Quantitative Easing, but the Bank of England’s programme is in abeyance. The new Japanese Prime Minister, Shinzo Abe, has overhauled economic policy – announcing a 2% inflation target, fiscal stimulus and structural reforms – while the Bank of Japan intends to double the money supply in the next two years. This has caused a sharp fall in the yen since November</w:t>
      </w:r>
      <w:r w:rsidR="00BD1C85">
        <w:rPr>
          <w:rFonts w:ascii="Arial" w:hAnsi="Arial" w:cs="Arial"/>
          <w:sz w:val="24"/>
          <w:szCs w:val="24"/>
        </w:rPr>
        <w:t xml:space="preserve"> 2012</w:t>
      </w:r>
      <w:r w:rsidRPr="00DD2F2C">
        <w:rPr>
          <w:rFonts w:ascii="Arial" w:hAnsi="Arial" w:cs="Arial"/>
          <w:sz w:val="24"/>
          <w:szCs w:val="24"/>
        </w:rPr>
        <w:t>, but an even sharper rise in Japanese equities.</w:t>
      </w:r>
    </w:p>
    <w:p w:rsidR="00732989" w:rsidRPr="00BD1C85" w:rsidRDefault="00732989" w:rsidP="0053641A">
      <w:pPr>
        <w:rPr>
          <w:rFonts w:ascii="Arial" w:hAnsi="Arial" w:cs="Arial"/>
          <w:sz w:val="24"/>
          <w:szCs w:val="24"/>
        </w:rPr>
      </w:pPr>
    </w:p>
    <w:p w:rsidR="00BD1C85" w:rsidRPr="00BD1C85" w:rsidRDefault="00BD1C85" w:rsidP="0053641A">
      <w:pPr>
        <w:rPr>
          <w:rFonts w:ascii="Arial" w:hAnsi="Arial" w:cs="Arial"/>
          <w:sz w:val="24"/>
          <w:szCs w:val="24"/>
        </w:rPr>
      </w:pPr>
    </w:p>
    <w:p w:rsidR="00732989" w:rsidRDefault="00732989" w:rsidP="0053641A">
      <w:pPr>
        <w:rPr>
          <w:rFonts w:ascii="Arial" w:hAnsi="Arial" w:cs="Arial"/>
          <w:b/>
          <w:sz w:val="24"/>
          <w:szCs w:val="24"/>
        </w:rPr>
      </w:pPr>
      <w:r w:rsidRPr="00DD2F2C">
        <w:rPr>
          <w:rFonts w:ascii="Arial" w:hAnsi="Arial" w:cs="Arial"/>
          <w:b/>
          <w:sz w:val="24"/>
          <w:szCs w:val="24"/>
        </w:rPr>
        <w:t>Market Returns</w:t>
      </w:r>
    </w:p>
    <w:p w:rsidR="00BD1C85" w:rsidRPr="00DD2F2C" w:rsidRDefault="00BD1C85" w:rsidP="0053641A">
      <w:pPr>
        <w:rPr>
          <w:rFonts w:ascii="Arial" w:hAnsi="Arial" w:cs="Arial"/>
          <w:b/>
          <w:sz w:val="24"/>
          <w:szCs w:val="24"/>
        </w:rPr>
      </w:pPr>
    </w:p>
    <w:p w:rsidR="00732989" w:rsidRPr="00DD2F2C" w:rsidRDefault="00732989" w:rsidP="0053641A">
      <w:pPr>
        <w:rPr>
          <w:rFonts w:ascii="Arial" w:hAnsi="Arial" w:cs="Arial"/>
          <w:sz w:val="24"/>
          <w:szCs w:val="24"/>
        </w:rPr>
      </w:pPr>
      <w:r w:rsidRPr="00DD2F2C">
        <w:rPr>
          <w:rFonts w:ascii="Arial" w:hAnsi="Arial" w:cs="Arial"/>
          <w:sz w:val="24"/>
          <w:szCs w:val="24"/>
        </w:rPr>
        <w:t>Equity markets began to gain ground in the autumn of 2012, and rose strongly in the first quarter of 2013 as fears regarding a Eurozone breakup and the likelihood of a ‘fiscal cliff’ in the US subsided. Developed Market equities gave total returns of 15-20% (in £) for the year to March, but returns from Emerging Market equities once again lagged behind. ‘Safe haven’ government bonds continued to be in demand: 10-year yields fell to below 2% in the US and UK, and below 1.5% in Germany. Peripheral sovereign bonds rose after t</w:t>
      </w:r>
      <w:r w:rsidR="00BB2909">
        <w:rPr>
          <w:rFonts w:ascii="Arial" w:hAnsi="Arial" w:cs="Arial"/>
          <w:sz w:val="24"/>
          <w:szCs w:val="24"/>
        </w:rPr>
        <w:t>he ECB statement</w:t>
      </w:r>
      <w:r w:rsidRPr="00DD2F2C">
        <w:rPr>
          <w:rFonts w:ascii="Arial" w:hAnsi="Arial" w:cs="Arial"/>
          <w:sz w:val="24"/>
          <w:szCs w:val="24"/>
        </w:rPr>
        <w:t xml:space="preserve"> and corporate bonds also recorded good gains as their spreads relative government bonds narrowed.</w:t>
      </w:r>
    </w:p>
    <w:p w:rsidR="00732989" w:rsidRPr="00DD2F2C" w:rsidRDefault="00732989" w:rsidP="0053641A">
      <w:pPr>
        <w:rPr>
          <w:rFonts w:ascii="Arial" w:hAnsi="Arial" w:cs="Arial"/>
          <w:sz w:val="24"/>
          <w:szCs w:val="24"/>
        </w:rPr>
      </w:pPr>
    </w:p>
    <w:p w:rsidR="00732989" w:rsidRPr="00DD2F2C" w:rsidRDefault="00CB31AC" w:rsidP="0053641A">
      <w:pPr>
        <w:rPr>
          <w:rFonts w:ascii="Arial" w:hAnsi="Arial" w:cs="Arial"/>
          <w:sz w:val="24"/>
          <w:szCs w:val="24"/>
        </w:rPr>
      </w:pPr>
      <w:r>
        <w:rPr>
          <w:rFonts w:ascii="Arial" w:hAnsi="Arial" w:cs="Arial"/>
          <w:sz w:val="24"/>
          <w:szCs w:val="24"/>
        </w:rPr>
        <w:lastRenderedPageBreak/>
        <w:t>The Brent Pension</w:t>
      </w:r>
      <w:r w:rsidR="00732989" w:rsidRPr="00DD2F2C">
        <w:rPr>
          <w:rFonts w:ascii="Arial" w:hAnsi="Arial" w:cs="Arial"/>
          <w:sz w:val="24"/>
          <w:szCs w:val="24"/>
        </w:rPr>
        <w:t xml:space="preserve"> Fu</w:t>
      </w:r>
      <w:r w:rsidR="0042022B">
        <w:rPr>
          <w:rFonts w:ascii="Arial" w:hAnsi="Arial" w:cs="Arial"/>
          <w:sz w:val="24"/>
          <w:szCs w:val="24"/>
        </w:rPr>
        <w:t>nd achieved a total return of 12.0</w:t>
      </w:r>
      <w:r w:rsidR="00732989" w:rsidRPr="00DD2F2C">
        <w:rPr>
          <w:rFonts w:ascii="Arial" w:hAnsi="Arial" w:cs="Arial"/>
          <w:sz w:val="24"/>
          <w:szCs w:val="24"/>
        </w:rPr>
        <w:t xml:space="preserve">% for the year, which </w:t>
      </w:r>
      <w:r w:rsidR="0042022B">
        <w:rPr>
          <w:rFonts w:ascii="Arial" w:hAnsi="Arial" w:cs="Arial"/>
          <w:snapToGrid w:val="0"/>
          <w:color w:val="000000"/>
          <w:sz w:val="24"/>
        </w:rPr>
        <w:t>represented an outperformance relative to its annual benchmark of 11.0%.</w:t>
      </w:r>
    </w:p>
    <w:p w:rsidR="00732989" w:rsidRPr="00497F76" w:rsidRDefault="00732989" w:rsidP="0053641A">
      <w:pPr>
        <w:rPr>
          <w:rFonts w:ascii="Arial" w:hAnsi="Arial" w:cs="Arial"/>
          <w:sz w:val="24"/>
          <w:szCs w:val="24"/>
        </w:rPr>
      </w:pPr>
    </w:p>
    <w:p w:rsidR="00497F76" w:rsidRPr="00497F76" w:rsidRDefault="00497F76" w:rsidP="0053641A">
      <w:pPr>
        <w:rPr>
          <w:rFonts w:ascii="Arial" w:hAnsi="Arial" w:cs="Arial"/>
          <w:sz w:val="24"/>
          <w:szCs w:val="24"/>
        </w:rPr>
      </w:pPr>
    </w:p>
    <w:p w:rsidR="00732989" w:rsidRDefault="00732989" w:rsidP="0053641A">
      <w:pPr>
        <w:rPr>
          <w:rFonts w:ascii="Arial" w:hAnsi="Arial" w:cs="Arial"/>
          <w:b/>
          <w:sz w:val="24"/>
          <w:szCs w:val="24"/>
        </w:rPr>
      </w:pPr>
      <w:r w:rsidRPr="00DD2F2C">
        <w:rPr>
          <w:rFonts w:ascii="Arial" w:hAnsi="Arial" w:cs="Arial"/>
          <w:b/>
          <w:sz w:val="24"/>
          <w:szCs w:val="24"/>
        </w:rPr>
        <w:t>Outlook</w:t>
      </w:r>
    </w:p>
    <w:p w:rsidR="00BB2909" w:rsidRPr="00DD2F2C" w:rsidRDefault="00BB2909" w:rsidP="0053641A">
      <w:pPr>
        <w:rPr>
          <w:rFonts w:ascii="Arial" w:hAnsi="Arial" w:cs="Arial"/>
          <w:b/>
          <w:sz w:val="24"/>
          <w:szCs w:val="24"/>
        </w:rPr>
      </w:pPr>
    </w:p>
    <w:p w:rsidR="00732989" w:rsidRPr="00DD2F2C" w:rsidRDefault="00732989" w:rsidP="0053641A">
      <w:pPr>
        <w:rPr>
          <w:rFonts w:ascii="Arial" w:hAnsi="Arial" w:cs="Arial"/>
          <w:b/>
          <w:sz w:val="24"/>
          <w:szCs w:val="24"/>
        </w:rPr>
      </w:pPr>
      <w:r w:rsidRPr="00DD2F2C">
        <w:rPr>
          <w:rFonts w:ascii="Arial" w:hAnsi="Arial" w:cs="Arial"/>
          <w:sz w:val="24"/>
          <w:szCs w:val="24"/>
        </w:rPr>
        <w:t>The surge in equity prices in the early months of 2013 has taken most regional indices above their 2007 peaks, and in some cases to all-time highs. Meanwhile yields on government bonds are still being held down by the substantial programmes of Quantitative Easing being run by Central Banks. In time this flow of money will abate, and then the current levels of equity and bond markets will be tested in the light of the outlook for economic growth, corporate profits and inflation.</w:t>
      </w:r>
    </w:p>
    <w:p w:rsidR="00732989" w:rsidRPr="00DD2F2C" w:rsidRDefault="00732989" w:rsidP="0053641A">
      <w:pPr>
        <w:rPr>
          <w:rFonts w:ascii="Arial" w:hAnsi="Arial" w:cs="Arial"/>
          <w:b/>
          <w:sz w:val="24"/>
          <w:szCs w:val="24"/>
        </w:rPr>
      </w:pPr>
    </w:p>
    <w:p w:rsidR="00012A3A" w:rsidRDefault="00012A3A" w:rsidP="0053641A">
      <w:pPr>
        <w:rPr>
          <w:rFonts w:ascii="Arial" w:hAnsi="Arial" w:cs="Arial"/>
          <w:b/>
          <w:sz w:val="24"/>
          <w:szCs w:val="24"/>
        </w:rPr>
      </w:pPr>
    </w:p>
    <w:p w:rsidR="00FC09A2" w:rsidRDefault="00FC09A2" w:rsidP="0053641A">
      <w:pPr>
        <w:rPr>
          <w:rFonts w:ascii="Arial" w:hAnsi="Arial" w:cs="Arial"/>
          <w:b/>
          <w:sz w:val="24"/>
          <w:szCs w:val="24"/>
        </w:rPr>
      </w:pPr>
    </w:p>
    <w:p w:rsidR="00FC09A2" w:rsidRPr="00DD2F2C" w:rsidRDefault="00FC09A2" w:rsidP="0053641A">
      <w:pPr>
        <w:rPr>
          <w:rFonts w:ascii="Arial" w:hAnsi="Arial" w:cs="Arial"/>
          <w:b/>
          <w:sz w:val="24"/>
          <w:szCs w:val="24"/>
        </w:rPr>
      </w:pPr>
    </w:p>
    <w:p w:rsidR="00AC7580" w:rsidRPr="00FC09A2" w:rsidRDefault="00012A3A" w:rsidP="0053641A">
      <w:pPr>
        <w:rPr>
          <w:rFonts w:ascii="Arial" w:hAnsi="Arial" w:cs="Arial"/>
          <w:b/>
          <w:sz w:val="24"/>
          <w:szCs w:val="24"/>
        </w:rPr>
      </w:pPr>
      <w:r w:rsidRPr="00FC09A2">
        <w:rPr>
          <w:rFonts w:ascii="Arial" w:hAnsi="Arial" w:cs="Arial"/>
          <w:b/>
          <w:sz w:val="24"/>
          <w:szCs w:val="24"/>
        </w:rPr>
        <w:t xml:space="preserve">Peter Davies, </w:t>
      </w:r>
      <w:r w:rsidR="00AC7580" w:rsidRPr="00FC09A2">
        <w:rPr>
          <w:rFonts w:ascii="Arial" w:hAnsi="Arial" w:cs="Arial"/>
          <w:b/>
          <w:sz w:val="24"/>
          <w:szCs w:val="24"/>
        </w:rPr>
        <w:t>Independent Adviser</w:t>
      </w:r>
    </w:p>
    <w:p w:rsidR="00B45417" w:rsidRDefault="00AC7580" w:rsidP="0053641A">
      <w:pPr>
        <w:rPr>
          <w:rFonts w:ascii="Arial" w:hAnsi="Arial" w:cs="Arial"/>
          <w:b/>
          <w:sz w:val="24"/>
          <w:szCs w:val="24"/>
        </w:rPr>
      </w:pPr>
      <w:r w:rsidRPr="00FC09A2">
        <w:rPr>
          <w:rFonts w:ascii="Arial" w:hAnsi="Arial" w:cs="Arial"/>
          <w:b/>
          <w:sz w:val="24"/>
          <w:szCs w:val="24"/>
        </w:rPr>
        <w:t>10</w:t>
      </w:r>
      <w:r w:rsidR="00EF395C" w:rsidRPr="00FC09A2">
        <w:rPr>
          <w:rFonts w:ascii="Arial" w:hAnsi="Arial" w:cs="Arial"/>
          <w:b/>
          <w:sz w:val="24"/>
          <w:szCs w:val="24"/>
        </w:rPr>
        <w:t xml:space="preserve"> July 2013</w:t>
      </w:r>
      <w:r w:rsidR="00B45417">
        <w:rPr>
          <w:rFonts w:ascii="Arial" w:hAnsi="Arial" w:cs="Arial"/>
          <w:b/>
          <w:sz w:val="24"/>
          <w:szCs w:val="24"/>
        </w:rPr>
        <w:br w:type="page"/>
      </w:r>
    </w:p>
    <w:p w:rsidR="00D42F04" w:rsidRPr="00B429F7" w:rsidRDefault="00D42F04" w:rsidP="00FF2390">
      <w:pPr>
        <w:rPr>
          <w:rFonts w:ascii="Arial" w:hAnsi="Arial" w:cs="Arial"/>
          <w:b/>
          <w:sz w:val="32"/>
          <w:szCs w:val="32"/>
        </w:rPr>
      </w:pPr>
      <w:r>
        <w:rPr>
          <w:rFonts w:ascii="Arial" w:hAnsi="Arial" w:cs="Arial"/>
          <w:b/>
          <w:sz w:val="32"/>
          <w:szCs w:val="32"/>
        </w:rPr>
        <w:lastRenderedPageBreak/>
        <w:t>Investment Policy and Performance</w:t>
      </w:r>
    </w:p>
    <w:p w:rsidR="00D42F04" w:rsidRDefault="00D42F04" w:rsidP="00D42F04">
      <w:pPr>
        <w:rPr>
          <w:rFonts w:ascii="Arial" w:hAnsi="Arial" w:cs="Arial"/>
          <w:b/>
          <w:sz w:val="24"/>
          <w:szCs w:val="24"/>
        </w:rPr>
      </w:pPr>
    </w:p>
    <w:p w:rsidR="00D42F04" w:rsidRDefault="00D42F04" w:rsidP="00D42F04">
      <w:pPr>
        <w:rPr>
          <w:rFonts w:ascii="Arial" w:hAnsi="Arial" w:cs="Arial"/>
          <w:b/>
          <w:sz w:val="24"/>
          <w:szCs w:val="24"/>
        </w:rPr>
      </w:pPr>
    </w:p>
    <w:p w:rsidR="00D42F04" w:rsidRDefault="00D42F04" w:rsidP="00D42F04">
      <w:pPr>
        <w:rPr>
          <w:rFonts w:ascii="Arial" w:hAnsi="Arial" w:cs="Arial"/>
          <w:b/>
          <w:sz w:val="24"/>
          <w:szCs w:val="24"/>
        </w:rPr>
      </w:pPr>
      <w:r>
        <w:rPr>
          <w:rFonts w:ascii="Arial" w:hAnsi="Arial" w:cs="Arial"/>
          <w:b/>
          <w:sz w:val="24"/>
          <w:szCs w:val="24"/>
        </w:rPr>
        <w:t>Fund Perfo</w:t>
      </w:r>
      <w:r w:rsidR="00E862F3">
        <w:rPr>
          <w:rFonts w:ascii="Arial" w:hAnsi="Arial" w:cs="Arial"/>
          <w:b/>
          <w:sz w:val="24"/>
          <w:szCs w:val="24"/>
        </w:rPr>
        <w:t>rmance Review for the year 2012/</w:t>
      </w:r>
      <w:r>
        <w:rPr>
          <w:rFonts w:ascii="Arial" w:hAnsi="Arial" w:cs="Arial"/>
          <w:b/>
          <w:sz w:val="24"/>
          <w:szCs w:val="24"/>
        </w:rPr>
        <w:t>13</w:t>
      </w:r>
    </w:p>
    <w:p w:rsidR="00D42F04" w:rsidRDefault="00D42F04" w:rsidP="00D42F04">
      <w:pPr>
        <w:rPr>
          <w:rFonts w:ascii="Arial" w:hAnsi="Arial" w:cs="Arial"/>
          <w:b/>
          <w:sz w:val="24"/>
          <w:szCs w:val="24"/>
        </w:rPr>
      </w:pPr>
    </w:p>
    <w:p w:rsidR="001616E5" w:rsidRDefault="001616E5" w:rsidP="00D42F04">
      <w:pPr>
        <w:rPr>
          <w:rFonts w:ascii="Arial" w:hAnsi="Arial" w:cs="Arial"/>
          <w:b/>
          <w:sz w:val="24"/>
          <w:szCs w:val="24"/>
        </w:rPr>
      </w:pPr>
      <w:r>
        <w:rPr>
          <w:rFonts w:ascii="Arial" w:hAnsi="Arial" w:cs="Arial"/>
          <w:b/>
          <w:sz w:val="24"/>
          <w:szCs w:val="24"/>
        </w:rPr>
        <w:t>Introduction</w:t>
      </w:r>
    </w:p>
    <w:p w:rsidR="001616E5" w:rsidRPr="001616E5" w:rsidRDefault="001616E5" w:rsidP="00D42F04">
      <w:pPr>
        <w:rPr>
          <w:rFonts w:ascii="Arial" w:hAnsi="Arial" w:cs="Arial"/>
          <w:sz w:val="24"/>
          <w:szCs w:val="24"/>
        </w:rPr>
      </w:pPr>
    </w:p>
    <w:p w:rsidR="00391E0C" w:rsidRDefault="00D42F04" w:rsidP="00D42F04">
      <w:pPr>
        <w:rPr>
          <w:rFonts w:ascii="Arial" w:hAnsi="Arial" w:cs="Arial"/>
          <w:sz w:val="24"/>
          <w:szCs w:val="24"/>
        </w:rPr>
      </w:pPr>
      <w:r w:rsidRPr="001616E5">
        <w:rPr>
          <w:rFonts w:ascii="Arial" w:hAnsi="Arial" w:cs="Arial"/>
          <w:sz w:val="24"/>
          <w:szCs w:val="24"/>
        </w:rPr>
        <w:t>The</w:t>
      </w:r>
      <w:r w:rsidR="001616E5" w:rsidRPr="001616E5">
        <w:rPr>
          <w:rFonts w:ascii="Arial" w:hAnsi="Arial" w:cs="Arial"/>
          <w:sz w:val="24"/>
          <w:szCs w:val="24"/>
        </w:rPr>
        <w:t xml:space="preserve"> Administering Authority invests the Fund </w:t>
      </w:r>
      <w:r w:rsidR="00E862F3">
        <w:rPr>
          <w:rFonts w:ascii="Arial" w:hAnsi="Arial" w:cs="Arial"/>
          <w:sz w:val="24"/>
          <w:szCs w:val="24"/>
        </w:rPr>
        <w:t>in compliance with the Local Government Pension Scheme (Management and Investment of Funds) Regulations 2009.</w:t>
      </w:r>
    </w:p>
    <w:p w:rsidR="00E862F3" w:rsidRDefault="00E862F3" w:rsidP="00D42F04">
      <w:pPr>
        <w:rPr>
          <w:rFonts w:ascii="Arial" w:hAnsi="Arial" w:cs="Arial"/>
          <w:sz w:val="24"/>
          <w:szCs w:val="24"/>
        </w:rPr>
      </w:pPr>
    </w:p>
    <w:p w:rsidR="00E862F3" w:rsidRPr="001616E5" w:rsidRDefault="00E862F3" w:rsidP="00D42F04">
      <w:pPr>
        <w:rPr>
          <w:rFonts w:ascii="Arial" w:hAnsi="Arial" w:cs="Arial"/>
          <w:sz w:val="24"/>
          <w:szCs w:val="24"/>
        </w:rPr>
      </w:pPr>
      <w:r>
        <w:rPr>
          <w:rFonts w:ascii="Arial" w:hAnsi="Arial" w:cs="Arial"/>
          <w:sz w:val="24"/>
          <w:szCs w:val="24"/>
        </w:rPr>
        <w:t>During 2012/13, nine external investment managers managed the Fund’s assets:</w:t>
      </w:r>
    </w:p>
    <w:p w:rsidR="008A2620" w:rsidRDefault="008A2620" w:rsidP="008A2620">
      <w:pPr>
        <w:rPr>
          <w:rFonts w:ascii="Arial" w:hAnsi="Arial" w:cs="Arial"/>
          <w:sz w:val="24"/>
          <w:szCs w:val="24"/>
        </w:rPr>
      </w:pPr>
    </w:p>
    <w:p w:rsidR="00E862F3" w:rsidRDefault="00E862F3" w:rsidP="00907AD2">
      <w:pPr>
        <w:pStyle w:val="ListParagraph"/>
        <w:numPr>
          <w:ilvl w:val="0"/>
          <w:numId w:val="9"/>
        </w:numPr>
        <w:rPr>
          <w:rFonts w:ascii="Arial" w:hAnsi="Arial" w:cs="Arial"/>
          <w:sz w:val="24"/>
          <w:szCs w:val="24"/>
        </w:rPr>
      </w:pPr>
      <w:r w:rsidRPr="00E862F3">
        <w:rPr>
          <w:rFonts w:ascii="Arial" w:hAnsi="Arial" w:cs="Arial"/>
          <w:sz w:val="24"/>
          <w:szCs w:val="24"/>
        </w:rPr>
        <w:t>Legal &amp; General</w:t>
      </w:r>
      <w:r>
        <w:rPr>
          <w:rFonts w:ascii="Arial" w:hAnsi="Arial" w:cs="Arial"/>
          <w:sz w:val="24"/>
          <w:szCs w:val="24"/>
        </w:rPr>
        <w:t xml:space="preserve"> (UK and overseas equities)</w:t>
      </w:r>
    </w:p>
    <w:p w:rsidR="00E862F3" w:rsidRPr="00E862F3" w:rsidRDefault="00E862F3" w:rsidP="00E862F3">
      <w:pPr>
        <w:rPr>
          <w:rFonts w:ascii="Arial" w:hAnsi="Arial" w:cs="Arial"/>
          <w:sz w:val="24"/>
          <w:szCs w:val="24"/>
        </w:rPr>
      </w:pPr>
    </w:p>
    <w:p w:rsidR="00E862F3" w:rsidRPr="00E862F3" w:rsidRDefault="00E862F3" w:rsidP="00907AD2">
      <w:pPr>
        <w:pStyle w:val="ListParagraph"/>
        <w:numPr>
          <w:ilvl w:val="0"/>
          <w:numId w:val="9"/>
        </w:numPr>
        <w:rPr>
          <w:rFonts w:ascii="Arial" w:hAnsi="Arial" w:cs="Arial"/>
          <w:sz w:val="24"/>
          <w:szCs w:val="24"/>
        </w:rPr>
      </w:pPr>
      <w:r w:rsidRPr="00862E01">
        <w:rPr>
          <w:rFonts w:ascii="Arial" w:hAnsi="Arial" w:cs="Arial"/>
          <w:snapToGrid w:val="0"/>
          <w:color w:val="000000"/>
          <w:sz w:val="24"/>
        </w:rPr>
        <w:t>Henderson</w:t>
      </w:r>
      <w:r w:rsidR="00A10D08">
        <w:rPr>
          <w:rFonts w:ascii="Arial" w:hAnsi="Arial" w:cs="Arial"/>
          <w:snapToGrid w:val="0"/>
          <w:color w:val="000000"/>
          <w:sz w:val="24"/>
        </w:rPr>
        <w:t xml:space="preserve"> (fixed income, </w:t>
      </w:r>
      <w:r>
        <w:rPr>
          <w:rFonts w:ascii="Arial" w:hAnsi="Arial" w:cs="Arial"/>
          <w:snapToGrid w:val="0"/>
          <w:color w:val="000000"/>
          <w:sz w:val="24"/>
        </w:rPr>
        <w:t>UK smaller companies equities</w:t>
      </w:r>
      <w:r w:rsidR="00A10D08">
        <w:rPr>
          <w:rFonts w:ascii="Arial" w:hAnsi="Arial" w:cs="Arial"/>
          <w:snapToGrid w:val="0"/>
          <w:color w:val="000000"/>
          <w:sz w:val="24"/>
        </w:rPr>
        <w:t xml:space="preserve"> and private equity</w:t>
      </w:r>
      <w:r>
        <w:rPr>
          <w:rFonts w:ascii="Arial" w:hAnsi="Arial" w:cs="Arial"/>
          <w:snapToGrid w:val="0"/>
          <w:color w:val="000000"/>
          <w:sz w:val="24"/>
        </w:rPr>
        <w:t>)</w:t>
      </w:r>
    </w:p>
    <w:p w:rsidR="00E862F3" w:rsidRPr="00E862F3" w:rsidRDefault="00E862F3" w:rsidP="00E862F3">
      <w:pPr>
        <w:pStyle w:val="ListParagraph"/>
        <w:rPr>
          <w:rFonts w:ascii="Arial" w:hAnsi="Arial" w:cs="Arial"/>
          <w:snapToGrid w:val="0"/>
          <w:color w:val="000000"/>
          <w:sz w:val="24"/>
        </w:rPr>
      </w:pPr>
    </w:p>
    <w:p w:rsidR="00E862F3" w:rsidRPr="00A10D08" w:rsidRDefault="00E862F3" w:rsidP="00907AD2">
      <w:pPr>
        <w:pStyle w:val="ListParagraph"/>
        <w:numPr>
          <w:ilvl w:val="0"/>
          <w:numId w:val="9"/>
        </w:numPr>
        <w:rPr>
          <w:rFonts w:ascii="Arial" w:hAnsi="Arial" w:cs="Arial"/>
          <w:sz w:val="24"/>
          <w:szCs w:val="24"/>
        </w:rPr>
      </w:pPr>
      <w:r>
        <w:rPr>
          <w:rFonts w:ascii="Arial" w:hAnsi="Arial" w:cs="Arial"/>
          <w:snapToGrid w:val="0"/>
          <w:color w:val="000000"/>
          <w:sz w:val="24"/>
        </w:rPr>
        <w:t xml:space="preserve"> </w:t>
      </w:r>
      <w:r w:rsidR="00FE68AD" w:rsidRPr="00862E01">
        <w:rPr>
          <w:rFonts w:ascii="Arial" w:hAnsi="Arial" w:cs="Arial"/>
          <w:snapToGrid w:val="0"/>
          <w:color w:val="000000"/>
          <w:sz w:val="24"/>
        </w:rPr>
        <w:t>Capital Dynamics</w:t>
      </w:r>
      <w:r w:rsidR="00FE68AD">
        <w:rPr>
          <w:rFonts w:ascii="Arial" w:hAnsi="Arial" w:cs="Arial"/>
          <w:snapToGrid w:val="0"/>
          <w:color w:val="000000"/>
          <w:sz w:val="24"/>
        </w:rPr>
        <w:t xml:space="preserve"> (</w:t>
      </w:r>
      <w:r w:rsidR="00A10D08">
        <w:rPr>
          <w:rFonts w:ascii="Arial" w:hAnsi="Arial" w:cs="Arial"/>
          <w:snapToGrid w:val="0"/>
          <w:color w:val="000000"/>
          <w:sz w:val="24"/>
        </w:rPr>
        <w:t>private equity)</w:t>
      </w:r>
    </w:p>
    <w:p w:rsidR="00A10D08" w:rsidRPr="00A10D08" w:rsidRDefault="00A10D08" w:rsidP="00A10D08">
      <w:pPr>
        <w:pStyle w:val="ListParagraph"/>
        <w:rPr>
          <w:rFonts w:ascii="Arial" w:hAnsi="Arial" w:cs="Arial"/>
          <w:sz w:val="24"/>
          <w:szCs w:val="24"/>
        </w:rPr>
      </w:pPr>
    </w:p>
    <w:p w:rsidR="00A10D08" w:rsidRPr="00A10D08" w:rsidRDefault="00A10D08" w:rsidP="00907AD2">
      <w:pPr>
        <w:pStyle w:val="ListParagraph"/>
        <w:numPr>
          <w:ilvl w:val="0"/>
          <w:numId w:val="9"/>
        </w:numPr>
        <w:rPr>
          <w:rFonts w:ascii="Arial" w:hAnsi="Arial" w:cs="Arial"/>
          <w:sz w:val="24"/>
          <w:szCs w:val="24"/>
        </w:rPr>
      </w:pPr>
      <w:r>
        <w:rPr>
          <w:rFonts w:ascii="Arial" w:hAnsi="Arial" w:cs="Arial"/>
          <w:snapToGrid w:val="0"/>
          <w:color w:val="000000"/>
          <w:sz w:val="24"/>
        </w:rPr>
        <w:t>Yorkshire Fund Managers (private equity)</w:t>
      </w:r>
    </w:p>
    <w:p w:rsidR="00A10D08" w:rsidRPr="00A10D08" w:rsidRDefault="00A10D08" w:rsidP="00A10D08">
      <w:pPr>
        <w:pStyle w:val="ListParagraph"/>
        <w:rPr>
          <w:rFonts w:ascii="Arial" w:hAnsi="Arial" w:cs="Arial"/>
          <w:sz w:val="24"/>
          <w:szCs w:val="24"/>
        </w:rPr>
      </w:pPr>
    </w:p>
    <w:p w:rsidR="00A10D08" w:rsidRDefault="00A10D08" w:rsidP="00907AD2">
      <w:pPr>
        <w:pStyle w:val="ListParagraph"/>
        <w:numPr>
          <w:ilvl w:val="0"/>
          <w:numId w:val="9"/>
        </w:numPr>
        <w:rPr>
          <w:rFonts w:ascii="Arial" w:hAnsi="Arial" w:cs="Arial"/>
          <w:sz w:val="24"/>
          <w:szCs w:val="24"/>
        </w:rPr>
      </w:pPr>
      <w:r>
        <w:rPr>
          <w:rFonts w:ascii="Arial" w:hAnsi="Arial" w:cs="Arial"/>
          <w:sz w:val="24"/>
          <w:szCs w:val="24"/>
        </w:rPr>
        <w:t>Fauchier (hedge funds)</w:t>
      </w:r>
    </w:p>
    <w:p w:rsidR="00A10D08" w:rsidRPr="00A10D08" w:rsidRDefault="00A10D08" w:rsidP="00A10D08">
      <w:pPr>
        <w:pStyle w:val="ListParagraph"/>
        <w:rPr>
          <w:rFonts w:ascii="Arial" w:hAnsi="Arial" w:cs="Arial"/>
          <w:sz w:val="24"/>
          <w:szCs w:val="24"/>
        </w:rPr>
      </w:pPr>
    </w:p>
    <w:p w:rsidR="00A10D08" w:rsidRDefault="00A10D08" w:rsidP="00907AD2">
      <w:pPr>
        <w:pStyle w:val="ListParagraph"/>
        <w:numPr>
          <w:ilvl w:val="0"/>
          <w:numId w:val="9"/>
        </w:numPr>
        <w:rPr>
          <w:rFonts w:ascii="Arial" w:hAnsi="Arial" w:cs="Arial"/>
          <w:sz w:val="24"/>
          <w:szCs w:val="24"/>
        </w:rPr>
      </w:pPr>
      <w:r>
        <w:rPr>
          <w:rFonts w:ascii="Arial" w:hAnsi="Arial" w:cs="Arial"/>
          <w:sz w:val="24"/>
          <w:szCs w:val="24"/>
        </w:rPr>
        <w:t>Baillie Gifford (diversified growth fund)</w:t>
      </w:r>
    </w:p>
    <w:p w:rsidR="00A10D08" w:rsidRPr="00A10D08" w:rsidRDefault="00A10D08" w:rsidP="00A10D08">
      <w:pPr>
        <w:pStyle w:val="ListParagraph"/>
        <w:rPr>
          <w:rFonts w:ascii="Arial" w:hAnsi="Arial" w:cs="Arial"/>
          <w:sz w:val="24"/>
          <w:szCs w:val="24"/>
        </w:rPr>
      </w:pPr>
    </w:p>
    <w:p w:rsidR="00A10D08" w:rsidRDefault="00A10D08" w:rsidP="00907AD2">
      <w:pPr>
        <w:pStyle w:val="ListParagraph"/>
        <w:numPr>
          <w:ilvl w:val="0"/>
          <w:numId w:val="9"/>
        </w:numPr>
        <w:rPr>
          <w:rFonts w:ascii="Arial" w:hAnsi="Arial" w:cs="Arial"/>
          <w:sz w:val="24"/>
          <w:szCs w:val="24"/>
        </w:rPr>
      </w:pPr>
      <w:r>
        <w:rPr>
          <w:rFonts w:ascii="Arial" w:hAnsi="Arial" w:cs="Arial"/>
          <w:sz w:val="24"/>
          <w:szCs w:val="24"/>
        </w:rPr>
        <w:t>Aviva (property)</w:t>
      </w:r>
    </w:p>
    <w:p w:rsidR="00A10D08" w:rsidRPr="00A10D08" w:rsidRDefault="00A10D08" w:rsidP="00A10D08">
      <w:pPr>
        <w:pStyle w:val="ListParagraph"/>
        <w:rPr>
          <w:rFonts w:ascii="Arial" w:hAnsi="Arial" w:cs="Arial"/>
          <w:sz w:val="24"/>
          <w:szCs w:val="24"/>
        </w:rPr>
      </w:pPr>
    </w:p>
    <w:p w:rsidR="00A10D08" w:rsidRDefault="00A10D08" w:rsidP="00907AD2">
      <w:pPr>
        <w:pStyle w:val="ListParagraph"/>
        <w:numPr>
          <w:ilvl w:val="0"/>
          <w:numId w:val="9"/>
        </w:numPr>
        <w:rPr>
          <w:rFonts w:ascii="Arial" w:hAnsi="Arial" w:cs="Arial"/>
          <w:sz w:val="24"/>
          <w:szCs w:val="24"/>
        </w:rPr>
      </w:pPr>
      <w:r>
        <w:rPr>
          <w:rFonts w:ascii="Arial" w:hAnsi="Arial" w:cs="Arial"/>
          <w:sz w:val="24"/>
          <w:szCs w:val="24"/>
        </w:rPr>
        <w:t>Dimensional (emerging market equities)</w:t>
      </w:r>
    </w:p>
    <w:p w:rsidR="00A10D08" w:rsidRPr="00A10D08" w:rsidRDefault="00A10D08" w:rsidP="00A10D08">
      <w:pPr>
        <w:pStyle w:val="ListParagraph"/>
        <w:rPr>
          <w:rFonts w:ascii="Arial" w:hAnsi="Arial" w:cs="Arial"/>
          <w:sz w:val="24"/>
          <w:szCs w:val="24"/>
        </w:rPr>
      </w:pPr>
    </w:p>
    <w:p w:rsidR="00A10D08" w:rsidRPr="00E862F3" w:rsidRDefault="00A10D08" w:rsidP="00907AD2">
      <w:pPr>
        <w:pStyle w:val="ListParagraph"/>
        <w:numPr>
          <w:ilvl w:val="0"/>
          <w:numId w:val="9"/>
        </w:numPr>
        <w:rPr>
          <w:rFonts w:ascii="Arial" w:hAnsi="Arial" w:cs="Arial"/>
          <w:sz w:val="24"/>
          <w:szCs w:val="24"/>
        </w:rPr>
      </w:pPr>
      <w:r>
        <w:rPr>
          <w:rFonts w:ascii="Arial" w:hAnsi="Arial" w:cs="Arial"/>
          <w:sz w:val="24"/>
          <w:szCs w:val="24"/>
        </w:rPr>
        <w:t>Alinda (infrastructure)</w:t>
      </w:r>
    </w:p>
    <w:p w:rsidR="00E862F3" w:rsidRDefault="00E862F3" w:rsidP="00E862F3">
      <w:pPr>
        <w:rPr>
          <w:rFonts w:ascii="Arial" w:hAnsi="Arial" w:cs="Arial"/>
          <w:snapToGrid w:val="0"/>
          <w:color w:val="000000"/>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0D08" w:rsidRDefault="00A10D08" w:rsidP="00A10D08">
      <w:pPr>
        <w:rPr>
          <w:rFonts w:ascii="Arial" w:hAnsi="Arial" w:cs="Arial"/>
          <w:snapToGrid w:val="0"/>
          <w:color w:val="000000"/>
          <w:sz w:val="24"/>
        </w:rPr>
      </w:pPr>
      <w:r>
        <w:rPr>
          <w:rFonts w:ascii="Arial" w:hAnsi="Arial" w:cs="Arial"/>
          <w:snapToGrid w:val="0"/>
          <w:color w:val="000000"/>
          <w:sz w:val="24"/>
        </w:rPr>
        <w:t>The Fund’s cash balance is held in an interest bearing instant access deposit account with NatWest.</w:t>
      </w:r>
    </w:p>
    <w:p w:rsidR="00A10D08" w:rsidRDefault="00A10D08" w:rsidP="00A10D08">
      <w:pPr>
        <w:rPr>
          <w:rFonts w:ascii="Arial" w:hAnsi="Arial" w:cs="Arial"/>
          <w:snapToGrid w:val="0"/>
          <w:color w:val="000000"/>
          <w:sz w:val="24"/>
        </w:rPr>
      </w:pPr>
    </w:p>
    <w:p w:rsidR="00911403" w:rsidRDefault="00911403" w:rsidP="00A10D08">
      <w:pPr>
        <w:rPr>
          <w:rFonts w:ascii="Arial" w:hAnsi="Arial" w:cs="Arial"/>
          <w:snapToGrid w:val="0"/>
          <w:color w:val="000000"/>
          <w:sz w:val="24"/>
        </w:rPr>
      </w:pPr>
    </w:p>
    <w:p w:rsidR="00911403" w:rsidRPr="00911403" w:rsidRDefault="00911403" w:rsidP="00A10D08">
      <w:pPr>
        <w:rPr>
          <w:rFonts w:ascii="Arial" w:hAnsi="Arial" w:cs="Arial"/>
          <w:b/>
          <w:snapToGrid w:val="0"/>
          <w:color w:val="000000"/>
          <w:sz w:val="24"/>
        </w:rPr>
      </w:pPr>
      <w:r w:rsidRPr="00911403">
        <w:rPr>
          <w:rFonts w:ascii="Arial" w:hAnsi="Arial" w:cs="Arial"/>
          <w:b/>
          <w:snapToGrid w:val="0"/>
          <w:color w:val="000000"/>
          <w:sz w:val="24"/>
        </w:rPr>
        <w:t>2012/13 Investment Results</w:t>
      </w:r>
    </w:p>
    <w:p w:rsidR="00911403" w:rsidRDefault="00911403" w:rsidP="00A10D08">
      <w:pPr>
        <w:rPr>
          <w:rFonts w:ascii="Arial" w:hAnsi="Arial" w:cs="Arial"/>
          <w:snapToGrid w:val="0"/>
          <w:color w:val="000000"/>
          <w:sz w:val="24"/>
        </w:rPr>
      </w:pPr>
    </w:p>
    <w:p w:rsidR="00017681" w:rsidRDefault="00017681" w:rsidP="00A10D08">
      <w:pPr>
        <w:rPr>
          <w:rFonts w:ascii="Arial" w:hAnsi="Arial" w:cs="Arial"/>
          <w:snapToGrid w:val="0"/>
          <w:color w:val="000000"/>
          <w:sz w:val="24"/>
        </w:rPr>
      </w:pPr>
      <w:r>
        <w:rPr>
          <w:rFonts w:ascii="Arial" w:hAnsi="Arial" w:cs="Arial"/>
          <w:snapToGrid w:val="0"/>
          <w:color w:val="000000"/>
          <w:sz w:val="24"/>
        </w:rPr>
        <w:t>During the year, equity markets were boosted by positive macroeconomic data which pointed to an improvement in the global economy. This encouraged investors to focus on the value offered by equities versus other assets. The banking bail-out in Cyprus dented sentiment to some extent but on the whole investors became more tolerant about the continuing troubles of the Eurozone.</w:t>
      </w:r>
    </w:p>
    <w:p w:rsidR="00B952BC" w:rsidRDefault="00B952BC">
      <w:pPr>
        <w:rPr>
          <w:rFonts w:ascii="Arial" w:hAnsi="Arial" w:cs="Arial"/>
          <w:snapToGrid w:val="0"/>
          <w:color w:val="000000"/>
          <w:sz w:val="24"/>
          <w:szCs w:val="24"/>
        </w:rPr>
      </w:pPr>
      <w:r>
        <w:rPr>
          <w:rFonts w:ascii="Arial" w:hAnsi="Arial" w:cs="Arial"/>
          <w:snapToGrid w:val="0"/>
          <w:color w:val="000000"/>
          <w:sz w:val="24"/>
          <w:szCs w:val="24"/>
        </w:rPr>
        <w:br w:type="page"/>
      </w:r>
    </w:p>
    <w:p w:rsidR="00B952BC" w:rsidRDefault="00B952BC" w:rsidP="00062E22">
      <w:pPr>
        <w:rPr>
          <w:rFonts w:ascii="Arial" w:hAnsi="Arial" w:cs="Arial"/>
          <w:snapToGrid w:val="0"/>
          <w:color w:val="000000"/>
          <w:sz w:val="24"/>
        </w:rPr>
      </w:pPr>
      <w:r w:rsidRPr="00A72C55">
        <w:rPr>
          <w:rFonts w:ascii="Arial" w:hAnsi="Arial" w:cs="Arial"/>
          <w:snapToGrid w:val="0"/>
          <w:color w:val="000000"/>
          <w:sz w:val="24"/>
          <w:szCs w:val="24"/>
        </w:rPr>
        <w:lastRenderedPageBreak/>
        <w:t xml:space="preserve">The investment performance of the </w:t>
      </w:r>
      <w:r w:rsidRPr="00A72C55">
        <w:rPr>
          <w:rFonts w:ascii="Arial" w:hAnsi="Arial" w:cs="Arial"/>
          <w:sz w:val="24"/>
          <w:szCs w:val="24"/>
        </w:rPr>
        <w:t xml:space="preserve">Brent Pension Fund in comparison to </w:t>
      </w:r>
      <w:r>
        <w:rPr>
          <w:rFonts w:ascii="Arial" w:hAnsi="Arial" w:cs="Arial"/>
          <w:sz w:val="24"/>
          <w:szCs w:val="24"/>
        </w:rPr>
        <w:t>its benchmark</w:t>
      </w:r>
      <w:r w:rsidRPr="00A72C55">
        <w:rPr>
          <w:rFonts w:ascii="Arial" w:hAnsi="Arial" w:cs="Arial"/>
          <w:sz w:val="24"/>
          <w:szCs w:val="24"/>
        </w:rPr>
        <w:t xml:space="preserve"> </w:t>
      </w:r>
      <w:r>
        <w:rPr>
          <w:rFonts w:ascii="Arial" w:hAnsi="Arial" w:cs="Arial"/>
          <w:sz w:val="24"/>
          <w:szCs w:val="24"/>
        </w:rPr>
        <w:t xml:space="preserve">for the period ended 31 March 2013 </w:t>
      </w:r>
      <w:r w:rsidRPr="00A72C55">
        <w:rPr>
          <w:rFonts w:ascii="Arial" w:hAnsi="Arial" w:cs="Arial"/>
          <w:sz w:val="24"/>
          <w:szCs w:val="24"/>
        </w:rPr>
        <w:t>is shown below:</w:t>
      </w:r>
    </w:p>
    <w:p w:rsidR="00B952BC" w:rsidRDefault="00B952BC" w:rsidP="00062E22">
      <w:pPr>
        <w:rPr>
          <w:rFonts w:ascii="Arial" w:hAnsi="Arial" w:cs="Arial"/>
          <w:snapToGrid w:val="0"/>
          <w:color w:val="000000"/>
          <w:sz w:val="24"/>
        </w:rPr>
      </w:pPr>
    </w:p>
    <w:tbl>
      <w:tblPr>
        <w:tblStyle w:val="TableGrid"/>
        <w:tblW w:w="0" w:type="auto"/>
        <w:tblInd w:w="735" w:type="dxa"/>
        <w:tblLook w:val="04A0" w:firstRow="1" w:lastRow="0" w:firstColumn="1" w:lastColumn="0" w:noHBand="0" w:noVBand="1"/>
      </w:tblPr>
      <w:tblGrid>
        <w:gridCol w:w="2880"/>
        <w:gridCol w:w="1802"/>
        <w:gridCol w:w="1802"/>
      </w:tblGrid>
      <w:tr w:rsidR="00062E22" w:rsidTr="00062E22">
        <w:tc>
          <w:tcPr>
            <w:tcW w:w="2880" w:type="dxa"/>
          </w:tcPr>
          <w:p w:rsidR="00062E22" w:rsidRDefault="00062E22" w:rsidP="00062E22">
            <w:pPr>
              <w:pStyle w:val="BodyTextIndent3"/>
              <w:ind w:left="0" w:firstLine="0"/>
              <w:rPr>
                <w:rFonts w:cs="Arial"/>
                <w:szCs w:val="24"/>
              </w:rPr>
            </w:pPr>
          </w:p>
        </w:tc>
        <w:tc>
          <w:tcPr>
            <w:tcW w:w="1802" w:type="dxa"/>
          </w:tcPr>
          <w:p w:rsidR="00B952BC" w:rsidRDefault="00B952BC" w:rsidP="00062E22">
            <w:pPr>
              <w:pStyle w:val="BodyTextIndent3"/>
              <w:ind w:left="0" w:firstLine="0"/>
              <w:jc w:val="center"/>
              <w:rPr>
                <w:rFonts w:cs="Arial"/>
                <w:szCs w:val="24"/>
              </w:rPr>
            </w:pPr>
          </w:p>
          <w:p w:rsidR="00062E22" w:rsidRDefault="00B952BC" w:rsidP="00062E22">
            <w:pPr>
              <w:pStyle w:val="BodyTextIndent3"/>
              <w:ind w:left="0" w:firstLine="0"/>
              <w:jc w:val="center"/>
              <w:rPr>
                <w:rFonts w:cs="Arial"/>
                <w:szCs w:val="24"/>
              </w:rPr>
            </w:pPr>
            <w:r>
              <w:rPr>
                <w:rFonts w:cs="Arial"/>
                <w:szCs w:val="24"/>
              </w:rPr>
              <w:t>Total Fund Return</w:t>
            </w:r>
          </w:p>
          <w:p w:rsidR="00062E22" w:rsidRDefault="00062E22" w:rsidP="00062E22">
            <w:pPr>
              <w:pStyle w:val="BodyTextIndent3"/>
              <w:ind w:left="0" w:firstLine="0"/>
              <w:jc w:val="center"/>
              <w:rPr>
                <w:rFonts w:cs="Arial"/>
                <w:szCs w:val="24"/>
              </w:rPr>
            </w:pPr>
          </w:p>
        </w:tc>
        <w:tc>
          <w:tcPr>
            <w:tcW w:w="1802" w:type="dxa"/>
          </w:tcPr>
          <w:p w:rsidR="00062E22" w:rsidRDefault="00B952BC" w:rsidP="00062E22">
            <w:pPr>
              <w:pStyle w:val="BodyTextIndent3"/>
              <w:ind w:left="0" w:firstLine="0"/>
              <w:jc w:val="center"/>
              <w:rPr>
                <w:rFonts w:cs="Arial"/>
                <w:szCs w:val="24"/>
              </w:rPr>
            </w:pPr>
            <w:r>
              <w:rPr>
                <w:rFonts w:cs="Arial"/>
                <w:szCs w:val="24"/>
              </w:rPr>
              <w:t>Fund Benchmark Return</w:t>
            </w:r>
          </w:p>
          <w:p w:rsidR="00B952BC" w:rsidRDefault="00B952BC" w:rsidP="00062E22">
            <w:pPr>
              <w:pStyle w:val="BodyTextIndent3"/>
              <w:ind w:left="0" w:firstLine="0"/>
              <w:jc w:val="center"/>
              <w:rPr>
                <w:rFonts w:cs="Arial"/>
                <w:szCs w:val="24"/>
              </w:rPr>
            </w:pPr>
          </w:p>
        </w:tc>
      </w:tr>
      <w:tr w:rsidR="00062E22" w:rsidTr="00062E22">
        <w:trPr>
          <w:trHeight w:val="421"/>
        </w:trPr>
        <w:tc>
          <w:tcPr>
            <w:tcW w:w="2880" w:type="dxa"/>
          </w:tcPr>
          <w:p w:rsidR="00062E22" w:rsidRDefault="00B952BC" w:rsidP="00062E22">
            <w:pPr>
              <w:pStyle w:val="BodyTextIndent3"/>
              <w:ind w:left="0" w:firstLine="0"/>
              <w:rPr>
                <w:rFonts w:cs="Arial"/>
                <w:szCs w:val="24"/>
              </w:rPr>
            </w:pPr>
            <w:r>
              <w:rPr>
                <w:rFonts w:cs="Arial"/>
                <w:szCs w:val="24"/>
              </w:rPr>
              <w:t>1 year</w:t>
            </w:r>
          </w:p>
        </w:tc>
        <w:tc>
          <w:tcPr>
            <w:tcW w:w="1802" w:type="dxa"/>
          </w:tcPr>
          <w:p w:rsidR="00062E22" w:rsidRDefault="00B952BC" w:rsidP="00062E22">
            <w:pPr>
              <w:pStyle w:val="BodyTextIndent3"/>
              <w:ind w:left="0" w:firstLine="0"/>
              <w:jc w:val="center"/>
              <w:rPr>
                <w:rFonts w:cs="Arial"/>
                <w:szCs w:val="24"/>
              </w:rPr>
            </w:pPr>
            <w:r>
              <w:rPr>
                <w:rFonts w:cs="Arial"/>
                <w:szCs w:val="24"/>
              </w:rPr>
              <w:t>12.0%</w:t>
            </w:r>
          </w:p>
        </w:tc>
        <w:tc>
          <w:tcPr>
            <w:tcW w:w="1802" w:type="dxa"/>
          </w:tcPr>
          <w:p w:rsidR="00062E22" w:rsidRDefault="00B952BC" w:rsidP="00062E22">
            <w:pPr>
              <w:pStyle w:val="BodyTextIndent3"/>
              <w:ind w:left="0" w:firstLine="0"/>
              <w:jc w:val="center"/>
              <w:rPr>
                <w:rFonts w:cs="Arial"/>
                <w:szCs w:val="24"/>
              </w:rPr>
            </w:pPr>
            <w:r>
              <w:rPr>
                <w:rFonts w:cs="Arial"/>
                <w:szCs w:val="24"/>
              </w:rPr>
              <w:t>11.0%</w:t>
            </w:r>
          </w:p>
        </w:tc>
      </w:tr>
      <w:tr w:rsidR="00062E22" w:rsidTr="00062E22">
        <w:trPr>
          <w:trHeight w:val="414"/>
        </w:trPr>
        <w:tc>
          <w:tcPr>
            <w:tcW w:w="2880" w:type="dxa"/>
          </w:tcPr>
          <w:p w:rsidR="00062E22" w:rsidRDefault="00062E22" w:rsidP="00062E22">
            <w:pPr>
              <w:pStyle w:val="BodyTextIndent3"/>
              <w:ind w:left="0" w:firstLine="0"/>
              <w:rPr>
                <w:rFonts w:cs="Arial"/>
                <w:szCs w:val="24"/>
              </w:rPr>
            </w:pPr>
            <w:r>
              <w:rPr>
                <w:rFonts w:cs="Arial"/>
                <w:szCs w:val="24"/>
              </w:rPr>
              <w:t>3 years</w:t>
            </w:r>
          </w:p>
        </w:tc>
        <w:tc>
          <w:tcPr>
            <w:tcW w:w="1802" w:type="dxa"/>
          </w:tcPr>
          <w:p w:rsidR="00062E22" w:rsidRDefault="00B952BC" w:rsidP="00062E22">
            <w:pPr>
              <w:pStyle w:val="BodyTextIndent3"/>
              <w:ind w:left="0" w:firstLine="0"/>
              <w:jc w:val="center"/>
              <w:rPr>
                <w:rFonts w:cs="Arial"/>
                <w:szCs w:val="24"/>
              </w:rPr>
            </w:pPr>
            <w:r>
              <w:rPr>
                <w:rFonts w:cs="Arial"/>
                <w:szCs w:val="24"/>
              </w:rPr>
              <w:t>6.1%</w:t>
            </w:r>
          </w:p>
        </w:tc>
        <w:tc>
          <w:tcPr>
            <w:tcW w:w="1802" w:type="dxa"/>
          </w:tcPr>
          <w:p w:rsidR="00062E22" w:rsidRDefault="00B952BC" w:rsidP="00062E22">
            <w:pPr>
              <w:pStyle w:val="BodyTextIndent3"/>
              <w:ind w:left="0" w:firstLine="0"/>
              <w:jc w:val="center"/>
              <w:rPr>
                <w:rFonts w:cs="Arial"/>
                <w:szCs w:val="24"/>
              </w:rPr>
            </w:pPr>
            <w:r>
              <w:rPr>
                <w:rFonts w:cs="Arial"/>
                <w:szCs w:val="24"/>
              </w:rPr>
              <w:t>6.8%</w:t>
            </w:r>
          </w:p>
        </w:tc>
      </w:tr>
      <w:tr w:rsidR="00062E22" w:rsidTr="00062E22">
        <w:trPr>
          <w:trHeight w:val="420"/>
        </w:trPr>
        <w:tc>
          <w:tcPr>
            <w:tcW w:w="2880" w:type="dxa"/>
          </w:tcPr>
          <w:p w:rsidR="00062E22" w:rsidRDefault="00062E22" w:rsidP="00062E22">
            <w:pPr>
              <w:pStyle w:val="BodyTextIndent3"/>
              <w:ind w:left="0" w:firstLine="0"/>
              <w:rPr>
                <w:rFonts w:cs="Arial"/>
                <w:szCs w:val="24"/>
              </w:rPr>
            </w:pPr>
            <w:r>
              <w:rPr>
                <w:rFonts w:cs="Arial"/>
                <w:szCs w:val="24"/>
              </w:rPr>
              <w:t>5 years</w:t>
            </w:r>
          </w:p>
        </w:tc>
        <w:tc>
          <w:tcPr>
            <w:tcW w:w="1802" w:type="dxa"/>
          </w:tcPr>
          <w:p w:rsidR="00062E22" w:rsidRDefault="00B952BC" w:rsidP="00062E22">
            <w:pPr>
              <w:pStyle w:val="BodyTextIndent3"/>
              <w:ind w:left="0" w:firstLine="0"/>
              <w:jc w:val="center"/>
              <w:rPr>
                <w:rFonts w:cs="Arial"/>
                <w:szCs w:val="24"/>
              </w:rPr>
            </w:pPr>
            <w:r>
              <w:rPr>
                <w:rFonts w:cs="Arial"/>
                <w:szCs w:val="24"/>
              </w:rPr>
              <w:t>2.6%</w:t>
            </w:r>
          </w:p>
        </w:tc>
        <w:tc>
          <w:tcPr>
            <w:tcW w:w="1802" w:type="dxa"/>
          </w:tcPr>
          <w:p w:rsidR="00062E22" w:rsidRDefault="00B952BC" w:rsidP="00062E22">
            <w:pPr>
              <w:pStyle w:val="BodyTextIndent3"/>
              <w:ind w:left="0" w:firstLine="0"/>
              <w:jc w:val="center"/>
              <w:rPr>
                <w:rFonts w:cs="Arial"/>
                <w:szCs w:val="24"/>
              </w:rPr>
            </w:pPr>
            <w:r>
              <w:rPr>
                <w:rFonts w:cs="Arial"/>
                <w:szCs w:val="24"/>
              </w:rPr>
              <w:t>4.6%</w:t>
            </w:r>
          </w:p>
        </w:tc>
      </w:tr>
      <w:tr w:rsidR="00062E22" w:rsidTr="00062E22">
        <w:trPr>
          <w:trHeight w:val="420"/>
        </w:trPr>
        <w:tc>
          <w:tcPr>
            <w:tcW w:w="2880" w:type="dxa"/>
          </w:tcPr>
          <w:p w:rsidR="00062E22" w:rsidRDefault="00062E22" w:rsidP="00062E22">
            <w:pPr>
              <w:pStyle w:val="BodyTextIndent3"/>
              <w:ind w:left="0" w:firstLine="0"/>
              <w:rPr>
                <w:rFonts w:cs="Arial"/>
                <w:szCs w:val="24"/>
              </w:rPr>
            </w:pPr>
            <w:r>
              <w:rPr>
                <w:rFonts w:cs="Arial"/>
                <w:szCs w:val="24"/>
              </w:rPr>
              <w:t>10 years</w:t>
            </w:r>
          </w:p>
        </w:tc>
        <w:tc>
          <w:tcPr>
            <w:tcW w:w="1802" w:type="dxa"/>
          </w:tcPr>
          <w:p w:rsidR="00062E22" w:rsidRDefault="00B952BC" w:rsidP="00062E22">
            <w:pPr>
              <w:pStyle w:val="BodyTextIndent3"/>
              <w:ind w:left="0" w:firstLine="0"/>
              <w:jc w:val="center"/>
              <w:rPr>
                <w:rFonts w:cs="Arial"/>
                <w:szCs w:val="24"/>
              </w:rPr>
            </w:pPr>
            <w:r>
              <w:rPr>
                <w:rFonts w:cs="Arial"/>
                <w:szCs w:val="24"/>
              </w:rPr>
              <w:t>6.1%</w:t>
            </w:r>
          </w:p>
        </w:tc>
        <w:tc>
          <w:tcPr>
            <w:tcW w:w="1802" w:type="dxa"/>
          </w:tcPr>
          <w:p w:rsidR="00062E22" w:rsidRDefault="00B952BC" w:rsidP="00062E22">
            <w:pPr>
              <w:pStyle w:val="BodyTextIndent3"/>
              <w:ind w:left="0" w:firstLine="0"/>
              <w:jc w:val="center"/>
              <w:rPr>
                <w:rFonts w:cs="Arial"/>
                <w:szCs w:val="24"/>
              </w:rPr>
            </w:pPr>
            <w:r>
              <w:rPr>
                <w:rFonts w:cs="Arial"/>
                <w:szCs w:val="24"/>
              </w:rPr>
              <w:t>7.6%</w:t>
            </w:r>
          </w:p>
        </w:tc>
      </w:tr>
    </w:tbl>
    <w:p w:rsidR="00062E22" w:rsidRDefault="00062E22" w:rsidP="00A10D08">
      <w:pPr>
        <w:rPr>
          <w:rFonts w:ascii="Arial" w:hAnsi="Arial" w:cs="Arial"/>
          <w:snapToGrid w:val="0"/>
          <w:color w:val="000000"/>
          <w:sz w:val="24"/>
        </w:rPr>
      </w:pPr>
    </w:p>
    <w:p w:rsidR="00B952BC" w:rsidRDefault="00B952BC" w:rsidP="00B952BC">
      <w:pPr>
        <w:rPr>
          <w:rFonts w:ascii="Arial" w:hAnsi="Arial" w:cs="Arial"/>
          <w:snapToGrid w:val="0"/>
          <w:color w:val="000000"/>
          <w:sz w:val="24"/>
        </w:rPr>
      </w:pPr>
      <w:r>
        <w:rPr>
          <w:rFonts w:ascii="Arial" w:hAnsi="Arial" w:cs="Arial"/>
          <w:snapToGrid w:val="0"/>
          <w:color w:val="000000"/>
          <w:sz w:val="24"/>
        </w:rPr>
        <w:t xml:space="preserve">In absolute terms, the Fund’s investment assets have achieved a return of 12.0% over the 12 months to 31 March 2013. This represented an outperformance relative to its annual benchmark of 11.0%. </w:t>
      </w:r>
      <w:r w:rsidR="007B638E">
        <w:rPr>
          <w:rFonts w:ascii="Arial" w:hAnsi="Arial" w:cs="Arial"/>
          <w:snapToGrid w:val="0"/>
          <w:color w:val="000000"/>
          <w:sz w:val="24"/>
        </w:rPr>
        <w:t>In earlier years, the Fund’s investment performance had lagged behind its benchmark return.</w:t>
      </w:r>
    </w:p>
    <w:p w:rsidR="00062E22" w:rsidRDefault="00062E22" w:rsidP="00A10D08">
      <w:pPr>
        <w:rPr>
          <w:rFonts w:ascii="Arial" w:hAnsi="Arial" w:cs="Arial"/>
          <w:snapToGrid w:val="0"/>
          <w:color w:val="000000"/>
          <w:sz w:val="24"/>
        </w:rPr>
      </w:pPr>
    </w:p>
    <w:p w:rsidR="00A72C55" w:rsidRDefault="00713750" w:rsidP="00A72C55">
      <w:pPr>
        <w:rPr>
          <w:rFonts w:ascii="Arial" w:hAnsi="Arial" w:cs="Arial"/>
          <w:sz w:val="24"/>
          <w:szCs w:val="24"/>
        </w:rPr>
      </w:pPr>
      <w:r w:rsidRPr="00A72C55">
        <w:rPr>
          <w:rFonts w:ascii="Arial" w:hAnsi="Arial" w:cs="Arial"/>
          <w:snapToGrid w:val="0"/>
          <w:color w:val="000000"/>
          <w:sz w:val="24"/>
          <w:szCs w:val="24"/>
        </w:rPr>
        <w:t xml:space="preserve">The </w:t>
      </w:r>
      <w:r w:rsidR="00A72C55" w:rsidRPr="00A72C55">
        <w:rPr>
          <w:rFonts w:ascii="Arial" w:hAnsi="Arial" w:cs="Arial"/>
          <w:sz w:val="24"/>
          <w:szCs w:val="24"/>
        </w:rPr>
        <w:t>Fund</w:t>
      </w:r>
      <w:r w:rsidR="007B638E">
        <w:rPr>
          <w:rFonts w:ascii="Arial" w:hAnsi="Arial" w:cs="Arial"/>
          <w:sz w:val="24"/>
          <w:szCs w:val="24"/>
        </w:rPr>
        <w:t>’s</w:t>
      </w:r>
      <w:r w:rsidR="007B638E" w:rsidRPr="007B638E">
        <w:rPr>
          <w:rFonts w:ascii="Arial" w:hAnsi="Arial" w:cs="Arial"/>
          <w:snapToGrid w:val="0"/>
          <w:color w:val="000000"/>
          <w:sz w:val="24"/>
          <w:szCs w:val="24"/>
        </w:rPr>
        <w:t xml:space="preserve"> </w:t>
      </w:r>
      <w:r w:rsidR="007B638E" w:rsidRPr="00A72C55">
        <w:rPr>
          <w:rFonts w:ascii="Arial" w:hAnsi="Arial" w:cs="Arial"/>
          <w:snapToGrid w:val="0"/>
          <w:color w:val="000000"/>
          <w:sz w:val="24"/>
          <w:szCs w:val="24"/>
        </w:rPr>
        <w:t>investment performance</w:t>
      </w:r>
      <w:r w:rsidR="00A72C55" w:rsidRPr="00A72C55">
        <w:rPr>
          <w:rFonts w:ascii="Arial" w:hAnsi="Arial" w:cs="Arial"/>
          <w:sz w:val="24"/>
          <w:szCs w:val="24"/>
        </w:rPr>
        <w:t xml:space="preserve"> in comparison to the WM Local Authority percentile average for all Local Government Pension Schemes (LGPS) funds nationally is shown below:</w:t>
      </w:r>
    </w:p>
    <w:p w:rsidR="00B952BC" w:rsidRDefault="00B952BC" w:rsidP="00A72C55">
      <w:pPr>
        <w:rPr>
          <w:rFonts w:ascii="Arial" w:hAnsi="Arial" w:cs="Arial"/>
          <w:sz w:val="24"/>
          <w:szCs w:val="24"/>
        </w:rPr>
      </w:pPr>
    </w:p>
    <w:tbl>
      <w:tblPr>
        <w:tblStyle w:val="TableGrid"/>
        <w:tblW w:w="0" w:type="auto"/>
        <w:tblInd w:w="735" w:type="dxa"/>
        <w:tblLook w:val="04A0" w:firstRow="1" w:lastRow="0" w:firstColumn="1" w:lastColumn="0" w:noHBand="0" w:noVBand="1"/>
      </w:tblPr>
      <w:tblGrid>
        <w:gridCol w:w="2880"/>
        <w:gridCol w:w="1802"/>
        <w:gridCol w:w="1802"/>
      </w:tblGrid>
      <w:tr w:rsidR="00B952BC" w:rsidTr="00B952BC">
        <w:tc>
          <w:tcPr>
            <w:tcW w:w="2880" w:type="dxa"/>
          </w:tcPr>
          <w:p w:rsidR="00B952BC" w:rsidRDefault="00B952BC" w:rsidP="00B952BC">
            <w:pPr>
              <w:pStyle w:val="BodyTextIndent3"/>
              <w:ind w:left="0" w:firstLine="0"/>
              <w:rPr>
                <w:rFonts w:cs="Arial"/>
                <w:szCs w:val="24"/>
              </w:rPr>
            </w:pPr>
          </w:p>
        </w:tc>
        <w:tc>
          <w:tcPr>
            <w:tcW w:w="1802" w:type="dxa"/>
          </w:tcPr>
          <w:p w:rsidR="00B952BC" w:rsidRDefault="00B952BC" w:rsidP="00B952BC">
            <w:pPr>
              <w:pStyle w:val="BodyTextIndent3"/>
              <w:ind w:left="0" w:firstLine="0"/>
              <w:jc w:val="center"/>
              <w:rPr>
                <w:rFonts w:cs="Arial"/>
                <w:szCs w:val="24"/>
              </w:rPr>
            </w:pPr>
            <w:r>
              <w:rPr>
                <w:rFonts w:cs="Arial"/>
                <w:szCs w:val="24"/>
              </w:rPr>
              <w:t>Period ended 31 March 2012</w:t>
            </w:r>
          </w:p>
          <w:p w:rsidR="00B952BC" w:rsidRDefault="00B952BC" w:rsidP="00B952BC">
            <w:pPr>
              <w:pStyle w:val="BodyTextIndent3"/>
              <w:ind w:left="0" w:firstLine="0"/>
              <w:jc w:val="center"/>
              <w:rPr>
                <w:rFonts w:cs="Arial"/>
                <w:szCs w:val="24"/>
              </w:rPr>
            </w:pPr>
          </w:p>
        </w:tc>
        <w:tc>
          <w:tcPr>
            <w:tcW w:w="1802" w:type="dxa"/>
          </w:tcPr>
          <w:p w:rsidR="00B952BC" w:rsidRDefault="00B952BC" w:rsidP="00B952BC">
            <w:pPr>
              <w:pStyle w:val="BodyTextIndent3"/>
              <w:ind w:left="0" w:firstLine="0"/>
              <w:jc w:val="center"/>
              <w:rPr>
                <w:rFonts w:cs="Arial"/>
                <w:szCs w:val="24"/>
              </w:rPr>
            </w:pPr>
            <w:r>
              <w:rPr>
                <w:rFonts w:cs="Arial"/>
                <w:szCs w:val="24"/>
              </w:rPr>
              <w:t>Period ended 31 March 2013</w:t>
            </w:r>
          </w:p>
        </w:tc>
      </w:tr>
      <w:tr w:rsidR="00B952BC" w:rsidTr="00B952BC">
        <w:trPr>
          <w:trHeight w:val="421"/>
        </w:trPr>
        <w:tc>
          <w:tcPr>
            <w:tcW w:w="2880" w:type="dxa"/>
          </w:tcPr>
          <w:p w:rsidR="00B952BC" w:rsidRDefault="00B952BC" w:rsidP="00B952BC">
            <w:pPr>
              <w:pStyle w:val="BodyTextIndent3"/>
              <w:ind w:left="0" w:firstLine="0"/>
              <w:rPr>
                <w:rFonts w:cs="Arial"/>
                <w:szCs w:val="24"/>
              </w:rPr>
            </w:pPr>
            <w:r>
              <w:rPr>
                <w:rFonts w:cs="Arial"/>
                <w:szCs w:val="24"/>
              </w:rPr>
              <w:t>1 year</w:t>
            </w:r>
          </w:p>
        </w:tc>
        <w:tc>
          <w:tcPr>
            <w:tcW w:w="1802" w:type="dxa"/>
          </w:tcPr>
          <w:p w:rsidR="00B952BC" w:rsidRDefault="00B952BC" w:rsidP="00B952BC">
            <w:pPr>
              <w:pStyle w:val="BodyTextIndent3"/>
              <w:ind w:left="0" w:firstLine="0"/>
              <w:jc w:val="center"/>
              <w:rPr>
                <w:rFonts w:cs="Arial"/>
                <w:szCs w:val="24"/>
              </w:rPr>
            </w:pPr>
            <w:r>
              <w:rPr>
                <w:rFonts w:cs="Arial"/>
                <w:szCs w:val="24"/>
              </w:rPr>
              <w:t>98</w:t>
            </w:r>
            <w:r w:rsidRPr="00092881">
              <w:rPr>
                <w:rFonts w:cs="Arial"/>
                <w:szCs w:val="24"/>
                <w:vertAlign w:val="superscript"/>
              </w:rPr>
              <w:t>th</w:t>
            </w:r>
          </w:p>
        </w:tc>
        <w:tc>
          <w:tcPr>
            <w:tcW w:w="1802" w:type="dxa"/>
          </w:tcPr>
          <w:p w:rsidR="00B952BC" w:rsidRDefault="00B952BC" w:rsidP="00B952BC">
            <w:pPr>
              <w:pStyle w:val="BodyTextIndent3"/>
              <w:ind w:left="0" w:firstLine="0"/>
              <w:jc w:val="center"/>
              <w:rPr>
                <w:rFonts w:cs="Arial"/>
                <w:szCs w:val="24"/>
              </w:rPr>
            </w:pPr>
            <w:r>
              <w:rPr>
                <w:rFonts w:cs="Arial"/>
                <w:szCs w:val="24"/>
              </w:rPr>
              <w:t>85</w:t>
            </w:r>
            <w:r w:rsidRPr="00E00291">
              <w:rPr>
                <w:rFonts w:cs="Arial"/>
                <w:szCs w:val="24"/>
                <w:vertAlign w:val="superscript"/>
              </w:rPr>
              <w:t>th</w:t>
            </w:r>
          </w:p>
        </w:tc>
      </w:tr>
      <w:tr w:rsidR="00B952BC" w:rsidTr="00B952BC">
        <w:trPr>
          <w:trHeight w:val="414"/>
        </w:trPr>
        <w:tc>
          <w:tcPr>
            <w:tcW w:w="2880" w:type="dxa"/>
          </w:tcPr>
          <w:p w:rsidR="00B952BC" w:rsidRDefault="00B952BC" w:rsidP="00B952BC">
            <w:pPr>
              <w:pStyle w:val="BodyTextIndent3"/>
              <w:ind w:left="0" w:firstLine="0"/>
              <w:rPr>
                <w:rFonts w:cs="Arial"/>
                <w:szCs w:val="24"/>
              </w:rPr>
            </w:pPr>
            <w:r>
              <w:rPr>
                <w:rFonts w:cs="Arial"/>
                <w:szCs w:val="24"/>
              </w:rPr>
              <w:t>3 years</w:t>
            </w:r>
          </w:p>
        </w:tc>
        <w:tc>
          <w:tcPr>
            <w:tcW w:w="1802" w:type="dxa"/>
          </w:tcPr>
          <w:p w:rsidR="00B952BC" w:rsidRDefault="00B952BC" w:rsidP="00B952BC">
            <w:pPr>
              <w:pStyle w:val="BodyTextIndent3"/>
              <w:ind w:left="0" w:firstLine="0"/>
              <w:jc w:val="center"/>
              <w:rPr>
                <w:rFonts w:cs="Arial"/>
                <w:szCs w:val="24"/>
              </w:rPr>
            </w:pPr>
            <w:r>
              <w:rPr>
                <w:rFonts w:cs="Arial"/>
                <w:szCs w:val="24"/>
              </w:rPr>
              <w:t>98</w:t>
            </w:r>
            <w:r w:rsidRPr="00092881">
              <w:rPr>
                <w:rFonts w:cs="Arial"/>
                <w:szCs w:val="24"/>
                <w:vertAlign w:val="superscript"/>
              </w:rPr>
              <w:t>th</w:t>
            </w:r>
          </w:p>
        </w:tc>
        <w:tc>
          <w:tcPr>
            <w:tcW w:w="1802" w:type="dxa"/>
          </w:tcPr>
          <w:p w:rsidR="00B952BC" w:rsidRDefault="00B952BC" w:rsidP="00B952BC">
            <w:pPr>
              <w:pStyle w:val="BodyTextIndent3"/>
              <w:ind w:left="0" w:firstLine="0"/>
              <w:jc w:val="center"/>
              <w:rPr>
                <w:rFonts w:cs="Arial"/>
                <w:szCs w:val="24"/>
              </w:rPr>
            </w:pPr>
            <w:r>
              <w:rPr>
                <w:rFonts w:cs="Arial"/>
                <w:szCs w:val="24"/>
              </w:rPr>
              <w:t>97</w:t>
            </w:r>
            <w:r w:rsidRPr="00E00291">
              <w:rPr>
                <w:rFonts w:cs="Arial"/>
                <w:szCs w:val="24"/>
                <w:vertAlign w:val="superscript"/>
              </w:rPr>
              <w:t>th</w:t>
            </w:r>
          </w:p>
        </w:tc>
      </w:tr>
      <w:tr w:rsidR="00B952BC" w:rsidTr="00B952BC">
        <w:trPr>
          <w:trHeight w:val="420"/>
        </w:trPr>
        <w:tc>
          <w:tcPr>
            <w:tcW w:w="2880" w:type="dxa"/>
          </w:tcPr>
          <w:p w:rsidR="00B952BC" w:rsidRDefault="00B952BC" w:rsidP="00B952BC">
            <w:pPr>
              <w:pStyle w:val="BodyTextIndent3"/>
              <w:ind w:left="0" w:firstLine="0"/>
              <w:rPr>
                <w:rFonts w:cs="Arial"/>
                <w:szCs w:val="24"/>
              </w:rPr>
            </w:pPr>
            <w:r>
              <w:rPr>
                <w:rFonts w:cs="Arial"/>
                <w:szCs w:val="24"/>
              </w:rPr>
              <w:t>5 years</w:t>
            </w:r>
          </w:p>
        </w:tc>
        <w:tc>
          <w:tcPr>
            <w:tcW w:w="1802" w:type="dxa"/>
          </w:tcPr>
          <w:p w:rsidR="00B952BC" w:rsidRDefault="00B952BC" w:rsidP="00B952BC">
            <w:pPr>
              <w:pStyle w:val="BodyTextIndent3"/>
              <w:ind w:left="0" w:firstLine="0"/>
              <w:jc w:val="center"/>
              <w:rPr>
                <w:rFonts w:cs="Arial"/>
                <w:szCs w:val="24"/>
              </w:rPr>
            </w:pPr>
            <w:r>
              <w:rPr>
                <w:rFonts w:cs="Arial"/>
                <w:szCs w:val="24"/>
              </w:rPr>
              <w:t>100</w:t>
            </w:r>
            <w:r w:rsidRPr="00092881">
              <w:rPr>
                <w:rFonts w:cs="Arial"/>
                <w:szCs w:val="24"/>
                <w:vertAlign w:val="superscript"/>
              </w:rPr>
              <w:t>th</w:t>
            </w:r>
          </w:p>
        </w:tc>
        <w:tc>
          <w:tcPr>
            <w:tcW w:w="1802" w:type="dxa"/>
          </w:tcPr>
          <w:p w:rsidR="00B952BC" w:rsidRDefault="00B952BC" w:rsidP="00B952BC">
            <w:pPr>
              <w:pStyle w:val="BodyTextIndent3"/>
              <w:ind w:left="0" w:firstLine="0"/>
              <w:jc w:val="center"/>
              <w:rPr>
                <w:rFonts w:cs="Arial"/>
                <w:szCs w:val="24"/>
              </w:rPr>
            </w:pPr>
            <w:r>
              <w:rPr>
                <w:rFonts w:cs="Arial"/>
                <w:szCs w:val="24"/>
              </w:rPr>
              <w:t>100</w:t>
            </w:r>
            <w:r w:rsidRPr="00E00291">
              <w:rPr>
                <w:rFonts w:cs="Arial"/>
                <w:szCs w:val="24"/>
                <w:vertAlign w:val="superscript"/>
              </w:rPr>
              <w:t>th</w:t>
            </w:r>
          </w:p>
        </w:tc>
      </w:tr>
      <w:tr w:rsidR="00B952BC" w:rsidTr="00B952BC">
        <w:trPr>
          <w:trHeight w:val="420"/>
        </w:trPr>
        <w:tc>
          <w:tcPr>
            <w:tcW w:w="2880" w:type="dxa"/>
          </w:tcPr>
          <w:p w:rsidR="00B952BC" w:rsidRDefault="00B952BC" w:rsidP="00B952BC">
            <w:pPr>
              <w:pStyle w:val="BodyTextIndent3"/>
              <w:ind w:left="0" w:firstLine="0"/>
              <w:rPr>
                <w:rFonts w:cs="Arial"/>
                <w:szCs w:val="24"/>
              </w:rPr>
            </w:pPr>
            <w:r>
              <w:rPr>
                <w:rFonts w:cs="Arial"/>
                <w:szCs w:val="24"/>
              </w:rPr>
              <w:t>10 years</w:t>
            </w:r>
          </w:p>
        </w:tc>
        <w:tc>
          <w:tcPr>
            <w:tcW w:w="1802" w:type="dxa"/>
          </w:tcPr>
          <w:p w:rsidR="00B952BC" w:rsidRDefault="00B952BC" w:rsidP="00B952BC">
            <w:pPr>
              <w:pStyle w:val="BodyTextIndent3"/>
              <w:ind w:left="0" w:firstLine="0"/>
              <w:jc w:val="center"/>
              <w:rPr>
                <w:rFonts w:cs="Arial"/>
                <w:szCs w:val="24"/>
              </w:rPr>
            </w:pPr>
            <w:r>
              <w:rPr>
                <w:rFonts w:cs="Arial"/>
                <w:szCs w:val="24"/>
              </w:rPr>
              <w:t>100</w:t>
            </w:r>
            <w:r w:rsidRPr="00092881">
              <w:rPr>
                <w:rFonts w:cs="Arial"/>
                <w:szCs w:val="24"/>
                <w:vertAlign w:val="superscript"/>
              </w:rPr>
              <w:t>th</w:t>
            </w:r>
          </w:p>
        </w:tc>
        <w:tc>
          <w:tcPr>
            <w:tcW w:w="1802" w:type="dxa"/>
          </w:tcPr>
          <w:p w:rsidR="00B952BC" w:rsidRDefault="00B952BC" w:rsidP="00B952BC">
            <w:pPr>
              <w:pStyle w:val="BodyTextIndent3"/>
              <w:ind w:left="0" w:firstLine="0"/>
              <w:jc w:val="center"/>
              <w:rPr>
                <w:rFonts w:cs="Arial"/>
                <w:szCs w:val="24"/>
              </w:rPr>
            </w:pPr>
            <w:r>
              <w:rPr>
                <w:rFonts w:cs="Arial"/>
                <w:szCs w:val="24"/>
              </w:rPr>
              <w:t>98</w:t>
            </w:r>
            <w:r w:rsidRPr="00E00291">
              <w:rPr>
                <w:rFonts w:cs="Arial"/>
                <w:szCs w:val="24"/>
                <w:vertAlign w:val="superscript"/>
              </w:rPr>
              <w:t>th</w:t>
            </w:r>
          </w:p>
        </w:tc>
      </w:tr>
    </w:tbl>
    <w:p w:rsidR="00B952BC" w:rsidRDefault="00B952BC" w:rsidP="00A72C55">
      <w:pPr>
        <w:rPr>
          <w:rFonts w:ascii="Arial" w:hAnsi="Arial" w:cs="Arial"/>
          <w:sz w:val="24"/>
          <w:szCs w:val="24"/>
        </w:rPr>
      </w:pPr>
    </w:p>
    <w:p w:rsidR="00A72C55" w:rsidRDefault="00A72C55" w:rsidP="00A10D08">
      <w:pPr>
        <w:rPr>
          <w:rFonts w:ascii="Arial" w:hAnsi="Arial" w:cs="Arial"/>
          <w:snapToGrid w:val="0"/>
          <w:color w:val="000000"/>
          <w:sz w:val="24"/>
        </w:rPr>
      </w:pPr>
      <w:r>
        <w:rPr>
          <w:rFonts w:ascii="Arial" w:hAnsi="Arial" w:cs="Arial"/>
          <w:snapToGrid w:val="0"/>
          <w:color w:val="000000"/>
          <w:sz w:val="24"/>
        </w:rPr>
        <w:t>The comparative statistics show that the Fund has been one of the lower</w:t>
      </w:r>
      <w:r w:rsidR="00997D9C">
        <w:rPr>
          <w:rFonts w:ascii="Arial" w:hAnsi="Arial" w:cs="Arial"/>
          <w:snapToGrid w:val="0"/>
          <w:color w:val="000000"/>
          <w:sz w:val="24"/>
        </w:rPr>
        <w:t xml:space="preserve"> performing LGPS funds and has </w:t>
      </w:r>
      <w:r>
        <w:rPr>
          <w:rFonts w:ascii="Arial" w:hAnsi="Arial" w:cs="Arial"/>
          <w:snapToGrid w:val="0"/>
          <w:color w:val="000000"/>
          <w:sz w:val="24"/>
        </w:rPr>
        <w:t>consistently underperform</w:t>
      </w:r>
      <w:r w:rsidR="00997D9C">
        <w:rPr>
          <w:rFonts w:ascii="Arial" w:hAnsi="Arial" w:cs="Arial"/>
          <w:snapToGrid w:val="0"/>
          <w:color w:val="000000"/>
          <w:sz w:val="24"/>
        </w:rPr>
        <w:t>ed</w:t>
      </w:r>
      <w:r>
        <w:rPr>
          <w:rFonts w:ascii="Arial" w:hAnsi="Arial" w:cs="Arial"/>
          <w:snapToGrid w:val="0"/>
          <w:color w:val="000000"/>
          <w:sz w:val="24"/>
        </w:rPr>
        <w:t xml:space="preserve"> for a number of years.</w:t>
      </w:r>
    </w:p>
    <w:p w:rsidR="00A72C55" w:rsidRPr="006F0492" w:rsidRDefault="00A72C55" w:rsidP="00A10D08">
      <w:pPr>
        <w:rPr>
          <w:rFonts w:ascii="Arial" w:hAnsi="Arial" w:cs="Arial"/>
          <w:snapToGrid w:val="0"/>
          <w:color w:val="000000"/>
          <w:sz w:val="24"/>
          <w:szCs w:val="24"/>
        </w:rPr>
      </w:pPr>
    </w:p>
    <w:p w:rsidR="00A15FA8" w:rsidRDefault="00A72C55" w:rsidP="00A10D08">
      <w:pPr>
        <w:rPr>
          <w:rFonts w:ascii="Arial" w:hAnsi="Arial" w:cs="Arial"/>
          <w:sz w:val="24"/>
          <w:szCs w:val="24"/>
        </w:rPr>
      </w:pPr>
      <w:r w:rsidRPr="006F0492">
        <w:rPr>
          <w:rFonts w:ascii="Arial" w:hAnsi="Arial" w:cs="Arial"/>
          <w:snapToGrid w:val="0"/>
          <w:color w:val="000000"/>
          <w:sz w:val="24"/>
          <w:szCs w:val="24"/>
        </w:rPr>
        <w:t xml:space="preserve">However, </w:t>
      </w:r>
      <w:r w:rsidR="006F0492" w:rsidRPr="006F0492">
        <w:rPr>
          <w:rFonts w:ascii="Arial" w:hAnsi="Arial" w:cs="Arial"/>
          <w:sz w:val="24"/>
          <w:szCs w:val="24"/>
        </w:rPr>
        <w:t xml:space="preserve">the Brent Pension Fund has benefited from a significant improvement in investment returns </w:t>
      </w:r>
      <w:r w:rsidR="00A15FA8">
        <w:rPr>
          <w:rFonts w:ascii="Arial" w:hAnsi="Arial" w:cs="Arial"/>
          <w:sz w:val="24"/>
          <w:szCs w:val="24"/>
        </w:rPr>
        <w:t>during the financial year ended</w:t>
      </w:r>
    </w:p>
    <w:p w:rsidR="002B56F0" w:rsidRDefault="006F0492" w:rsidP="00A10D08">
      <w:pPr>
        <w:rPr>
          <w:rFonts w:ascii="Arial" w:hAnsi="Arial" w:cs="Arial"/>
          <w:sz w:val="24"/>
          <w:szCs w:val="24"/>
        </w:rPr>
      </w:pPr>
      <w:r w:rsidRPr="006F0492">
        <w:rPr>
          <w:rFonts w:ascii="Arial" w:hAnsi="Arial" w:cs="Arial"/>
          <w:sz w:val="24"/>
          <w:szCs w:val="24"/>
        </w:rPr>
        <w:t>31 March 2013 and this is reflected in its annual performance relative to the 99 LGPS funds nationally increasing from the 98</w:t>
      </w:r>
      <w:r w:rsidRPr="006F0492">
        <w:rPr>
          <w:rFonts w:ascii="Arial" w:hAnsi="Arial" w:cs="Arial"/>
          <w:sz w:val="24"/>
          <w:szCs w:val="24"/>
          <w:vertAlign w:val="superscript"/>
        </w:rPr>
        <w:t>th</w:t>
      </w:r>
      <w:r w:rsidRPr="006F0492">
        <w:rPr>
          <w:rFonts w:ascii="Arial" w:hAnsi="Arial" w:cs="Arial"/>
          <w:sz w:val="24"/>
          <w:szCs w:val="24"/>
        </w:rPr>
        <w:t xml:space="preserve"> to 85</w:t>
      </w:r>
      <w:r w:rsidRPr="006F0492">
        <w:rPr>
          <w:rFonts w:ascii="Arial" w:hAnsi="Arial" w:cs="Arial"/>
          <w:sz w:val="24"/>
          <w:szCs w:val="24"/>
          <w:vertAlign w:val="superscript"/>
        </w:rPr>
        <w:t xml:space="preserve">th </w:t>
      </w:r>
      <w:r w:rsidRPr="006F0492">
        <w:rPr>
          <w:rFonts w:ascii="Arial" w:hAnsi="Arial" w:cs="Arial"/>
          <w:sz w:val="24"/>
          <w:szCs w:val="24"/>
        </w:rPr>
        <w:t>percentile.</w:t>
      </w:r>
    </w:p>
    <w:p w:rsidR="002B56F0" w:rsidRDefault="002B56F0" w:rsidP="00A10D08">
      <w:pPr>
        <w:rPr>
          <w:rFonts w:ascii="Arial" w:hAnsi="Arial" w:cs="Arial"/>
          <w:sz w:val="24"/>
          <w:szCs w:val="24"/>
        </w:rPr>
      </w:pPr>
    </w:p>
    <w:p w:rsidR="00621284" w:rsidRDefault="00997D9C" w:rsidP="00A10D08">
      <w:pPr>
        <w:rPr>
          <w:rFonts w:ascii="Arial" w:hAnsi="Arial" w:cs="Arial"/>
          <w:sz w:val="24"/>
          <w:szCs w:val="24"/>
        </w:rPr>
      </w:pPr>
      <w:r>
        <w:rPr>
          <w:rFonts w:ascii="Arial" w:hAnsi="Arial" w:cs="Arial"/>
          <w:sz w:val="24"/>
          <w:szCs w:val="24"/>
        </w:rPr>
        <w:t>In particular, t</w:t>
      </w:r>
      <w:r w:rsidR="002B56F0">
        <w:rPr>
          <w:rFonts w:ascii="Arial" w:hAnsi="Arial" w:cs="Arial"/>
          <w:sz w:val="24"/>
          <w:szCs w:val="24"/>
        </w:rPr>
        <w:t xml:space="preserve">he relative immaturity of the Fund’s </w:t>
      </w:r>
      <w:r w:rsidR="00621284">
        <w:rPr>
          <w:rFonts w:ascii="Arial" w:hAnsi="Arial" w:cs="Arial"/>
          <w:sz w:val="24"/>
          <w:szCs w:val="24"/>
        </w:rPr>
        <w:t xml:space="preserve">longer term asset classes of </w:t>
      </w:r>
      <w:r w:rsidR="002B56F0">
        <w:rPr>
          <w:rFonts w:ascii="Arial" w:hAnsi="Arial" w:cs="Arial"/>
          <w:sz w:val="24"/>
          <w:szCs w:val="24"/>
        </w:rPr>
        <w:t xml:space="preserve">private equity and infrastructure investments </w:t>
      </w:r>
      <w:r w:rsidR="00621284">
        <w:rPr>
          <w:rFonts w:ascii="Arial" w:hAnsi="Arial" w:cs="Arial"/>
          <w:sz w:val="24"/>
          <w:szCs w:val="24"/>
        </w:rPr>
        <w:t>h</w:t>
      </w:r>
      <w:r>
        <w:rPr>
          <w:rFonts w:ascii="Arial" w:hAnsi="Arial" w:cs="Arial"/>
          <w:sz w:val="24"/>
          <w:szCs w:val="24"/>
        </w:rPr>
        <w:t>as reduced performance. However,</w:t>
      </w:r>
      <w:r w:rsidR="00621284">
        <w:rPr>
          <w:rFonts w:ascii="Arial" w:hAnsi="Arial" w:cs="Arial"/>
          <w:sz w:val="24"/>
          <w:szCs w:val="24"/>
        </w:rPr>
        <w:t xml:space="preserve"> these are</w:t>
      </w:r>
      <w:r>
        <w:rPr>
          <w:rFonts w:ascii="Arial" w:hAnsi="Arial" w:cs="Arial"/>
          <w:sz w:val="24"/>
          <w:szCs w:val="24"/>
        </w:rPr>
        <w:t xml:space="preserve"> both</w:t>
      </w:r>
      <w:r w:rsidR="00621284">
        <w:rPr>
          <w:rFonts w:ascii="Arial" w:hAnsi="Arial" w:cs="Arial"/>
          <w:sz w:val="24"/>
          <w:szCs w:val="24"/>
        </w:rPr>
        <w:t xml:space="preserve"> showing an underlying improvement</w:t>
      </w:r>
      <w:r w:rsidR="00D71FD1">
        <w:rPr>
          <w:rFonts w:ascii="Arial" w:hAnsi="Arial" w:cs="Arial"/>
          <w:sz w:val="24"/>
          <w:szCs w:val="24"/>
        </w:rPr>
        <w:t xml:space="preserve"> which</w:t>
      </w:r>
      <w:r w:rsidR="00621284">
        <w:rPr>
          <w:rFonts w:ascii="Arial" w:hAnsi="Arial" w:cs="Arial"/>
          <w:sz w:val="24"/>
          <w:szCs w:val="24"/>
        </w:rPr>
        <w:t xml:space="preserve"> should make a meaningful contributio</w:t>
      </w:r>
      <w:r w:rsidR="00D71FD1">
        <w:rPr>
          <w:rFonts w:ascii="Arial" w:hAnsi="Arial" w:cs="Arial"/>
          <w:sz w:val="24"/>
          <w:szCs w:val="24"/>
        </w:rPr>
        <w:t xml:space="preserve">n to maintaining the momentum </w:t>
      </w:r>
      <w:r>
        <w:rPr>
          <w:rFonts w:ascii="Arial" w:hAnsi="Arial" w:cs="Arial"/>
          <w:sz w:val="24"/>
          <w:szCs w:val="24"/>
        </w:rPr>
        <w:t xml:space="preserve">towards an improved investment performance </w:t>
      </w:r>
      <w:r w:rsidR="00D71FD1">
        <w:rPr>
          <w:rFonts w:ascii="Arial" w:hAnsi="Arial" w:cs="Arial"/>
          <w:sz w:val="24"/>
          <w:szCs w:val="24"/>
        </w:rPr>
        <w:t>over the coming year.</w:t>
      </w:r>
    </w:p>
    <w:p w:rsidR="007B638E" w:rsidRDefault="007B638E" w:rsidP="00A10D08">
      <w:pPr>
        <w:rPr>
          <w:rFonts w:ascii="Arial" w:hAnsi="Arial" w:cs="Arial"/>
          <w:sz w:val="24"/>
          <w:szCs w:val="24"/>
        </w:rPr>
      </w:pPr>
      <w:r>
        <w:rPr>
          <w:rFonts w:ascii="Arial" w:hAnsi="Arial" w:cs="Arial"/>
          <w:sz w:val="24"/>
          <w:szCs w:val="24"/>
        </w:rPr>
        <w:lastRenderedPageBreak/>
        <w:t>Ultimately, strategic asset allocation policies will have a greater impact on Fund performance than the ability of individual investment managers to deliver performance in excess of their benchmarks.</w:t>
      </w:r>
    </w:p>
    <w:p w:rsidR="007B638E" w:rsidRDefault="007B638E" w:rsidP="00A10D08">
      <w:pPr>
        <w:rPr>
          <w:rFonts w:ascii="Arial" w:hAnsi="Arial" w:cs="Arial"/>
          <w:sz w:val="24"/>
          <w:szCs w:val="24"/>
        </w:rPr>
      </w:pPr>
    </w:p>
    <w:p w:rsidR="007B638E" w:rsidRDefault="007B638E" w:rsidP="00A10D08">
      <w:pPr>
        <w:rPr>
          <w:rFonts w:ascii="Arial" w:hAnsi="Arial" w:cs="Arial"/>
          <w:sz w:val="24"/>
          <w:szCs w:val="24"/>
        </w:rPr>
      </w:pPr>
      <w:r>
        <w:rPr>
          <w:rFonts w:ascii="Arial" w:hAnsi="Arial" w:cs="Arial"/>
          <w:sz w:val="24"/>
          <w:szCs w:val="24"/>
        </w:rPr>
        <w:t>It is important to consider the risk framework in which the investment results are achieved. If the Fund takes more risk in its asset allocation decisions, it offers the potential for higher returns but it also increases the uncertainty of the outcome, potentially in</w:t>
      </w:r>
      <w:r w:rsidR="004C3611">
        <w:rPr>
          <w:rFonts w:ascii="Arial" w:hAnsi="Arial" w:cs="Arial"/>
          <w:sz w:val="24"/>
          <w:szCs w:val="24"/>
        </w:rPr>
        <w:t>creasing the chanc</w:t>
      </w:r>
      <w:r>
        <w:rPr>
          <w:rFonts w:ascii="Arial" w:hAnsi="Arial" w:cs="Arial"/>
          <w:sz w:val="24"/>
          <w:szCs w:val="24"/>
        </w:rPr>
        <w:t xml:space="preserve">es </w:t>
      </w:r>
      <w:r w:rsidR="004C3611">
        <w:rPr>
          <w:rFonts w:ascii="Arial" w:hAnsi="Arial" w:cs="Arial"/>
          <w:sz w:val="24"/>
          <w:szCs w:val="24"/>
        </w:rPr>
        <w:t>of a negative downside. The Fund is committed to on-going review of its asset allocation and achieving an appropriate balance between risk and reward. While the Fund is a long term investor of capital through investment cycles, it is also committed to holding investment managers to account for the results they achieve.</w:t>
      </w:r>
    </w:p>
    <w:p w:rsidR="004C3611" w:rsidRDefault="004C3611" w:rsidP="00A10D08">
      <w:pPr>
        <w:rPr>
          <w:rFonts w:ascii="Arial" w:hAnsi="Arial" w:cs="Arial"/>
          <w:sz w:val="24"/>
          <w:szCs w:val="24"/>
        </w:rPr>
      </w:pPr>
    </w:p>
    <w:p w:rsidR="004C3611" w:rsidRDefault="004C3611" w:rsidP="00A10D08">
      <w:pPr>
        <w:rPr>
          <w:rFonts w:ascii="Arial" w:hAnsi="Arial" w:cs="Arial"/>
          <w:sz w:val="24"/>
          <w:szCs w:val="24"/>
        </w:rPr>
      </w:pPr>
    </w:p>
    <w:p w:rsidR="0099607D" w:rsidRPr="0099607D" w:rsidRDefault="0099607D" w:rsidP="00A10D08">
      <w:pPr>
        <w:rPr>
          <w:rFonts w:ascii="Arial" w:hAnsi="Arial" w:cs="Arial"/>
          <w:b/>
          <w:sz w:val="24"/>
          <w:szCs w:val="24"/>
        </w:rPr>
      </w:pPr>
      <w:r w:rsidRPr="0099607D">
        <w:rPr>
          <w:rFonts w:ascii="Arial" w:hAnsi="Arial" w:cs="Arial"/>
          <w:b/>
          <w:sz w:val="24"/>
          <w:szCs w:val="24"/>
        </w:rPr>
        <w:t>Funding Strategy Statement</w:t>
      </w:r>
    </w:p>
    <w:p w:rsidR="0099607D" w:rsidRDefault="0099607D" w:rsidP="00A10D08">
      <w:pPr>
        <w:rPr>
          <w:rFonts w:ascii="Arial" w:hAnsi="Arial" w:cs="Arial"/>
          <w:sz w:val="24"/>
          <w:szCs w:val="24"/>
        </w:rPr>
      </w:pPr>
    </w:p>
    <w:p w:rsidR="0099607D" w:rsidRPr="00B429F7" w:rsidRDefault="0099607D" w:rsidP="0099607D">
      <w:pPr>
        <w:rPr>
          <w:rFonts w:ascii="Arial" w:hAnsi="Arial" w:cs="Arial"/>
          <w:sz w:val="24"/>
          <w:szCs w:val="24"/>
        </w:rPr>
      </w:pPr>
      <w:r>
        <w:rPr>
          <w:rFonts w:ascii="Arial" w:hAnsi="Arial" w:cs="Arial"/>
          <w:sz w:val="24"/>
          <w:szCs w:val="24"/>
        </w:rPr>
        <w:t xml:space="preserve">In accordance with the Local Government Pension Regulations, Brent Pension Fund has a Funding Strategy Statement in place which can be found at </w:t>
      </w:r>
      <w:r w:rsidRPr="00707CC6">
        <w:rPr>
          <w:rFonts w:ascii="Arial" w:hAnsi="Arial" w:cs="Arial"/>
          <w:sz w:val="24"/>
          <w:szCs w:val="24"/>
        </w:rPr>
        <w:t xml:space="preserve">page </w:t>
      </w:r>
      <w:r w:rsidR="00A867D7">
        <w:rPr>
          <w:rFonts w:ascii="Arial" w:hAnsi="Arial" w:cs="Arial"/>
          <w:sz w:val="24"/>
          <w:szCs w:val="24"/>
        </w:rPr>
        <w:t>66</w:t>
      </w:r>
      <w:r w:rsidRPr="00707CC6">
        <w:rPr>
          <w:rFonts w:ascii="Arial" w:hAnsi="Arial" w:cs="Arial"/>
          <w:sz w:val="24"/>
          <w:szCs w:val="24"/>
        </w:rPr>
        <w:t>.</w:t>
      </w:r>
    </w:p>
    <w:p w:rsidR="0099607D" w:rsidRDefault="0099607D" w:rsidP="00A10D08">
      <w:pPr>
        <w:rPr>
          <w:rFonts w:ascii="Arial" w:hAnsi="Arial" w:cs="Arial"/>
          <w:sz w:val="24"/>
          <w:szCs w:val="24"/>
        </w:rPr>
      </w:pPr>
    </w:p>
    <w:p w:rsidR="0099607D" w:rsidRDefault="0099607D" w:rsidP="00A10D08">
      <w:pPr>
        <w:rPr>
          <w:rFonts w:ascii="Arial" w:hAnsi="Arial" w:cs="Arial"/>
          <w:sz w:val="24"/>
          <w:szCs w:val="24"/>
        </w:rPr>
      </w:pPr>
    </w:p>
    <w:p w:rsidR="0099607D" w:rsidRPr="0099607D" w:rsidRDefault="0099607D" w:rsidP="0099607D">
      <w:pPr>
        <w:rPr>
          <w:rFonts w:ascii="Arial" w:hAnsi="Arial" w:cs="Arial"/>
          <w:b/>
          <w:sz w:val="24"/>
          <w:szCs w:val="24"/>
        </w:rPr>
      </w:pPr>
      <w:r w:rsidRPr="0099607D">
        <w:rPr>
          <w:rFonts w:ascii="Arial" w:hAnsi="Arial" w:cs="Arial"/>
          <w:b/>
          <w:sz w:val="24"/>
          <w:szCs w:val="24"/>
        </w:rPr>
        <w:t>Statement</w:t>
      </w:r>
      <w:r w:rsidR="002534D3">
        <w:rPr>
          <w:rFonts w:ascii="Arial" w:hAnsi="Arial" w:cs="Arial"/>
          <w:b/>
          <w:sz w:val="24"/>
          <w:szCs w:val="24"/>
        </w:rPr>
        <w:t xml:space="preserve"> of Investment Principles</w:t>
      </w:r>
    </w:p>
    <w:p w:rsidR="0099607D" w:rsidRDefault="0099607D" w:rsidP="0099607D">
      <w:pPr>
        <w:rPr>
          <w:rFonts w:ascii="Arial" w:hAnsi="Arial" w:cs="Arial"/>
          <w:sz w:val="24"/>
          <w:szCs w:val="24"/>
        </w:rPr>
      </w:pPr>
    </w:p>
    <w:p w:rsidR="000E6763" w:rsidRDefault="000E6763">
      <w:pPr>
        <w:rPr>
          <w:rFonts w:ascii="Arial" w:hAnsi="Arial" w:cs="Arial"/>
          <w:sz w:val="24"/>
          <w:szCs w:val="24"/>
        </w:rPr>
      </w:pPr>
      <w:r>
        <w:rPr>
          <w:rFonts w:ascii="Arial" w:hAnsi="Arial" w:cs="Arial"/>
          <w:sz w:val="24"/>
          <w:szCs w:val="24"/>
        </w:rPr>
        <w:t xml:space="preserve">The Statement of Investment Principles (SIP) </w:t>
      </w:r>
      <w:r w:rsidR="00FE0924">
        <w:rPr>
          <w:rFonts w:ascii="Arial" w:hAnsi="Arial" w:cs="Arial"/>
          <w:sz w:val="24"/>
          <w:szCs w:val="24"/>
        </w:rPr>
        <w:t xml:space="preserve">sets out the policy which determines how the Fund invests its assets. The </w:t>
      </w:r>
      <w:r w:rsidR="00C95384">
        <w:rPr>
          <w:rFonts w:ascii="Arial" w:hAnsi="Arial" w:cs="Arial"/>
          <w:sz w:val="24"/>
          <w:szCs w:val="24"/>
        </w:rPr>
        <w:t>Scheme rules require that we publish a SIP that covers our policy on:</w:t>
      </w:r>
    </w:p>
    <w:p w:rsidR="00A21EE9" w:rsidRDefault="00A21EE9">
      <w:pPr>
        <w:rPr>
          <w:rFonts w:ascii="Arial" w:hAnsi="Arial" w:cs="Arial"/>
          <w:sz w:val="24"/>
          <w:szCs w:val="24"/>
        </w:rPr>
      </w:pPr>
    </w:p>
    <w:p w:rsidR="00C95384" w:rsidRDefault="00216DC5" w:rsidP="00907AD2">
      <w:pPr>
        <w:pStyle w:val="ListParagraph"/>
        <w:numPr>
          <w:ilvl w:val="0"/>
          <w:numId w:val="21"/>
        </w:numPr>
        <w:rPr>
          <w:rFonts w:ascii="Arial" w:hAnsi="Arial" w:cs="Arial"/>
          <w:sz w:val="24"/>
          <w:szCs w:val="24"/>
        </w:rPr>
      </w:pPr>
      <w:r>
        <w:rPr>
          <w:rFonts w:ascii="Arial" w:hAnsi="Arial" w:cs="Arial"/>
          <w:sz w:val="24"/>
          <w:szCs w:val="24"/>
        </w:rPr>
        <w:t>t</w:t>
      </w:r>
      <w:r w:rsidR="00C95384">
        <w:rPr>
          <w:rFonts w:ascii="Arial" w:hAnsi="Arial" w:cs="Arial"/>
          <w:sz w:val="24"/>
          <w:szCs w:val="24"/>
        </w:rPr>
        <w:t>he types of investment to be held</w:t>
      </w:r>
    </w:p>
    <w:p w:rsidR="00A21EE9" w:rsidRPr="00A21EE9" w:rsidRDefault="00A21EE9" w:rsidP="00A21EE9">
      <w:pPr>
        <w:rPr>
          <w:rFonts w:ascii="Arial" w:hAnsi="Arial" w:cs="Arial"/>
          <w:sz w:val="24"/>
          <w:szCs w:val="24"/>
        </w:rPr>
      </w:pPr>
    </w:p>
    <w:p w:rsidR="00C95384" w:rsidRDefault="00216DC5" w:rsidP="00907AD2">
      <w:pPr>
        <w:pStyle w:val="ListParagraph"/>
        <w:numPr>
          <w:ilvl w:val="0"/>
          <w:numId w:val="21"/>
        </w:numPr>
        <w:rPr>
          <w:rFonts w:ascii="Arial" w:hAnsi="Arial" w:cs="Arial"/>
          <w:sz w:val="24"/>
          <w:szCs w:val="24"/>
        </w:rPr>
      </w:pPr>
      <w:r>
        <w:rPr>
          <w:rFonts w:ascii="Arial" w:hAnsi="Arial" w:cs="Arial"/>
          <w:sz w:val="24"/>
          <w:szCs w:val="24"/>
        </w:rPr>
        <w:t>t</w:t>
      </w:r>
      <w:r w:rsidR="00E65858">
        <w:rPr>
          <w:rFonts w:ascii="Arial" w:hAnsi="Arial" w:cs="Arial"/>
          <w:sz w:val="24"/>
          <w:szCs w:val="24"/>
        </w:rPr>
        <w:t>he balance between different types of investments</w:t>
      </w:r>
    </w:p>
    <w:p w:rsidR="00A21EE9" w:rsidRPr="00A21EE9" w:rsidRDefault="00A21EE9" w:rsidP="00A21EE9">
      <w:pPr>
        <w:rPr>
          <w:rFonts w:ascii="Arial" w:hAnsi="Arial" w:cs="Arial"/>
          <w:sz w:val="24"/>
          <w:szCs w:val="24"/>
        </w:rPr>
      </w:pPr>
    </w:p>
    <w:p w:rsidR="00E65858" w:rsidRDefault="00216DC5" w:rsidP="00907AD2">
      <w:pPr>
        <w:pStyle w:val="ListParagraph"/>
        <w:numPr>
          <w:ilvl w:val="0"/>
          <w:numId w:val="21"/>
        </w:numPr>
        <w:rPr>
          <w:rFonts w:ascii="Arial" w:hAnsi="Arial" w:cs="Arial"/>
          <w:sz w:val="24"/>
          <w:szCs w:val="24"/>
        </w:rPr>
      </w:pPr>
      <w:r>
        <w:rPr>
          <w:rFonts w:ascii="Arial" w:hAnsi="Arial" w:cs="Arial"/>
          <w:sz w:val="24"/>
          <w:szCs w:val="24"/>
        </w:rPr>
        <w:t>a</w:t>
      </w:r>
      <w:r w:rsidR="00E65858">
        <w:rPr>
          <w:rFonts w:ascii="Arial" w:hAnsi="Arial" w:cs="Arial"/>
          <w:sz w:val="24"/>
          <w:szCs w:val="24"/>
        </w:rPr>
        <w:t>ttitude to risk and approach to its management</w:t>
      </w:r>
    </w:p>
    <w:p w:rsidR="00A21EE9" w:rsidRPr="00A21EE9" w:rsidRDefault="00A21EE9" w:rsidP="00A21EE9">
      <w:pPr>
        <w:pStyle w:val="ListParagraph"/>
        <w:rPr>
          <w:rFonts w:ascii="Arial" w:hAnsi="Arial" w:cs="Arial"/>
          <w:sz w:val="24"/>
          <w:szCs w:val="24"/>
        </w:rPr>
      </w:pPr>
    </w:p>
    <w:p w:rsidR="00E65858" w:rsidRDefault="00216DC5" w:rsidP="00907AD2">
      <w:pPr>
        <w:pStyle w:val="ListParagraph"/>
        <w:numPr>
          <w:ilvl w:val="0"/>
          <w:numId w:val="21"/>
        </w:numPr>
        <w:rPr>
          <w:rFonts w:ascii="Arial" w:hAnsi="Arial" w:cs="Arial"/>
          <w:sz w:val="24"/>
          <w:szCs w:val="24"/>
        </w:rPr>
      </w:pPr>
      <w:r>
        <w:rPr>
          <w:rFonts w:ascii="Arial" w:hAnsi="Arial" w:cs="Arial"/>
          <w:sz w:val="24"/>
          <w:szCs w:val="24"/>
        </w:rPr>
        <w:t>t</w:t>
      </w:r>
      <w:r w:rsidR="00E65858">
        <w:rPr>
          <w:rFonts w:ascii="Arial" w:hAnsi="Arial" w:cs="Arial"/>
          <w:sz w:val="24"/>
          <w:szCs w:val="24"/>
        </w:rPr>
        <w:t>he expected return on investments</w:t>
      </w:r>
    </w:p>
    <w:p w:rsidR="008A3257" w:rsidRPr="008A3257" w:rsidRDefault="008A3257" w:rsidP="008A3257">
      <w:pPr>
        <w:pStyle w:val="ListParagraph"/>
        <w:rPr>
          <w:rFonts w:ascii="Arial" w:hAnsi="Arial" w:cs="Arial"/>
          <w:sz w:val="24"/>
          <w:szCs w:val="24"/>
        </w:rPr>
      </w:pPr>
    </w:p>
    <w:p w:rsidR="00E65858" w:rsidRPr="00216DC5" w:rsidRDefault="00216DC5" w:rsidP="00907AD2">
      <w:pPr>
        <w:pStyle w:val="ListParagraph"/>
        <w:numPr>
          <w:ilvl w:val="0"/>
          <w:numId w:val="21"/>
        </w:numPr>
        <w:rPr>
          <w:rFonts w:ascii="Arial" w:hAnsi="Arial" w:cs="Arial"/>
          <w:sz w:val="24"/>
          <w:szCs w:val="24"/>
        </w:rPr>
      </w:pPr>
      <w:r>
        <w:rPr>
          <w:rFonts w:ascii="Arial" w:hAnsi="Arial" w:cs="Arial"/>
          <w:sz w:val="24"/>
          <w:szCs w:val="24"/>
        </w:rPr>
        <w:t>the extent to which social, environmental or ethical considerations are taken into account.</w:t>
      </w:r>
    </w:p>
    <w:p w:rsidR="00D44E61" w:rsidRDefault="00D44E61">
      <w:pPr>
        <w:rPr>
          <w:rFonts w:ascii="Arial" w:hAnsi="Arial" w:cs="Arial"/>
          <w:sz w:val="24"/>
          <w:szCs w:val="24"/>
        </w:rPr>
      </w:pPr>
    </w:p>
    <w:p w:rsidR="00A10D08" w:rsidRPr="0099607D" w:rsidRDefault="00FE0924">
      <w:pPr>
        <w:rPr>
          <w:rFonts w:ascii="Arial" w:hAnsi="Arial" w:cs="Arial"/>
          <w:sz w:val="24"/>
          <w:szCs w:val="24"/>
        </w:rPr>
      </w:pPr>
      <w:r>
        <w:rPr>
          <w:rFonts w:ascii="Arial" w:hAnsi="Arial" w:cs="Arial"/>
          <w:sz w:val="24"/>
          <w:szCs w:val="24"/>
        </w:rPr>
        <w:t>We publish a SIP</w:t>
      </w:r>
      <w:r w:rsidR="002534D3">
        <w:rPr>
          <w:rFonts w:ascii="Arial" w:hAnsi="Arial" w:cs="Arial"/>
          <w:sz w:val="24"/>
          <w:szCs w:val="24"/>
        </w:rPr>
        <w:t xml:space="preserve"> which can be found at </w:t>
      </w:r>
      <w:r w:rsidR="002534D3" w:rsidRPr="00DF5F46">
        <w:rPr>
          <w:rFonts w:ascii="Arial" w:hAnsi="Arial" w:cs="Arial"/>
          <w:sz w:val="24"/>
          <w:szCs w:val="24"/>
        </w:rPr>
        <w:t xml:space="preserve">page </w:t>
      </w:r>
      <w:r w:rsidR="00A867D7">
        <w:rPr>
          <w:rFonts w:ascii="Arial" w:hAnsi="Arial" w:cs="Arial"/>
          <w:sz w:val="24"/>
          <w:szCs w:val="24"/>
        </w:rPr>
        <w:t>75</w:t>
      </w:r>
      <w:r w:rsidR="002534D3" w:rsidRPr="00DF5F46">
        <w:rPr>
          <w:rFonts w:ascii="Arial" w:hAnsi="Arial" w:cs="Arial"/>
          <w:sz w:val="24"/>
          <w:szCs w:val="24"/>
        </w:rPr>
        <w:t>.</w:t>
      </w:r>
      <w:r w:rsidR="00E862F3">
        <w:rPr>
          <w:rFonts w:ascii="Arial" w:hAnsi="Arial" w:cs="Arial"/>
          <w:snapToGrid w:val="0"/>
          <w:color w:val="000000"/>
          <w:sz w:val="24"/>
        </w:rPr>
        <w:tab/>
      </w:r>
      <w:r w:rsidR="00E862F3">
        <w:rPr>
          <w:rFonts w:ascii="Arial" w:hAnsi="Arial" w:cs="Arial"/>
          <w:snapToGrid w:val="0"/>
          <w:color w:val="000000"/>
          <w:sz w:val="24"/>
        </w:rPr>
        <w:tab/>
      </w:r>
    </w:p>
    <w:p w:rsidR="00C635FC" w:rsidRDefault="00C635FC">
      <w:pPr>
        <w:rPr>
          <w:rFonts w:ascii="Arial" w:hAnsi="Arial" w:cs="Arial"/>
          <w:sz w:val="24"/>
          <w:szCs w:val="24"/>
        </w:rPr>
      </w:pPr>
      <w:r>
        <w:rPr>
          <w:rFonts w:ascii="Arial" w:hAnsi="Arial" w:cs="Arial"/>
          <w:sz w:val="24"/>
          <w:szCs w:val="24"/>
        </w:rPr>
        <w:br w:type="page"/>
      </w:r>
    </w:p>
    <w:p w:rsidR="00631EBA" w:rsidRDefault="00C635FC" w:rsidP="00F4413F">
      <w:pPr>
        <w:rPr>
          <w:sz w:val="24"/>
          <w:szCs w:val="24"/>
        </w:rPr>
      </w:pPr>
      <w:r>
        <w:rPr>
          <w:rFonts w:ascii="Arial" w:hAnsi="Arial" w:cs="Arial"/>
          <w:b/>
          <w:sz w:val="32"/>
          <w:szCs w:val="32"/>
        </w:rPr>
        <w:lastRenderedPageBreak/>
        <w:t>Pension Fund Accounts for 2012/13</w:t>
      </w:r>
    </w:p>
    <w:p w:rsidR="00C635FC" w:rsidRDefault="00C635FC" w:rsidP="00F4413F">
      <w:pPr>
        <w:rPr>
          <w:sz w:val="24"/>
          <w:szCs w:val="24"/>
        </w:rPr>
      </w:pPr>
    </w:p>
    <w:p w:rsidR="00C635FC" w:rsidRPr="00F4413F" w:rsidRDefault="00C635FC" w:rsidP="00F4413F">
      <w:pPr>
        <w:rPr>
          <w:sz w:val="24"/>
          <w:szCs w:val="24"/>
        </w:rPr>
      </w:pPr>
    </w:p>
    <w:tbl>
      <w:tblPr>
        <w:tblW w:w="8957" w:type="dxa"/>
        <w:tblInd w:w="93" w:type="dxa"/>
        <w:tblLook w:val="0000" w:firstRow="0" w:lastRow="0" w:firstColumn="0" w:lastColumn="0" w:noHBand="0" w:noVBand="0"/>
      </w:tblPr>
      <w:tblGrid>
        <w:gridCol w:w="5775"/>
        <w:gridCol w:w="772"/>
        <w:gridCol w:w="1134"/>
        <w:gridCol w:w="1276"/>
      </w:tblGrid>
      <w:tr w:rsidR="000763EB" w:rsidRPr="006725F8" w:rsidTr="00B9204A">
        <w:trPr>
          <w:trHeight w:val="255"/>
        </w:trPr>
        <w:tc>
          <w:tcPr>
            <w:tcW w:w="5775" w:type="dxa"/>
            <w:shd w:val="clear" w:color="auto" w:fill="auto"/>
            <w:noWrap/>
            <w:vAlign w:val="bottom"/>
          </w:tcPr>
          <w:p w:rsidR="000763EB" w:rsidRPr="006725F8" w:rsidRDefault="006725F8" w:rsidP="00FC0563">
            <w:pPr>
              <w:rPr>
                <w:rFonts w:ascii="Arial" w:hAnsi="Arial" w:cs="Arial"/>
                <w:b/>
                <w:bCs/>
                <w:lang w:eastAsia="en-GB"/>
              </w:rPr>
            </w:pPr>
            <w:r w:rsidRPr="006725F8">
              <w:rPr>
                <w:rFonts w:ascii="Arial" w:hAnsi="Arial" w:cs="Arial"/>
                <w:b/>
                <w:bCs/>
                <w:lang w:eastAsia="en-GB"/>
              </w:rPr>
              <w:t xml:space="preserve">Brent </w:t>
            </w:r>
            <w:r w:rsidR="000763EB" w:rsidRPr="006725F8">
              <w:rPr>
                <w:rFonts w:ascii="Arial" w:hAnsi="Arial" w:cs="Arial"/>
                <w:b/>
                <w:bCs/>
                <w:lang w:eastAsia="en-GB"/>
              </w:rPr>
              <w:t>Pension Fund Account</w:t>
            </w:r>
          </w:p>
        </w:tc>
        <w:tc>
          <w:tcPr>
            <w:tcW w:w="772" w:type="dxa"/>
            <w:shd w:val="clear" w:color="auto" w:fill="auto"/>
            <w:noWrap/>
            <w:vAlign w:val="bottom"/>
          </w:tcPr>
          <w:p w:rsidR="000763EB" w:rsidRPr="006725F8" w:rsidRDefault="000763EB" w:rsidP="00FC0563">
            <w:pPr>
              <w:rPr>
                <w:rFonts w:ascii="Arial" w:hAnsi="Arial" w:cs="Arial"/>
                <w:b/>
                <w:lang w:eastAsia="en-GB"/>
              </w:rPr>
            </w:pPr>
          </w:p>
        </w:tc>
        <w:tc>
          <w:tcPr>
            <w:tcW w:w="1134" w:type="dxa"/>
            <w:shd w:val="clear" w:color="auto" w:fill="auto"/>
            <w:noWrap/>
            <w:vAlign w:val="bottom"/>
          </w:tcPr>
          <w:p w:rsidR="000763EB" w:rsidRPr="006725F8" w:rsidRDefault="006725F8" w:rsidP="00FC0563">
            <w:pPr>
              <w:jc w:val="right"/>
              <w:rPr>
                <w:rFonts w:ascii="Arial" w:hAnsi="Arial" w:cs="Arial"/>
                <w:b/>
                <w:bCs/>
                <w:lang w:eastAsia="en-GB"/>
              </w:rPr>
            </w:pPr>
            <w:r w:rsidRPr="006725F8">
              <w:rPr>
                <w:rFonts w:ascii="Arial" w:hAnsi="Arial" w:cs="Arial"/>
                <w:b/>
                <w:bCs/>
                <w:lang w:eastAsia="en-GB"/>
              </w:rPr>
              <w:t>2011</w:t>
            </w:r>
            <w:r w:rsidR="00AC7833" w:rsidRPr="006725F8">
              <w:rPr>
                <w:rFonts w:ascii="Arial" w:hAnsi="Arial" w:cs="Arial"/>
                <w:b/>
                <w:bCs/>
                <w:lang w:eastAsia="en-GB"/>
              </w:rPr>
              <w:t>/</w:t>
            </w:r>
            <w:r w:rsidR="00AE44E1" w:rsidRPr="006725F8">
              <w:rPr>
                <w:rFonts w:ascii="Arial" w:hAnsi="Arial" w:cs="Arial"/>
                <w:b/>
                <w:bCs/>
                <w:lang w:eastAsia="en-GB"/>
              </w:rPr>
              <w:t>1</w:t>
            </w:r>
            <w:r w:rsidRPr="006725F8">
              <w:rPr>
                <w:rFonts w:ascii="Arial" w:hAnsi="Arial" w:cs="Arial"/>
                <w:b/>
                <w:bCs/>
                <w:lang w:eastAsia="en-GB"/>
              </w:rPr>
              <w:t>2</w:t>
            </w:r>
          </w:p>
        </w:tc>
        <w:tc>
          <w:tcPr>
            <w:tcW w:w="1276" w:type="dxa"/>
            <w:shd w:val="clear" w:color="auto" w:fill="auto"/>
            <w:noWrap/>
            <w:vAlign w:val="bottom"/>
          </w:tcPr>
          <w:p w:rsidR="000763EB" w:rsidRPr="006725F8" w:rsidRDefault="006725F8" w:rsidP="00FC0563">
            <w:pPr>
              <w:jc w:val="right"/>
              <w:rPr>
                <w:rFonts w:ascii="Arial" w:hAnsi="Arial" w:cs="Arial"/>
                <w:b/>
                <w:bCs/>
                <w:lang w:eastAsia="en-GB"/>
              </w:rPr>
            </w:pPr>
            <w:r w:rsidRPr="006725F8">
              <w:rPr>
                <w:rFonts w:ascii="Arial" w:hAnsi="Arial" w:cs="Arial"/>
                <w:b/>
                <w:bCs/>
                <w:lang w:eastAsia="en-GB"/>
              </w:rPr>
              <w:t>2012</w:t>
            </w:r>
            <w:r w:rsidR="00AC7833" w:rsidRPr="006725F8">
              <w:rPr>
                <w:rFonts w:ascii="Arial" w:hAnsi="Arial" w:cs="Arial"/>
                <w:b/>
                <w:bCs/>
                <w:lang w:eastAsia="en-GB"/>
              </w:rPr>
              <w:t>/1</w:t>
            </w:r>
            <w:r w:rsidRPr="006725F8">
              <w:rPr>
                <w:rFonts w:ascii="Arial" w:hAnsi="Arial" w:cs="Arial"/>
                <w:b/>
                <w:bCs/>
                <w:lang w:eastAsia="en-GB"/>
              </w:rPr>
              <w:t>3</w:t>
            </w:r>
          </w:p>
        </w:tc>
      </w:tr>
      <w:tr w:rsidR="000763EB" w:rsidRPr="006725F8" w:rsidTr="00B9204A">
        <w:trPr>
          <w:trHeight w:val="113"/>
        </w:trPr>
        <w:tc>
          <w:tcPr>
            <w:tcW w:w="5775" w:type="dxa"/>
            <w:shd w:val="clear" w:color="auto" w:fill="auto"/>
            <w:noWrap/>
            <w:vAlign w:val="bottom"/>
          </w:tcPr>
          <w:p w:rsidR="000763EB" w:rsidRPr="006725F8" w:rsidRDefault="000763EB" w:rsidP="00FC0563">
            <w:pPr>
              <w:rPr>
                <w:rFonts w:ascii="Arial" w:hAnsi="Arial" w:cs="Arial"/>
                <w:color w:val="FF6600"/>
                <w:lang w:eastAsia="en-GB"/>
              </w:rPr>
            </w:pPr>
          </w:p>
        </w:tc>
        <w:tc>
          <w:tcPr>
            <w:tcW w:w="772" w:type="dxa"/>
            <w:shd w:val="clear" w:color="auto" w:fill="auto"/>
            <w:noWrap/>
            <w:vAlign w:val="bottom"/>
          </w:tcPr>
          <w:p w:rsidR="000763EB" w:rsidRPr="006725F8" w:rsidRDefault="000763EB" w:rsidP="00FC0563">
            <w:pPr>
              <w:rPr>
                <w:rFonts w:ascii="Arial" w:hAnsi="Arial" w:cs="Arial"/>
                <w:b/>
                <w:lang w:eastAsia="en-GB"/>
              </w:rPr>
            </w:pPr>
          </w:p>
        </w:tc>
        <w:tc>
          <w:tcPr>
            <w:tcW w:w="1134" w:type="dxa"/>
            <w:shd w:val="clear" w:color="auto" w:fill="auto"/>
            <w:noWrap/>
            <w:vAlign w:val="bottom"/>
          </w:tcPr>
          <w:p w:rsidR="000763EB" w:rsidRPr="006725F8" w:rsidRDefault="000763EB" w:rsidP="00FC0563">
            <w:pPr>
              <w:jc w:val="right"/>
              <w:rPr>
                <w:rFonts w:ascii="Arial" w:hAnsi="Arial" w:cs="Arial"/>
                <w:b/>
                <w:bCs/>
                <w:lang w:eastAsia="en-GB"/>
              </w:rPr>
            </w:pPr>
          </w:p>
        </w:tc>
        <w:tc>
          <w:tcPr>
            <w:tcW w:w="1276" w:type="dxa"/>
            <w:shd w:val="clear" w:color="auto" w:fill="auto"/>
            <w:noWrap/>
            <w:vAlign w:val="bottom"/>
          </w:tcPr>
          <w:p w:rsidR="000763EB" w:rsidRPr="006725F8" w:rsidRDefault="000763EB" w:rsidP="00FC0563">
            <w:pPr>
              <w:jc w:val="right"/>
              <w:rPr>
                <w:rFonts w:ascii="Arial" w:hAnsi="Arial" w:cs="Arial"/>
                <w:b/>
                <w:bCs/>
                <w:lang w:eastAsia="en-GB"/>
              </w:rPr>
            </w:pPr>
          </w:p>
        </w:tc>
      </w:tr>
      <w:tr w:rsidR="000763EB" w:rsidRPr="006725F8" w:rsidTr="00B9204A">
        <w:trPr>
          <w:trHeight w:val="113"/>
        </w:trPr>
        <w:tc>
          <w:tcPr>
            <w:tcW w:w="5775" w:type="dxa"/>
            <w:shd w:val="clear" w:color="auto" w:fill="auto"/>
            <w:noWrap/>
            <w:vAlign w:val="bottom"/>
          </w:tcPr>
          <w:p w:rsidR="000763EB" w:rsidRPr="006725F8" w:rsidRDefault="000763EB" w:rsidP="00FC0563">
            <w:pPr>
              <w:rPr>
                <w:rFonts w:ascii="Arial" w:hAnsi="Arial" w:cs="Arial"/>
                <w:color w:val="FF6600"/>
                <w:lang w:eastAsia="en-GB"/>
              </w:rPr>
            </w:pPr>
          </w:p>
        </w:tc>
        <w:tc>
          <w:tcPr>
            <w:tcW w:w="772" w:type="dxa"/>
            <w:shd w:val="clear" w:color="auto" w:fill="auto"/>
            <w:noWrap/>
            <w:vAlign w:val="bottom"/>
          </w:tcPr>
          <w:p w:rsidR="000763EB" w:rsidRPr="006725F8" w:rsidRDefault="006725F8" w:rsidP="00FC0563">
            <w:pPr>
              <w:rPr>
                <w:rFonts w:ascii="Arial" w:hAnsi="Arial" w:cs="Arial"/>
                <w:color w:val="FF6600"/>
                <w:lang w:eastAsia="en-GB"/>
              </w:rPr>
            </w:pPr>
            <w:r w:rsidRPr="006725F8">
              <w:rPr>
                <w:rFonts w:ascii="Arial" w:hAnsi="Arial" w:cs="Arial"/>
                <w:b/>
                <w:lang w:eastAsia="en-GB"/>
              </w:rPr>
              <w:t>N</w:t>
            </w:r>
            <w:r w:rsidR="000763EB" w:rsidRPr="006725F8">
              <w:rPr>
                <w:rFonts w:ascii="Arial" w:hAnsi="Arial" w:cs="Arial"/>
                <w:b/>
                <w:lang w:eastAsia="en-GB"/>
              </w:rPr>
              <w:t>ote</w:t>
            </w:r>
            <w:r w:rsidRPr="006725F8">
              <w:rPr>
                <w:rFonts w:ascii="Arial" w:hAnsi="Arial" w:cs="Arial"/>
                <w:b/>
                <w:lang w:eastAsia="en-GB"/>
              </w:rPr>
              <w:t>s</w:t>
            </w:r>
          </w:p>
        </w:tc>
        <w:tc>
          <w:tcPr>
            <w:tcW w:w="1134" w:type="dxa"/>
            <w:shd w:val="clear" w:color="auto" w:fill="auto"/>
            <w:noWrap/>
            <w:vAlign w:val="bottom"/>
          </w:tcPr>
          <w:p w:rsidR="000763EB" w:rsidRPr="006725F8" w:rsidRDefault="000763EB" w:rsidP="00FC0563">
            <w:pPr>
              <w:jc w:val="right"/>
              <w:rPr>
                <w:rFonts w:ascii="Arial" w:hAnsi="Arial" w:cs="Arial"/>
                <w:b/>
                <w:bCs/>
                <w:lang w:eastAsia="en-GB"/>
              </w:rPr>
            </w:pPr>
            <w:r w:rsidRPr="006725F8">
              <w:rPr>
                <w:rFonts w:ascii="Arial" w:hAnsi="Arial" w:cs="Arial"/>
                <w:b/>
                <w:bCs/>
                <w:lang w:eastAsia="en-GB"/>
              </w:rPr>
              <w:t>£'000</w:t>
            </w:r>
          </w:p>
        </w:tc>
        <w:tc>
          <w:tcPr>
            <w:tcW w:w="1276" w:type="dxa"/>
            <w:shd w:val="clear" w:color="auto" w:fill="auto"/>
            <w:noWrap/>
            <w:vAlign w:val="bottom"/>
          </w:tcPr>
          <w:p w:rsidR="000763EB" w:rsidRPr="006725F8" w:rsidRDefault="000763EB" w:rsidP="00FC0563">
            <w:pPr>
              <w:jc w:val="right"/>
              <w:rPr>
                <w:rFonts w:ascii="Arial" w:hAnsi="Arial" w:cs="Arial"/>
                <w:b/>
                <w:bCs/>
                <w:lang w:eastAsia="en-GB"/>
              </w:rPr>
            </w:pPr>
            <w:r w:rsidRPr="006725F8">
              <w:rPr>
                <w:rFonts w:ascii="Arial" w:hAnsi="Arial" w:cs="Arial"/>
                <w:b/>
                <w:bCs/>
                <w:lang w:eastAsia="en-GB"/>
              </w:rPr>
              <w:t>£'000</w:t>
            </w:r>
          </w:p>
        </w:tc>
      </w:tr>
      <w:tr w:rsidR="00996441" w:rsidRPr="006725F8" w:rsidTr="00B9204A">
        <w:trPr>
          <w:trHeight w:val="255"/>
        </w:trPr>
        <w:tc>
          <w:tcPr>
            <w:tcW w:w="5775" w:type="dxa"/>
            <w:shd w:val="clear" w:color="auto" w:fill="auto"/>
            <w:noWrap/>
            <w:vAlign w:val="bottom"/>
          </w:tcPr>
          <w:p w:rsidR="00996441" w:rsidRPr="006725F8" w:rsidRDefault="00996441" w:rsidP="00FC0563">
            <w:pPr>
              <w:rPr>
                <w:rFonts w:ascii="Arial" w:hAnsi="Arial" w:cs="Arial"/>
                <w:b/>
                <w:bCs/>
                <w:lang w:eastAsia="en-GB"/>
              </w:rPr>
            </w:pPr>
          </w:p>
        </w:tc>
        <w:tc>
          <w:tcPr>
            <w:tcW w:w="772" w:type="dxa"/>
            <w:shd w:val="clear" w:color="auto" w:fill="auto"/>
            <w:noWrap/>
            <w:vAlign w:val="bottom"/>
          </w:tcPr>
          <w:p w:rsidR="00996441" w:rsidRPr="006725F8" w:rsidRDefault="00996441" w:rsidP="00FC0563">
            <w:pPr>
              <w:rPr>
                <w:rFonts w:ascii="Arial" w:hAnsi="Arial" w:cs="Arial"/>
                <w:lang w:eastAsia="en-GB"/>
              </w:rPr>
            </w:pPr>
          </w:p>
        </w:tc>
        <w:tc>
          <w:tcPr>
            <w:tcW w:w="1134" w:type="dxa"/>
            <w:shd w:val="clear" w:color="auto" w:fill="auto"/>
            <w:noWrap/>
            <w:vAlign w:val="bottom"/>
          </w:tcPr>
          <w:p w:rsidR="00996441" w:rsidRPr="006725F8" w:rsidRDefault="00996441" w:rsidP="00FC0563">
            <w:pPr>
              <w:rPr>
                <w:rFonts w:ascii="Arial" w:hAnsi="Arial" w:cs="Arial"/>
                <w:lang w:eastAsia="en-GB"/>
              </w:rPr>
            </w:pPr>
          </w:p>
        </w:tc>
        <w:tc>
          <w:tcPr>
            <w:tcW w:w="1276" w:type="dxa"/>
            <w:shd w:val="clear" w:color="auto" w:fill="auto"/>
            <w:noWrap/>
            <w:vAlign w:val="bottom"/>
          </w:tcPr>
          <w:p w:rsidR="00996441" w:rsidRPr="006725F8" w:rsidRDefault="00996441" w:rsidP="00FC0563">
            <w:pPr>
              <w:rPr>
                <w:rFonts w:ascii="Arial" w:hAnsi="Arial" w:cs="Arial"/>
                <w:lang w:eastAsia="en-GB"/>
              </w:rPr>
            </w:pPr>
          </w:p>
        </w:tc>
      </w:tr>
      <w:tr w:rsidR="000763EB" w:rsidRPr="006725F8" w:rsidTr="00B9204A">
        <w:trPr>
          <w:trHeight w:val="255"/>
        </w:trPr>
        <w:tc>
          <w:tcPr>
            <w:tcW w:w="5775" w:type="dxa"/>
            <w:shd w:val="clear" w:color="auto" w:fill="auto"/>
            <w:noWrap/>
            <w:vAlign w:val="bottom"/>
          </w:tcPr>
          <w:p w:rsidR="000763EB" w:rsidRPr="006725F8" w:rsidRDefault="000763EB" w:rsidP="00FC0563">
            <w:pPr>
              <w:rPr>
                <w:rFonts w:ascii="Arial" w:hAnsi="Arial" w:cs="Arial"/>
                <w:b/>
                <w:bCs/>
                <w:lang w:eastAsia="en-GB"/>
              </w:rPr>
            </w:pPr>
            <w:r w:rsidRPr="006725F8">
              <w:rPr>
                <w:rFonts w:ascii="Arial" w:hAnsi="Arial" w:cs="Arial"/>
                <w:b/>
                <w:bCs/>
                <w:lang w:eastAsia="en-GB"/>
              </w:rPr>
              <w:t>Dealings with members</w:t>
            </w:r>
            <w:r w:rsidR="00815EB2" w:rsidRPr="006725F8">
              <w:rPr>
                <w:rFonts w:ascii="Arial" w:hAnsi="Arial" w:cs="Arial"/>
                <w:b/>
                <w:bCs/>
                <w:lang w:eastAsia="en-GB"/>
              </w:rPr>
              <w:t>,</w:t>
            </w:r>
            <w:r w:rsidRPr="006725F8">
              <w:rPr>
                <w:rFonts w:ascii="Arial" w:hAnsi="Arial" w:cs="Arial"/>
                <w:b/>
                <w:bCs/>
                <w:lang w:eastAsia="en-GB"/>
              </w:rPr>
              <w:t xml:space="preserve"> employers</w:t>
            </w:r>
            <w:r w:rsidR="00815EB2" w:rsidRPr="006725F8">
              <w:rPr>
                <w:rFonts w:ascii="Arial" w:hAnsi="Arial" w:cs="Arial"/>
                <w:b/>
                <w:bCs/>
                <w:lang w:eastAsia="en-GB"/>
              </w:rPr>
              <w:t xml:space="preserve"> and others</w:t>
            </w:r>
          </w:p>
          <w:p w:rsidR="00815EB2" w:rsidRPr="006725F8" w:rsidRDefault="0045149D" w:rsidP="00FC0563">
            <w:pPr>
              <w:rPr>
                <w:rFonts w:ascii="Arial" w:hAnsi="Arial" w:cs="Arial"/>
                <w:b/>
                <w:bCs/>
                <w:lang w:eastAsia="en-GB"/>
              </w:rPr>
            </w:pPr>
            <w:r w:rsidRPr="006725F8">
              <w:rPr>
                <w:rFonts w:ascii="Arial" w:hAnsi="Arial" w:cs="Arial"/>
                <w:b/>
                <w:bCs/>
                <w:lang w:eastAsia="en-GB"/>
              </w:rPr>
              <w:t>directly</w:t>
            </w:r>
            <w:r w:rsidR="006725F8" w:rsidRPr="006725F8">
              <w:rPr>
                <w:rFonts w:ascii="Arial" w:hAnsi="Arial" w:cs="Arial"/>
                <w:b/>
                <w:bCs/>
                <w:lang w:eastAsia="en-GB"/>
              </w:rPr>
              <w:t xml:space="preserve"> involved in the f</w:t>
            </w:r>
            <w:r w:rsidR="00815EB2" w:rsidRPr="006725F8">
              <w:rPr>
                <w:rFonts w:ascii="Arial" w:hAnsi="Arial" w:cs="Arial"/>
                <w:b/>
                <w:bCs/>
                <w:lang w:eastAsia="en-GB"/>
              </w:rPr>
              <w:t>und</w:t>
            </w:r>
          </w:p>
        </w:tc>
        <w:tc>
          <w:tcPr>
            <w:tcW w:w="772" w:type="dxa"/>
            <w:shd w:val="clear" w:color="auto" w:fill="auto"/>
            <w:noWrap/>
            <w:vAlign w:val="bottom"/>
          </w:tcPr>
          <w:p w:rsidR="000763EB" w:rsidRPr="006725F8" w:rsidRDefault="000763EB" w:rsidP="00FC0563">
            <w:pPr>
              <w:rPr>
                <w:rFonts w:ascii="Arial" w:hAnsi="Arial" w:cs="Arial"/>
                <w:lang w:eastAsia="en-GB"/>
              </w:rPr>
            </w:pPr>
          </w:p>
        </w:tc>
        <w:tc>
          <w:tcPr>
            <w:tcW w:w="1134" w:type="dxa"/>
            <w:shd w:val="clear" w:color="auto" w:fill="auto"/>
            <w:noWrap/>
            <w:vAlign w:val="bottom"/>
          </w:tcPr>
          <w:p w:rsidR="000763EB" w:rsidRPr="006725F8" w:rsidRDefault="000763EB" w:rsidP="00FC0563">
            <w:pPr>
              <w:rPr>
                <w:rFonts w:ascii="Arial" w:hAnsi="Arial" w:cs="Arial"/>
                <w:lang w:eastAsia="en-GB"/>
              </w:rPr>
            </w:pPr>
          </w:p>
        </w:tc>
        <w:tc>
          <w:tcPr>
            <w:tcW w:w="1276" w:type="dxa"/>
            <w:shd w:val="clear" w:color="auto" w:fill="auto"/>
            <w:noWrap/>
            <w:vAlign w:val="bottom"/>
          </w:tcPr>
          <w:p w:rsidR="000763EB" w:rsidRPr="006725F8" w:rsidRDefault="000763EB" w:rsidP="00FC0563">
            <w:pPr>
              <w:rPr>
                <w:rFonts w:ascii="Arial" w:hAnsi="Arial" w:cs="Arial"/>
                <w:lang w:eastAsia="en-GB"/>
              </w:rPr>
            </w:pPr>
          </w:p>
        </w:tc>
      </w:tr>
      <w:tr w:rsidR="00215CEF" w:rsidRPr="003D2F7A" w:rsidTr="00B9204A">
        <w:trPr>
          <w:trHeight w:val="235"/>
        </w:trPr>
        <w:tc>
          <w:tcPr>
            <w:tcW w:w="5775" w:type="dxa"/>
            <w:shd w:val="clear" w:color="auto" w:fill="auto"/>
            <w:noWrap/>
            <w:vAlign w:val="bottom"/>
          </w:tcPr>
          <w:p w:rsidR="00215CEF" w:rsidRPr="003D2F7A" w:rsidRDefault="00215CEF" w:rsidP="00FC0563">
            <w:pPr>
              <w:rPr>
                <w:rFonts w:ascii="Arial" w:hAnsi="Arial" w:cs="Arial"/>
                <w:highlight w:val="yellow"/>
                <w:lang w:eastAsia="en-GB"/>
              </w:rPr>
            </w:pPr>
          </w:p>
        </w:tc>
        <w:tc>
          <w:tcPr>
            <w:tcW w:w="772" w:type="dxa"/>
            <w:shd w:val="clear" w:color="auto" w:fill="auto"/>
            <w:noWrap/>
            <w:vAlign w:val="bottom"/>
          </w:tcPr>
          <w:p w:rsidR="00215CEF" w:rsidRPr="003D2F7A" w:rsidRDefault="00215CEF" w:rsidP="00FC0563">
            <w:pPr>
              <w:jc w:val="center"/>
              <w:rPr>
                <w:rFonts w:ascii="Arial" w:hAnsi="Arial" w:cs="Arial"/>
                <w:highlight w:val="yellow"/>
                <w:lang w:eastAsia="en-GB"/>
              </w:rPr>
            </w:pPr>
          </w:p>
        </w:tc>
        <w:tc>
          <w:tcPr>
            <w:tcW w:w="1134" w:type="dxa"/>
            <w:shd w:val="clear" w:color="auto" w:fill="auto"/>
            <w:noWrap/>
            <w:vAlign w:val="bottom"/>
          </w:tcPr>
          <w:p w:rsidR="00215CEF" w:rsidRPr="003D2F7A" w:rsidRDefault="00215CEF" w:rsidP="00FC0563">
            <w:pPr>
              <w:jc w:val="right"/>
              <w:rPr>
                <w:rFonts w:ascii="Arial" w:hAnsi="Arial" w:cs="Arial"/>
                <w:highlight w:val="yellow"/>
                <w:lang w:eastAsia="en-GB"/>
              </w:rPr>
            </w:pPr>
          </w:p>
        </w:tc>
        <w:tc>
          <w:tcPr>
            <w:tcW w:w="1276" w:type="dxa"/>
            <w:shd w:val="clear" w:color="auto" w:fill="auto"/>
            <w:noWrap/>
            <w:vAlign w:val="bottom"/>
          </w:tcPr>
          <w:p w:rsidR="00215CEF" w:rsidRPr="003D2F7A" w:rsidRDefault="00215CEF" w:rsidP="00FC0563">
            <w:pPr>
              <w:jc w:val="right"/>
              <w:rPr>
                <w:rFonts w:ascii="Arial" w:hAnsi="Arial" w:cs="Arial"/>
                <w:highlight w:val="yellow"/>
                <w:lang w:eastAsia="en-GB"/>
              </w:rPr>
            </w:pPr>
          </w:p>
        </w:tc>
      </w:tr>
      <w:tr w:rsidR="000763EB" w:rsidRPr="003D2F7A" w:rsidTr="00B9204A">
        <w:trPr>
          <w:trHeight w:val="235"/>
        </w:trPr>
        <w:tc>
          <w:tcPr>
            <w:tcW w:w="5775" w:type="dxa"/>
            <w:shd w:val="clear" w:color="auto" w:fill="auto"/>
            <w:noWrap/>
            <w:vAlign w:val="bottom"/>
          </w:tcPr>
          <w:p w:rsidR="000763EB" w:rsidRPr="00975CD6" w:rsidRDefault="00815EB2" w:rsidP="00FC0563">
            <w:pPr>
              <w:rPr>
                <w:rFonts w:ascii="Arial" w:hAnsi="Arial" w:cs="Arial"/>
                <w:lang w:eastAsia="en-GB"/>
              </w:rPr>
            </w:pPr>
            <w:r w:rsidRPr="00975CD6">
              <w:rPr>
                <w:rFonts w:ascii="Arial" w:hAnsi="Arial" w:cs="Arial"/>
                <w:lang w:eastAsia="en-GB"/>
              </w:rPr>
              <w:t xml:space="preserve">   Contributions</w:t>
            </w:r>
          </w:p>
        </w:tc>
        <w:tc>
          <w:tcPr>
            <w:tcW w:w="772" w:type="dxa"/>
            <w:shd w:val="clear" w:color="auto" w:fill="auto"/>
            <w:noWrap/>
            <w:vAlign w:val="bottom"/>
          </w:tcPr>
          <w:p w:rsidR="000763EB" w:rsidRPr="004064FF" w:rsidRDefault="00815EB2" w:rsidP="00FC0563">
            <w:pPr>
              <w:jc w:val="center"/>
              <w:rPr>
                <w:rFonts w:ascii="Arial" w:hAnsi="Arial" w:cs="Arial"/>
                <w:lang w:eastAsia="en-GB"/>
              </w:rPr>
            </w:pPr>
            <w:r w:rsidRPr="004064FF">
              <w:rPr>
                <w:rFonts w:ascii="Arial" w:hAnsi="Arial" w:cs="Arial"/>
                <w:lang w:eastAsia="en-GB"/>
              </w:rPr>
              <w:t xml:space="preserve">   7</w:t>
            </w:r>
          </w:p>
        </w:tc>
        <w:tc>
          <w:tcPr>
            <w:tcW w:w="1134" w:type="dxa"/>
            <w:shd w:val="clear" w:color="auto" w:fill="auto"/>
            <w:noWrap/>
            <w:vAlign w:val="bottom"/>
          </w:tcPr>
          <w:p w:rsidR="000763EB" w:rsidRPr="00975CD6" w:rsidRDefault="00E91E53" w:rsidP="00FC0563">
            <w:pPr>
              <w:jc w:val="right"/>
              <w:rPr>
                <w:rFonts w:ascii="Arial" w:hAnsi="Arial" w:cs="Arial"/>
                <w:lang w:eastAsia="en-GB"/>
              </w:rPr>
            </w:pPr>
            <w:r w:rsidRPr="00975CD6">
              <w:rPr>
                <w:rFonts w:ascii="Arial" w:hAnsi="Arial" w:cs="Arial"/>
                <w:lang w:eastAsia="en-GB"/>
              </w:rPr>
              <w:t>(41,663)</w:t>
            </w:r>
          </w:p>
        </w:tc>
        <w:tc>
          <w:tcPr>
            <w:tcW w:w="1276" w:type="dxa"/>
            <w:shd w:val="clear" w:color="auto" w:fill="auto"/>
            <w:noWrap/>
            <w:vAlign w:val="bottom"/>
          </w:tcPr>
          <w:p w:rsidR="000763EB" w:rsidRPr="004252BF" w:rsidRDefault="00B4011C" w:rsidP="00FC0563">
            <w:pPr>
              <w:jc w:val="right"/>
              <w:rPr>
                <w:rFonts w:ascii="Arial" w:hAnsi="Arial" w:cs="Arial"/>
                <w:lang w:eastAsia="en-GB"/>
              </w:rPr>
            </w:pPr>
            <w:r w:rsidRPr="004252BF">
              <w:rPr>
                <w:rFonts w:ascii="Arial" w:hAnsi="Arial" w:cs="Arial"/>
                <w:lang w:eastAsia="en-GB"/>
              </w:rPr>
              <w:t>(43,782)</w:t>
            </w:r>
          </w:p>
        </w:tc>
      </w:tr>
      <w:tr w:rsidR="000763EB" w:rsidRPr="003D2F7A" w:rsidTr="00B9204A">
        <w:trPr>
          <w:trHeight w:val="255"/>
        </w:trPr>
        <w:tc>
          <w:tcPr>
            <w:tcW w:w="5775" w:type="dxa"/>
            <w:shd w:val="clear" w:color="auto" w:fill="auto"/>
            <w:noWrap/>
            <w:vAlign w:val="bottom"/>
          </w:tcPr>
          <w:p w:rsidR="000763EB" w:rsidRPr="00975CD6" w:rsidRDefault="000763EB" w:rsidP="00FC0563">
            <w:pPr>
              <w:rPr>
                <w:rFonts w:ascii="Arial" w:hAnsi="Arial" w:cs="Arial"/>
                <w:lang w:eastAsia="en-GB"/>
              </w:rPr>
            </w:pPr>
            <w:r w:rsidRPr="00975CD6">
              <w:rPr>
                <w:rFonts w:ascii="Arial" w:hAnsi="Arial" w:cs="Arial"/>
                <w:lang w:eastAsia="en-GB"/>
              </w:rPr>
              <w:t xml:space="preserve">   </w:t>
            </w:r>
            <w:r w:rsidR="00815EB2" w:rsidRPr="00975CD6">
              <w:rPr>
                <w:rFonts w:ascii="Arial" w:hAnsi="Arial" w:cs="Arial"/>
                <w:lang w:eastAsia="en-GB"/>
              </w:rPr>
              <w:t>Transfers in from other pension funds</w:t>
            </w:r>
          </w:p>
        </w:tc>
        <w:tc>
          <w:tcPr>
            <w:tcW w:w="772" w:type="dxa"/>
            <w:shd w:val="clear" w:color="auto" w:fill="auto"/>
            <w:noWrap/>
            <w:vAlign w:val="bottom"/>
          </w:tcPr>
          <w:p w:rsidR="000763EB" w:rsidRPr="004064FF" w:rsidRDefault="00815EB2" w:rsidP="00FC0563">
            <w:pPr>
              <w:jc w:val="center"/>
              <w:rPr>
                <w:rFonts w:ascii="Arial" w:hAnsi="Arial" w:cs="Arial"/>
                <w:lang w:eastAsia="en-GB"/>
              </w:rPr>
            </w:pPr>
            <w:r w:rsidRPr="004064FF">
              <w:rPr>
                <w:rFonts w:ascii="Arial" w:hAnsi="Arial" w:cs="Arial"/>
                <w:lang w:eastAsia="en-GB"/>
              </w:rPr>
              <w:t xml:space="preserve">   8</w:t>
            </w:r>
          </w:p>
        </w:tc>
        <w:tc>
          <w:tcPr>
            <w:tcW w:w="1134" w:type="dxa"/>
            <w:shd w:val="clear" w:color="auto" w:fill="auto"/>
            <w:noWrap/>
            <w:vAlign w:val="bottom"/>
          </w:tcPr>
          <w:p w:rsidR="000763EB" w:rsidRPr="00975CD6" w:rsidRDefault="00E91E53" w:rsidP="00FC0563">
            <w:pPr>
              <w:jc w:val="right"/>
              <w:rPr>
                <w:rFonts w:ascii="Arial" w:hAnsi="Arial" w:cs="Arial"/>
                <w:lang w:eastAsia="en-GB"/>
              </w:rPr>
            </w:pPr>
            <w:r w:rsidRPr="00975CD6">
              <w:rPr>
                <w:rFonts w:ascii="Arial" w:hAnsi="Arial" w:cs="Arial"/>
                <w:lang w:eastAsia="en-GB"/>
              </w:rPr>
              <w:t>(</w:t>
            </w:r>
            <w:r w:rsidR="00815EB2" w:rsidRPr="00975CD6">
              <w:rPr>
                <w:rFonts w:ascii="Arial" w:hAnsi="Arial" w:cs="Arial"/>
                <w:lang w:eastAsia="en-GB"/>
              </w:rPr>
              <w:t>2</w:t>
            </w:r>
            <w:r w:rsidRPr="00975CD6">
              <w:rPr>
                <w:rFonts w:ascii="Arial" w:hAnsi="Arial" w:cs="Arial"/>
                <w:lang w:eastAsia="en-GB"/>
              </w:rPr>
              <w:t>,152)</w:t>
            </w:r>
          </w:p>
        </w:tc>
        <w:tc>
          <w:tcPr>
            <w:tcW w:w="1276" w:type="dxa"/>
            <w:shd w:val="clear" w:color="auto" w:fill="auto"/>
            <w:noWrap/>
            <w:vAlign w:val="bottom"/>
          </w:tcPr>
          <w:p w:rsidR="000763EB" w:rsidRPr="004252BF" w:rsidRDefault="00B4011C" w:rsidP="00FC0563">
            <w:pPr>
              <w:jc w:val="right"/>
              <w:rPr>
                <w:rFonts w:ascii="Arial" w:hAnsi="Arial" w:cs="Arial"/>
                <w:lang w:eastAsia="en-GB"/>
              </w:rPr>
            </w:pPr>
            <w:r w:rsidRPr="004252BF">
              <w:rPr>
                <w:rFonts w:ascii="Arial" w:hAnsi="Arial" w:cs="Arial"/>
                <w:lang w:eastAsia="en-GB"/>
              </w:rPr>
              <w:t>(1,361)</w:t>
            </w:r>
          </w:p>
        </w:tc>
      </w:tr>
      <w:tr w:rsidR="00676147" w:rsidRPr="003D2F7A" w:rsidTr="00B9204A">
        <w:trPr>
          <w:trHeight w:val="255"/>
        </w:trPr>
        <w:tc>
          <w:tcPr>
            <w:tcW w:w="5775" w:type="dxa"/>
            <w:shd w:val="clear" w:color="auto" w:fill="auto"/>
            <w:noWrap/>
            <w:vAlign w:val="bottom"/>
          </w:tcPr>
          <w:p w:rsidR="00676147" w:rsidRPr="00975CD6" w:rsidRDefault="00676147" w:rsidP="00FC0563">
            <w:pPr>
              <w:rPr>
                <w:rFonts w:ascii="Arial" w:hAnsi="Arial" w:cs="Arial"/>
                <w:b/>
                <w:bCs/>
                <w:lang w:eastAsia="en-GB"/>
              </w:rPr>
            </w:pPr>
          </w:p>
        </w:tc>
        <w:tc>
          <w:tcPr>
            <w:tcW w:w="772" w:type="dxa"/>
            <w:shd w:val="clear" w:color="auto" w:fill="auto"/>
            <w:noWrap/>
            <w:vAlign w:val="bottom"/>
          </w:tcPr>
          <w:p w:rsidR="00676147" w:rsidRPr="004064FF" w:rsidRDefault="00676147" w:rsidP="00FC0563">
            <w:pPr>
              <w:rPr>
                <w:rFonts w:ascii="Arial" w:hAnsi="Arial" w:cs="Arial"/>
                <w:lang w:eastAsia="en-GB"/>
              </w:rPr>
            </w:pPr>
            <w:r w:rsidRPr="004064FF">
              <w:rPr>
                <w:rFonts w:ascii="Arial" w:hAnsi="Arial" w:cs="Arial"/>
                <w:lang w:eastAsia="en-GB"/>
              </w:rPr>
              <w:t xml:space="preserve">   </w:t>
            </w:r>
          </w:p>
        </w:tc>
        <w:tc>
          <w:tcPr>
            <w:tcW w:w="1134" w:type="dxa"/>
            <w:shd w:val="clear" w:color="auto" w:fill="auto"/>
            <w:noWrap/>
            <w:vAlign w:val="bottom"/>
          </w:tcPr>
          <w:p w:rsidR="00676147" w:rsidRPr="00975CD6" w:rsidRDefault="00E91E53" w:rsidP="00C132F5">
            <w:pPr>
              <w:jc w:val="right"/>
              <w:rPr>
                <w:rFonts w:ascii="Arial" w:hAnsi="Arial" w:cs="Arial"/>
                <w:b/>
                <w:lang w:eastAsia="en-GB"/>
              </w:rPr>
            </w:pPr>
            <w:r w:rsidRPr="00975CD6">
              <w:rPr>
                <w:rFonts w:ascii="Arial" w:hAnsi="Arial" w:cs="Arial"/>
                <w:b/>
                <w:lang w:eastAsia="en-GB"/>
              </w:rPr>
              <w:t>(43,815)</w:t>
            </w:r>
          </w:p>
        </w:tc>
        <w:tc>
          <w:tcPr>
            <w:tcW w:w="1276" w:type="dxa"/>
            <w:shd w:val="clear" w:color="auto" w:fill="auto"/>
            <w:noWrap/>
            <w:vAlign w:val="bottom"/>
          </w:tcPr>
          <w:p w:rsidR="00676147" w:rsidRPr="004252BF" w:rsidRDefault="00B4011C" w:rsidP="00C132F5">
            <w:pPr>
              <w:jc w:val="right"/>
              <w:rPr>
                <w:rFonts w:ascii="Arial" w:hAnsi="Arial" w:cs="Arial"/>
                <w:b/>
                <w:lang w:eastAsia="en-GB"/>
              </w:rPr>
            </w:pPr>
            <w:r w:rsidRPr="004252BF">
              <w:rPr>
                <w:rFonts w:ascii="Arial" w:hAnsi="Arial" w:cs="Arial"/>
                <w:b/>
                <w:lang w:eastAsia="en-GB"/>
              </w:rPr>
              <w:t>(45,143)</w:t>
            </w:r>
          </w:p>
        </w:tc>
      </w:tr>
      <w:tr w:rsidR="00676147" w:rsidRPr="003D2F7A" w:rsidTr="00B9204A">
        <w:trPr>
          <w:trHeight w:val="255"/>
        </w:trPr>
        <w:tc>
          <w:tcPr>
            <w:tcW w:w="5775" w:type="dxa"/>
            <w:shd w:val="clear" w:color="auto" w:fill="auto"/>
            <w:noWrap/>
            <w:vAlign w:val="bottom"/>
          </w:tcPr>
          <w:p w:rsidR="00676147" w:rsidRPr="00975CD6" w:rsidRDefault="00676147" w:rsidP="00FC0563">
            <w:pPr>
              <w:rPr>
                <w:rFonts w:ascii="Arial" w:hAnsi="Arial" w:cs="Arial"/>
                <w:lang w:eastAsia="en-GB"/>
              </w:rPr>
            </w:pPr>
          </w:p>
        </w:tc>
        <w:tc>
          <w:tcPr>
            <w:tcW w:w="772" w:type="dxa"/>
            <w:shd w:val="clear" w:color="auto" w:fill="auto"/>
            <w:noWrap/>
            <w:vAlign w:val="bottom"/>
          </w:tcPr>
          <w:p w:rsidR="00676147" w:rsidRPr="004064FF" w:rsidRDefault="00676147" w:rsidP="00FC0563">
            <w:pPr>
              <w:rPr>
                <w:rFonts w:ascii="Arial" w:hAnsi="Arial" w:cs="Arial"/>
                <w:lang w:eastAsia="en-GB"/>
              </w:rPr>
            </w:pPr>
          </w:p>
        </w:tc>
        <w:tc>
          <w:tcPr>
            <w:tcW w:w="1134" w:type="dxa"/>
            <w:shd w:val="clear" w:color="auto" w:fill="auto"/>
            <w:noWrap/>
            <w:vAlign w:val="bottom"/>
          </w:tcPr>
          <w:p w:rsidR="00676147" w:rsidRPr="00975CD6" w:rsidRDefault="00676147" w:rsidP="00FC0563">
            <w:pPr>
              <w:rPr>
                <w:rFonts w:ascii="Arial" w:hAnsi="Arial" w:cs="Arial"/>
                <w:lang w:eastAsia="en-GB"/>
              </w:rPr>
            </w:pPr>
          </w:p>
        </w:tc>
        <w:tc>
          <w:tcPr>
            <w:tcW w:w="1276" w:type="dxa"/>
            <w:shd w:val="clear" w:color="auto" w:fill="auto"/>
            <w:noWrap/>
            <w:vAlign w:val="bottom"/>
          </w:tcPr>
          <w:p w:rsidR="00676147" w:rsidRPr="004252BF" w:rsidRDefault="00676147" w:rsidP="00FC0563">
            <w:pPr>
              <w:rPr>
                <w:rFonts w:ascii="Arial" w:hAnsi="Arial" w:cs="Arial"/>
                <w:lang w:eastAsia="en-GB"/>
              </w:rPr>
            </w:pPr>
          </w:p>
        </w:tc>
      </w:tr>
      <w:tr w:rsidR="00676147" w:rsidRPr="003D2F7A" w:rsidTr="00B9204A">
        <w:trPr>
          <w:trHeight w:val="255"/>
        </w:trPr>
        <w:tc>
          <w:tcPr>
            <w:tcW w:w="5775" w:type="dxa"/>
            <w:shd w:val="clear" w:color="auto" w:fill="auto"/>
            <w:noWrap/>
            <w:vAlign w:val="bottom"/>
          </w:tcPr>
          <w:p w:rsidR="00676147" w:rsidRPr="00975CD6" w:rsidRDefault="00215CEF" w:rsidP="00FC0563">
            <w:pPr>
              <w:rPr>
                <w:rFonts w:ascii="Arial" w:hAnsi="Arial" w:cs="Arial"/>
                <w:lang w:eastAsia="en-GB"/>
              </w:rPr>
            </w:pPr>
            <w:r w:rsidRPr="00975CD6">
              <w:rPr>
                <w:rFonts w:ascii="Arial" w:hAnsi="Arial" w:cs="Arial"/>
                <w:lang w:eastAsia="en-GB"/>
              </w:rPr>
              <w:t xml:space="preserve">   Benefits</w:t>
            </w:r>
          </w:p>
        </w:tc>
        <w:tc>
          <w:tcPr>
            <w:tcW w:w="772" w:type="dxa"/>
            <w:shd w:val="clear" w:color="auto" w:fill="auto"/>
            <w:noWrap/>
            <w:vAlign w:val="bottom"/>
          </w:tcPr>
          <w:p w:rsidR="00676147" w:rsidRPr="004064FF" w:rsidRDefault="00F45472" w:rsidP="00FC0563">
            <w:pPr>
              <w:jc w:val="center"/>
              <w:rPr>
                <w:rFonts w:ascii="Arial" w:hAnsi="Arial" w:cs="Arial"/>
                <w:lang w:eastAsia="en-GB"/>
              </w:rPr>
            </w:pPr>
            <w:r w:rsidRPr="004064FF">
              <w:rPr>
                <w:rFonts w:ascii="Arial" w:hAnsi="Arial" w:cs="Arial"/>
                <w:lang w:eastAsia="en-GB"/>
              </w:rPr>
              <w:t xml:space="preserve">   9</w:t>
            </w:r>
          </w:p>
        </w:tc>
        <w:tc>
          <w:tcPr>
            <w:tcW w:w="1134" w:type="dxa"/>
            <w:shd w:val="clear" w:color="auto" w:fill="auto"/>
            <w:noWrap/>
            <w:vAlign w:val="bottom"/>
          </w:tcPr>
          <w:p w:rsidR="00676147" w:rsidRPr="00975CD6" w:rsidRDefault="00E91E53" w:rsidP="00FC0563">
            <w:pPr>
              <w:jc w:val="right"/>
              <w:rPr>
                <w:rFonts w:ascii="Arial" w:hAnsi="Arial" w:cs="Arial"/>
                <w:lang w:eastAsia="en-GB"/>
              </w:rPr>
            </w:pPr>
            <w:r w:rsidRPr="00975CD6">
              <w:rPr>
                <w:rFonts w:ascii="Arial" w:hAnsi="Arial" w:cs="Arial"/>
                <w:lang w:eastAsia="en-GB"/>
              </w:rPr>
              <w:t>34,292</w:t>
            </w:r>
          </w:p>
        </w:tc>
        <w:tc>
          <w:tcPr>
            <w:tcW w:w="1276" w:type="dxa"/>
            <w:shd w:val="clear" w:color="auto" w:fill="auto"/>
            <w:noWrap/>
            <w:vAlign w:val="bottom"/>
          </w:tcPr>
          <w:p w:rsidR="00676147" w:rsidRPr="00415179" w:rsidRDefault="00B4011C" w:rsidP="00FC0563">
            <w:pPr>
              <w:jc w:val="right"/>
              <w:rPr>
                <w:rFonts w:ascii="Arial" w:hAnsi="Arial" w:cs="Arial"/>
                <w:lang w:eastAsia="en-GB"/>
              </w:rPr>
            </w:pPr>
            <w:r w:rsidRPr="00415179">
              <w:rPr>
                <w:rFonts w:ascii="Arial" w:hAnsi="Arial" w:cs="Arial"/>
                <w:lang w:eastAsia="en-GB"/>
              </w:rPr>
              <w:t>34,172</w:t>
            </w:r>
          </w:p>
        </w:tc>
      </w:tr>
      <w:tr w:rsidR="00676147" w:rsidRPr="003D2F7A" w:rsidTr="00B9204A">
        <w:trPr>
          <w:trHeight w:val="255"/>
        </w:trPr>
        <w:tc>
          <w:tcPr>
            <w:tcW w:w="5775" w:type="dxa"/>
            <w:shd w:val="clear" w:color="auto" w:fill="auto"/>
            <w:noWrap/>
            <w:vAlign w:val="bottom"/>
          </w:tcPr>
          <w:p w:rsidR="00676147" w:rsidRPr="00975CD6" w:rsidRDefault="00676147" w:rsidP="00FC0563">
            <w:pPr>
              <w:rPr>
                <w:rFonts w:ascii="Arial" w:hAnsi="Arial" w:cs="Arial"/>
                <w:lang w:eastAsia="en-GB"/>
              </w:rPr>
            </w:pPr>
            <w:r w:rsidRPr="00975CD6">
              <w:rPr>
                <w:rFonts w:ascii="Arial" w:hAnsi="Arial" w:cs="Arial"/>
                <w:lang w:eastAsia="en-GB"/>
              </w:rPr>
              <w:t xml:space="preserve">   </w:t>
            </w:r>
            <w:r w:rsidR="00F45472" w:rsidRPr="00975CD6">
              <w:rPr>
                <w:rFonts w:ascii="Arial" w:hAnsi="Arial" w:cs="Arial"/>
                <w:lang w:eastAsia="en-GB"/>
              </w:rPr>
              <w:t>Payments to and on account of leavers</w:t>
            </w:r>
          </w:p>
        </w:tc>
        <w:tc>
          <w:tcPr>
            <w:tcW w:w="772" w:type="dxa"/>
            <w:shd w:val="clear" w:color="auto" w:fill="auto"/>
            <w:noWrap/>
            <w:vAlign w:val="bottom"/>
          </w:tcPr>
          <w:p w:rsidR="00676147" w:rsidRPr="004064FF" w:rsidRDefault="00F45472" w:rsidP="00FC0563">
            <w:pPr>
              <w:jc w:val="center"/>
              <w:rPr>
                <w:rFonts w:ascii="Arial" w:hAnsi="Arial" w:cs="Arial"/>
                <w:lang w:eastAsia="en-GB"/>
              </w:rPr>
            </w:pPr>
            <w:r w:rsidRPr="004064FF">
              <w:rPr>
                <w:rFonts w:ascii="Arial" w:hAnsi="Arial" w:cs="Arial"/>
                <w:lang w:eastAsia="en-GB"/>
              </w:rPr>
              <w:t xml:space="preserve"> 10</w:t>
            </w:r>
          </w:p>
        </w:tc>
        <w:tc>
          <w:tcPr>
            <w:tcW w:w="1134" w:type="dxa"/>
            <w:shd w:val="clear" w:color="auto" w:fill="auto"/>
            <w:noWrap/>
            <w:vAlign w:val="bottom"/>
          </w:tcPr>
          <w:p w:rsidR="00676147" w:rsidRPr="00975CD6" w:rsidRDefault="00E91E53" w:rsidP="00FC0563">
            <w:pPr>
              <w:jc w:val="right"/>
              <w:rPr>
                <w:rFonts w:ascii="Arial" w:hAnsi="Arial" w:cs="Arial"/>
                <w:lang w:eastAsia="en-GB"/>
              </w:rPr>
            </w:pPr>
            <w:r w:rsidRPr="00975CD6">
              <w:rPr>
                <w:rFonts w:ascii="Arial" w:hAnsi="Arial" w:cs="Arial"/>
                <w:lang w:eastAsia="en-GB"/>
              </w:rPr>
              <w:t>3,132</w:t>
            </w:r>
          </w:p>
        </w:tc>
        <w:tc>
          <w:tcPr>
            <w:tcW w:w="1276" w:type="dxa"/>
            <w:shd w:val="clear" w:color="auto" w:fill="auto"/>
            <w:noWrap/>
            <w:vAlign w:val="bottom"/>
          </w:tcPr>
          <w:p w:rsidR="00676147" w:rsidRPr="00415179" w:rsidRDefault="00B4011C" w:rsidP="00FC0563">
            <w:pPr>
              <w:jc w:val="right"/>
              <w:rPr>
                <w:rFonts w:ascii="Arial" w:hAnsi="Arial" w:cs="Arial"/>
                <w:lang w:eastAsia="en-GB"/>
              </w:rPr>
            </w:pPr>
            <w:r w:rsidRPr="00415179">
              <w:rPr>
                <w:rFonts w:ascii="Arial" w:hAnsi="Arial" w:cs="Arial"/>
                <w:lang w:eastAsia="en-GB"/>
              </w:rPr>
              <w:t>3,28</w:t>
            </w:r>
            <w:r w:rsidR="0074051D" w:rsidRPr="00415179">
              <w:rPr>
                <w:rFonts w:ascii="Arial" w:hAnsi="Arial" w:cs="Arial"/>
                <w:lang w:eastAsia="en-GB"/>
              </w:rPr>
              <w:t>3</w:t>
            </w:r>
          </w:p>
        </w:tc>
      </w:tr>
      <w:tr w:rsidR="00676147" w:rsidRPr="003D2F7A" w:rsidTr="00B9204A">
        <w:trPr>
          <w:trHeight w:val="255"/>
        </w:trPr>
        <w:tc>
          <w:tcPr>
            <w:tcW w:w="5775" w:type="dxa"/>
            <w:shd w:val="clear" w:color="auto" w:fill="auto"/>
            <w:noWrap/>
            <w:vAlign w:val="bottom"/>
          </w:tcPr>
          <w:p w:rsidR="00676147" w:rsidRPr="00975CD6" w:rsidRDefault="00DA7859" w:rsidP="00FC0563">
            <w:pPr>
              <w:rPr>
                <w:rFonts w:ascii="Arial" w:hAnsi="Arial" w:cs="Arial"/>
                <w:lang w:eastAsia="en-GB"/>
              </w:rPr>
            </w:pPr>
            <w:r w:rsidRPr="00975CD6">
              <w:rPr>
                <w:rFonts w:ascii="Arial" w:hAnsi="Arial" w:cs="Arial"/>
                <w:lang w:eastAsia="en-GB"/>
              </w:rPr>
              <w:t xml:space="preserve">   Administration</w:t>
            </w:r>
            <w:r w:rsidR="00F45472" w:rsidRPr="00975CD6">
              <w:rPr>
                <w:rFonts w:ascii="Arial" w:hAnsi="Arial" w:cs="Arial"/>
                <w:lang w:eastAsia="en-GB"/>
              </w:rPr>
              <w:t xml:space="preserve"> expenses</w:t>
            </w:r>
          </w:p>
        </w:tc>
        <w:tc>
          <w:tcPr>
            <w:tcW w:w="772" w:type="dxa"/>
            <w:shd w:val="clear" w:color="auto" w:fill="auto"/>
            <w:noWrap/>
            <w:vAlign w:val="bottom"/>
          </w:tcPr>
          <w:p w:rsidR="00676147" w:rsidRPr="004064FF" w:rsidRDefault="00F45472" w:rsidP="00FC0563">
            <w:pPr>
              <w:jc w:val="center"/>
              <w:rPr>
                <w:rFonts w:ascii="Arial" w:hAnsi="Arial" w:cs="Arial"/>
                <w:lang w:eastAsia="en-GB"/>
              </w:rPr>
            </w:pPr>
            <w:r w:rsidRPr="004064FF">
              <w:rPr>
                <w:rFonts w:ascii="Arial" w:hAnsi="Arial" w:cs="Arial"/>
                <w:lang w:eastAsia="en-GB"/>
              </w:rPr>
              <w:t xml:space="preserve"> 11</w:t>
            </w:r>
          </w:p>
        </w:tc>
        <w:tc>
          <w:tcPr>
            <w:tcW w:w="1134" w:type="dxa"/>
            <w:shd w:val="clear" w:color="auto" w:fill="auto"/>
            <w:noWrap/>
            <w:vAlign w:val="bottom"/>
          </w:tcPr>
          <w:p w:rsidR="00676147" w:rsidRPr="00975CD6" w:rsidRDefault="00E91E53" w:rsidP="00FC0563">
            <w:pPr>
              <w:jc w:val="right"/>
              <w:rPr>
                <w:rFonts w:ascii="Arial" w:hAnsi="Arial" w:cs="Arial"/>
                <w:lang w:eastAsia="en-GB"/>
              </w:rPr>
            </w:pPr>
            <w:r w:rsidRPr="00975CD6">
              <w:rPr>
                <w:rFonts w:ascii="Arial" w:hAnsi="Arial" w:cs="Arial"/>
                <w:lang w:eastAsia="en-GB"/>
              </w:rPr>
              <w:t>1,013</w:t>
            </w:r>
          </w:p>
        </w:tc>
        <w:tc>
          <w:tcPr>
            <w:tcW w:w="1276" w:type="dxa"/>
            <w:shd w:val="clear" w:color="auto" w:fill="auto"/>
            <w:noWrap/>
            <w:vAlign w:val="bottom"/>
          </w:tcPr>
          <w:p w:rsidR="00676147" w:rsidRPr="00415179" w:rsidRDefault="00DC3632" w:rsidP="00FC0563">
            <w:pPr>
              <w:jc w:val="right"/>
              <w:rPr>
                <w:rFonts w:ascii="Arial" w:hAnsi="Arial" w:cs="Arial"/>
                <w:lang w:eastAsia="en-GB"/>
              </w:rPr>
            </w:pPr>
            <w:r w:rsidRPr="00415179">
              <w:rPr>
                <w:rFonts w:ascii="Arial" w:hAnsi="Arial" w:cs="Arial"/>
                <w:lang w:eastAsia="en-GB"/>
              </w:rPr>
              <w:t>9</w:t>
            </w:r>
            <w:r w:rsidR="00AC0ED3" w:rsidRPr="00415179">
              <w:rPr>
                <w:rFonts w:ascii="Arial" w:hAnsi="Arial" w:cs="Arial"/>
                <w:lang w:eastAsia="en-GB"/>
              </w:rPr>
              <w:t>54</w:t>
            </w:r>
          </w:p>
        </w:tc>
      </w:tr>
      <w:tr w:rsidR="009F2706" w:rsidRPr="003D2F7A" w:rsidTr="00B9204A">
        <w:trPr>
          <w:trHeight w:val="85"/>
        </w:trPr>
        <w:tc>
          <w:tcPr>
            <w:tcW w:w="5775" w:type="dxa"/>
            <w:shd w:val="clear" w:color="auto" w:fill="auto"/>
            <w:noWrap/>
            <w:vAlign w:val="bottom"/>
          </w:tcPr>
          <w:p w:rsidR="009F2706" w:rsidRPr="00975CD6" w:rsidRDefault="009F2706" w:rsidP="00FC0563">
            <w:pPr>
              <w:rPr>
                <w:rFonts w:ascii="Arial" w:hAnsi="Arial" w:cs="Arial"/>
                <w:lang w:eastAsia="en-GB"/>
              </w:rPr>
            </w:pPr>
          </w:p>
        </w:tc>
        <w:tc>
          <w:tcPr>
            <w:tcW w:w="772" w:type="dxa"/>
            <w:shd w:val="clear" w:color="auto" w:fill="auto"/>
            <w:noWrap/>
            <w:vAlign w:val="bottom"/>
          </w:tcPr>
          <w:p w:rsidR="009F2706" w:rsidRPr="004064FF" w:rsidRDefault="009F2706" w:rsidP="00C132F5">
            <w:pPr>
              <w:rPr>
                <w:rFonts w:ascii="Arial" w:hAnsi="Arial" w:cs="Arial"/>
                <w:lang w:eastAsia="en-GB"/>
              </w:rPr>
            </w:pPr>
          </w:p>
        </w:tc>
        <w:tc>
          <w:tcPr>
            <w:tcW w:w="1134" w:type="dxa"/>
            <w:shd w:val="clear" w:color="auto" w:fill="auto"/>
            <w:noWrap/>
            <w:vAlign w:val="bottom"/>
          </w:tcPr>
          <w:p w:rsidR="009F2706" w:rsidRPr="00975CD6" w:rsidRDefault="00E91E53" w:rsidP="00C132F5">
            <w:pPr>
              <w:jc w:val="right"/>
              <w:rPr>
                <w:rFonts w:ascii="Arial" w:hAnsi="Arial" w:cs="Arial"/>
                <w:b/>
                <w:lang w:eastAsia="en-GB"/>
              </w:rPr>
            </w:pPr>
            <w:r w:rsidRPr="00975CD6">
              <w:rPr>
                <w:rFonts w:ascii="Arial" w:hAnsi="Arial" w:cs="Arial"/>
                <w:b/>
                <w:lang w:eastAsia="en-GB"/>
              </w:rPr>
              <w:t>38,437</w:t>
            </w:r>
          </w:p>
        </w:tc>
        <w:tc>
          <w:tcPr>
            <w:tcW w:w="1276" w:type="dxa"/>
            <w:shd w:val="clear" w:color="auto" w:fill="auto"/>
            <w:noWrap/>
            <w:vAlign w:val="bottom"/>
          </w:tcPr>
          <w:p w:rsidR="009F2706" w:rsidRPr="00415179" w:rsidRDefault="0074051D" w:rsidP="00C132F5">
            <w:pPr>
              <w:jc w:val="right"/>
              <w:rPr>
                <w:rFonts w:ascii="Arial" w:hAnsi="Arial" w:cs="Arial"/>
                <w:b/>
                <w:lang w:eastAsia="en-GB"/>
              </w:rPr>
            </w:pPr>
            <w:r w:rsidRPr="00415179">
              <w:rPr>
                <w:rFonts w:ascii="Arial" w:hAnsi="Arial" w:cs="Arial"/>
                <w:b/>
                <w:lang w:eastAsia="en-GB"/>
              </w:rPr>
              <w:t>38,4</w:t>
            </w:r>
            <w:r w:rsidR="00AC0ED3" w:rsidRPr="00415179">
              <w:rPr>
                <w:rFonts w:ascii="Arial" w:hAnsi="Arial" w:cs="Arial"/>
                <w:b/>
                <w:lang w:eastAsia="en-GB"/>
              </w:rPr>
              <w:t>09</w:t>
            </w:r>
          </w:p>
        </w:tc>
      </w:tr>
      <w:tr w:rsidR="009F2706" w:rsidRPr="003D2F7A" w:rsidTr="00B9204A">
        <w:trPr>
          <w:trHeight w:val="80"/>
        </w:trPr>
        <w:tc>
          <w:tcPr>
            <w:tcW w:w="5775" w:type="dxa"/>
            <w:shd w:val="clear" w:color="auto" w:fill="auto"/>
            <w:noWrap/>
            <w:vAlign w:val="bottom"/>
          </w:tcPr>
          <w:p w:rsidR="009F2706" w:rsidRPr="00975CD6" w:rsidRDefault="009F2706" w:rsidP="00FC0563">
            <w:pPr>
              <w:rPr>
                <w:rFonts w:ascii="Arial" w:hAnsi="Arial" w:cs="Arial"/>
                <w:lang w:eastAsia="en-GB"/>
              </w:rPr>
            </w:pPr>
          </w:p>
        </w:tc>
        <w:tc>
          <w:tcPr>
            <w:tcW w:w="772" w:type="dxa"/>
            <w:shd w:val="clear" w:color="auto" w:fill="auto"/>
            <w:noWrap/>
            <w:vAlign w:val="bottom"/>
          </w:tcPr>
          <w:p w:rsidR="009F2706" w:rsidRPr="004064FF" w:rsidRDefault="009F2706" w:rsidP="00FC0563">
            <w:pPr>
              <w:rPr>
                <w:rFonts w:ascii="Arial" w:hAnsi="Arial" w:cs="Arial"/>
                <w:lang w:eastAsia="en-GB"/>
              </w:rPr>
            </w:pPr>
          </w:p>
        </w:tc>
        <w:tc>
          <w:tcPr>
            <w:tcW w:w="1134" w:type="dxa"/>
            <w:tcBorders>
              <w:bottom w:val="single" w:sz="4" w:space="0" w:color="auto"/>
            </w:tcBorders>
            <w:shd w:val="clear" w:color="auto" w:fill="auto"/>
            <w:noWrap/>
            <w:vAlign w:val="bottom"/>
          </w:tcPr>
          <w:p w:rsidR="009F2706" w:rsidRPr="00975CD6" w:rsidRDefault="009F2706" w:rsidP="00FC0563">
            <w:pPr>
              <w:rPr>
                <w:rFonts w:ascii="Arial" w:hAnsi="Arial" w:cs="Arial"/>
                <w:lang w:eastAsia="en-GB"/>
              </w:rPr>
            </w:pPr>
          </w:p>
        </w:tc>
        <w:tc>
          <w:tcPr>
            <w:tcW w:w="1276" w:type="dxa"/>
            <w:tcBorders>
              <w:bottom w:val="single" w:sz="4" w:space="0" w:color="auto"/>
            </w:tcBorders>
            <w:shd w:val="clear" w:color="auto" w:fill="auto"/>
            <w:noWrap/>
            <w:vAlign w:val="bottom"/>
          </w:tcPr>
          <w:p w:rsidR="009F2706" w:rsidRPr="00415179" w:rsidRDefault="009F2706" w:rsidP="00FC0563">
            <w:pPr>
              <w:rPr>
                <w:rFonts w:ascii="Arial" w:hAnsi="Arial" w:cs="Arial"/>
                <w:lang w:eastAsia="en-GB"/>
              </w:rPr>
            </w:pPr>
          </w:p>
        </w:tc>
      </w:tr>
      <w:tr w:rsidR="009F2706" w:rsidRPr="003D2F7A" w:rsidTr="00B9204A">
        <w:trPr>
          <w:trHeight w:val="255"/>
        </w:trPr>
        <w:tc>
          <w:tcPr>
            <w:tcW w:w="5775" w:type="dxa"/>
            <w:shd w:val="clear" w:color="auto" w:fill="auto"/>
            <w:noWrap/>
            <w:vAlign w:val="bottom"/>
          </w:tcPr>
          <w:p w:rsidR="009F2706" w:rsidRPr="00975CD6" w:rsidRDefault="009F2706" w:rsidP="00FC0563">
            <w:pPr>
              <w:rPr>
                <w:rFonts w:ascii="Arial" w:hAnsi="Arial" w:cs="Arial"/>
                <w:bCs/>
                <w:lang w:eastAsia="en-GB"/>
              </w:rPr>
            </w:pPr>
            <w:r w:rsidRPr="00975CD6">
              <w:rPr>
                <w:rFonts w:ascii="Arial" w:hAnsi="Arial" w:cs="Arial"/>
                <w:bCs/>
                <w:lang w:eastAsia="en-GB"/>
              </w:rPr>
              <w:t xml:space="preserve">Net </w:t>
            </w:r>
            <w:r w:rsidR="00E91E53" w:rsidRPr="00975CD6">
              <w:rPr>
                <w:rFonts w:ascii="Arial" w:hAnsi="Arial" w:cs="Arial"/>
                <w:bCs/>
                <w:lang w:eastAsia="en-GB"/>
              </w:rPr>
              <w:t>(</w:t>
            </w:r>
            <w:r w:rsidRPr="00975CD6">
              <w:rPr>
                <w:rFonts w:ascii="Arial" w:hAnsi="Arial" w:cs="Arial"/>
                <w:bCs/>
                <w:lang w:eastAsia="en-GB"/>
              </w:rPr>
              <w:t>additions</w:t>
            </w:r>
            <w:r w:rsidR="00E91E53" w:rsidRPr="00975CD6">
              <w:rPr>
                <w:rFonts w:ascii="Arial" w:hAnsi="Arial" w:cs="Arial"/>
                <w:bCs/>
                <w:lang w:eastAsia="en-GB"/>
              </w:rPr>
              <w:t>)/withdrawals</w:t>
            </w:r>
            <w:r w:rsidRPr="00975CD6">
              <w:rPr>
                <w:rFonts w:ascii="Arial" w:hAnsi="Arial" w:cs="Arial"/>
                <w:bCs/>
                <w:lang w:eastAsia="en-GB"/>
              </w:rPr>
              <w:t xml:space="preserve"> from dealings with members</w:t>
            </w:r>
          </w:p>
        </w:tc>
        <w:tc>
          <w:tcPr>
            <w:tcW w:w="772" w:type="dxa"/>
            <w:shd w:val="clear" w:color="auto" w:fill="auto"/>
            <w:noWrap/>
            <w:vAlign w:val="bottom"/>
          </w:tcPr>
          <w:p w:rsidR="009F2706" w:rsidRPr="004064FF" w:rsidRDefault="009F2706" w:rsidP="00FC0563">
            <w:pPr>
              <w:rPr>
                <w:rFonts w:ascii="Arial" w:hAnsi="Arial" w:cs="Arial"/>
                <w:lang w:eastAsia="en-GB"/>
              </w:rPr>
            </w:pPr>
          </w:p>
        </w:tc>
        <w:tc>
          <w:tcPr>
            <w:tcW w:w="1134" w:type="dxa"/>
            <w:tcBorders>
              <w:top w:val="single" w:sz="4" w:space="0" w:color="auto"/>
            </w:tcBorders>
            <w:shd w:val="clear" w:color="auto" w:fill="auto"/>
            <w:noWrap/>
            <w:vAlign w:val="bottom"/>
          </w:tcPr>
          <w:p w:rsidR="009F2706" w:rsidRPr="00975CD6" w:rsidRDefault="00A86229" w:rsidP="00FC0563">
            <w:pPr>
              <w:jc w:val="right"/>
              <w:rPr>
                <w:rFonts w:ascii="Arial" w:hAnsi="Arial" w:cs="Arial"/>
                <w:b/>
                <w:bCs/>
                <w:lang w:eastAsia="en-GB"/>
              </w:rPr>
            </w:pPr>
            <w:r w:rsidRPr="00975CD6">
              <w:rPr>
                <w:rFonts w:ascii="Arial" w:hAnsi="Arial" w:cs="Arial"/>
                <w:b/>
                <w:bCs/>
                <w:lang w:eastAsia="en-GB"/>
              </w:rPr>
              <w:t>(5,378)</w:t>
            </w:r>
          </w:p>
        </w:tc>
        <w:tc>
          <w:tcPr>
            <w:tcW w:w="1276" w:type="dxa"/>
            <w:tcBorders>
              <w:top w:val="single" w:sz="4" w:space="0" w:color="auto"/>
            </w:tcBorders>
            <w:shd w:val="clear" w:color="auto" w:fill="auto"/>
            <w:noWrap/>
            <w:vAlign w:val="bottom"/>
          </w:tcPr>
          <w:p w:rsidR="009F2706" w:rsidRPr="00415179" w:rsidRDefault="0074051D" w:rsidP="00FC0563">
            <w:pPr>
              <w:jc w:val="right"/>
              <w:rPr>
                <w:rFonts w:ascii="Arial" w:hAnsi="Arial" w:cs="Arial"/>
                <w:b/>
                <w:bCs/>
                <w:lang w:eastAsia="en-GB"/>
              </w:rPr>
            </w:pPr>
            <w:r w:rsidRPr="00415179">
              <w:rPr>
                <w:rFonts w:ascii="Arial" w:hAnsi="Arial" w:cs="Arial"/>
                <w:b/>
                <w:bCs/>
                <w:lang w:eastAsia="en-GB"/>
              </w:rPr>
              <w:t>(6,</w:t>
            </w:r>
            <w:r w:rsidR="00AC0ED3" w:rsidRPr="00415179">
              <w:rPr>
                <w:rFonts w:ascii="Arial" w:hAnsi="Arial" w:cs="Arial"/>
                <w:b/>
                <w:bCs/>
                <w:lang w:eastAsia="en-GB"/>
              </w:rPr>
              <w:t>734</w:t>
            </w:r>
            <w:r w:rsidRPr="00415179">
              <w:rPr>
                <w:rFonts w:ascii="Arial" w:hAnsi="Arial" w:cs="Arial"/>
                <w:b/>
                <w:bCs/>
                <w:lang w:eastAsia="en-GB"/>
              </w:rPr>
              <w:t>)</w:t>
            </w:r>
          </w:p>
        </w:tc>
      </w:tr>
      <w:tr w:rsidR="005E34F9" w:rsidRPr="003D2F7A" w:rsidTr="00B9204A">
        <w:trPr>
          <w:trHeight w:val="141"/>
        </w:trPr>
        <w:tc>
          <w:tcPr>
            <w:tcW w:w="5775" w:type="dxa"/>
            <w:shd w:val="clear" w:color="auto" w:fill="auto"/>
            <w:noWrap/>
            <w:vAlign w:val="bottom"/>
          </w:tcPr>
          <w:p w:rsidR="005E34F9" w:rsidRPr="003D2F7A" w:rsidRDefault="005E34F9" w:rsidP="00FC0563">
            <w:pPr>
              <w:rPr>
                <w:rFonts w:ascii="Arial" w:hAnsi="Arial" w:cs="Arial"/>
                <w:highlight w:val="yellow"/>
                <w:lang w:eastAsia="en-GB"/>
              </w:rPr>
            </w:pPr>
          </w:p>
        </w:tc>
        <w:tc>
          <w:tcPr>
            <w:tcW w:w="772" w:type="dxa"/>
            <w:shd w:val="clear" w:color="auto" w:fill="auto"/>
            <w:noWrap/>
            <w:vAlign w:val="bottom"/>
          </w:tcPr>
          <w:p w:rsidR="005E34F9" w:rsidRPr="004064FF" w:rsidRDefault="005E34F9" w:rsidP="00FC0563">
            <w:pPr>
              <w:rPr>
                <w:rFonts w:ascii="Arial" w:hAnsi="Arial" w:cs="Arial"/>
                <w:lang w:eastAsia="en-GB"/>
              </w:rPr>
            </w:pPr>
          </w:p>
        </w:tc>
        <w:tc>
          <w:tcPr>
            <w:tcW w:w="1134" w:type="dxa"/>
            <w:shd w:val="clear" w:color="auto" w:fill="auto"/>
            <w:noWrap/>
            <w:vAlign w:val="bottom"/>
          </w:tcPr>
          <w:p w:rsidR="005E34F9" w:rsidRPr="003D2F7A" w:rsidRDefault="005E34F9" w:rsidP="00FC0563">
            <w:pPr>
              <w:rPr>
                <w:rFonts w:ascii="Arial" w:hAnsi="Arial" w:cs="Arial"/>
                <w:highlight w:val="yellow"/>
                <w:lang w:eastAsia="en-GB"/>
              </w:rPr>
            </w:pPr>
          </w:p>
        </w:tc>
        <w:tc>
          <w:tcPr>
            <w:tcW w:w="1276" w:type="dxa"/>
            <w:shd w:val="clear" w:color="auto" w:fill="auto"/>
            <w:noWrap/>
            <w:vAlign w:val="bottom"/>
          </w:tcPr>
          <w:p w:rsidR="005E34F9" w:rsidRPr="00415179" w:rsidRDefault="005E34F9" w:rsidP="00FC0563">
            <w:pPr>
              <w:rPr>
                <w:rFonts w:ascii="Arial" w:hAnsi="Arial" w:cs="Arial"/>
                <w:lang w:eastAsia="en-GB"/>
              </w:rPr>
            </w:pPr>
          </w:p>
        </w:tc>
      </w:tr>
      <w:tr w:rsidR="009F2706" w:rsidRPr="003D2F7A" w:rsidTr="00B9204A">
        <w:trPr>
          <w:trHeight w:val="141"/>
        </w:trPr>
        <w:tc>
          <w:tcPr>
            <w:tcW w:w="5775" w:type="dxa"/>
            <w:shd w:val="clear" w:color="auto" w:fill="auto"/>
            <w:noWrap/>
            <w:vAlign w:val="bottom"/>
          </w:tcPr>
          <w:p w:rsidR="009F2706" w:rsidRPr="003D2F7A" w:rsidRDefault="009F2706" w:rsidP="00FC0563">
            <w:pPr>
              <w:rPr>
                <w:rFonts w:ascii="Arial" w:hAnsi="Arial" w:cs="Arial"/>
                <w:highlight w:val="yellow"/>
                <w:lang w:eastAsia="en-GB"/>
              </w:rPr>
            </w:pPr>
          </w:p>
        </w:tc>
        <w:tc>
          <w:tcPr>
            <w:tcW w:w="772" w:type="dxa"/>
            <w:shd w:val="clear" w:color="auto" w:fill="auto"/>
            <w:noWrap/>
            <w:vAlign w:val="bottom"/>
          </w:tcPr>
          <w:p w:rsidR="009F2706" w:rsidRPr="004064FF" w:rsidRDefault="009F2706" w:rsidP="00FC0563">
            <w:pPr>
              <w:rPr>
                <w:rFonts w:ascii="Arial" w:hAnsi="Arial" w:cs="Arial"/>
                <w:lang w:eastAsia="en-GB"/>
              </w:rPr>
            </w:pPr>
          </w:p>
        </w:tc>
        <w:tc>
          <w:tcPr>
            <w:tcW w:w="1134" w:type="dxa"/>
            <w:shd w:val="clear" w:color="auto" w:fill="auto"/>
            <w:noWrap/>
            <w:vAlign w:val="bottom"/>
          </w:tcPr>
          <w:p w:rsidR="009F2706" w:rsidRPr="003D2F7A" w:rsidRDefault="009F2706" w:rsidP="00FC0563">
            <w:pPr>
              <w:rPr>
                <w:rFonts w:ascii="Arial" w:hAnsi="Arial" w:cs="Arial"/>
                <w:highlight w:val="yellow"/>
                <w:lang w:eastAsia="en-GB"/>
              </w:rPr>
            </w:pPr>
          </w:p>
        </w:tc>
        <w:tc>
          <w:tcPr>
            <w:tcW w:w="1276" w:type="dxa"/>
            <w:shd w:val="clear" w:color="auto" w:fill="auto"/>
            <w:noWrap/>
            <w:vAlign w:val="bottom"/>
          </w:tcPr>
          <w:p w:rsidR="009F2706" w:rsidRPr="004252BF" w:rsidRDefault="009F2706" w:rsidP="00FC0563">
            <w:pPr>
              <w:rPr>
                <w:rFonts w:ascii="Arial" w:hAnsi="Arial" w:cs="Arial"/>
                <w:lang w:eastAsia="en-GB"/>
              </w:rPr>
            </w:pPr>
          </w:p>
        </w:tc>
      </w:tr>
      <w:tr w:rsidR="009F2706" w:rsidRPr="003D2F7A" w:rsidTr="00B9204A">
        <w:trPr>
          <w:trHeight w:val="255"/>
        </w:trPr>
        <w:tc>
          <w:tcPr>
            <w:tcW w:w="5775" w:type="dxa"/>
            <w:shd w:val="clear" w:color="auto" w:fill="auto"/>
            <w:noWrap/>
            <w:vAlign w:val="bottom"/>
          </w:tcPr>
          <w:p w:rsidR="009F2706" w:rsidRPr="00975CD6" w:rsidRDefault="009F2706" w:rsidP="00FC0563">
            <w:pPr>
              <w:rPr>
                <w:rFonts w:ascii="Arial" w:hAnsi="Arial" w:cs="Arial"/>
                <w:b/>
                <w:bCs/>
                <w:lang w:eastAsia="en-GB"/>
              </w:rPr>
            </w:pPr>
            <w:r w:rsidRPr="00975CD6">
              <w:rPr>
                <w:rFonts w:ascii="Arial" w:hAnsi="Arial" w:cs="Arial"/>
                <w:b/>
                <w:bCs/>
                <w:lang w:eastAsia="en-GB"/>
              </w:rPr>
              <w:t>Returns on investments</w:t>
            </w:r>
          </w:p>
        </w:tc>
        <w:tc>
          <w:tcPr>
            <w:tcW w:w="772" w:type="dxa"/>
            <w:shd w:val="clear" w:color="auto" w:fill="auto"/>
            <w:noWrap/>
            <w:vAlign w:val="bottom"/>
          </w:tcPr>
          <w:p w:rsidR="009F2706" w:rsidRPr="004064FF" w:rsidRDefault="009F2706" w:rsidP="00FC0563">
            <w:pPr>
              <w:rPr>
                <w:rFonts w:ascii="Arial" w:hAnsi="Arial" w:cs="Arial"/>
                <w:lang w:eastAsia="en-GB"/>
              </w:rPr>
            </w:pPr>
          </w:p>
        </w:tc>
        <w:tc>
          <w:tcPr>
            <w:tcW w:w="1134" w:type="dxa"/>
            <w:shd w:val="clear" w:color="auto" w:fill="auto"/>
            <w:noWrap/>
            <w:vAlign w:val="bottom"/>
          </w:tcPr>
          <w:p w:rsidR="009F2706" w:rsidRPr="00975CD6" w:rsidRDefault="009F2706" w:rsidP="00FC0563">
            <w:pPr>
              <w:rPr>
                <w:rFonts w:ascii="Arial" w:hAnsi="Arial" w:cs="Arial"/>
                <w:lang w:eastAsia="en-GB"/>
              </w:rPr>
            </w:pPr>
          </w:p>
        </w:tc>
        <w:tc>
          <w:tcPr>
            <w:tcW w:w="1276" w:type="dxa"/>
            <w:shd w:val="clear" w:color="auto" w:fill="auto"/>
            <w:noWrap/>
            <w:vAlign w:val="bottom"/>
          </w:tcPr>
          <w:p w:rsidR="009F2706" w:rsidRPr="004252BF" w:rsidRDefault="009F2706" w:rsidP="00FC0563">
            <w:pPr>
              <w:rPr>
                <w:rFonts w:ascii="Arial" w:hAnsi="Arial" w:cs="Arial"/>
                <w:lang w:eastAsia="en-GB"/>
              </w:rPr>
            </w:pPr>
          </w:p>
        </w:tc>
      </w:tr>
      <w:tr w:rsidR="009F2706" w:rsidRPr="003D2F7A" w:rsidTr="00B9204A">
        <w:trPr>
          <w:trHeight w:val="255"/>
        </w:trPr>
        <w:tc>
          <w:tcPr>
            <w:tcW w:w="5775" w:type="dxa"/>
            <w:shd w:val="clear" w:color="auto" w:fill="auto"/>
            <w:noWrap/>
            <w:vAlign w:val="bottom"/>
          </w:tcPr>
          <w:p w:rsidR="009F2706" w:rsidRPr="00975CD6" w:rsidRDefault="009F2706" w:rsidP="00FC0563">
            <w:pPr>
              <w:rPr>
                <w:rFonts w:ascii="Arial" w:hAnsi="Arial" w:cs="Arial"/>
                <w:lang w:eastAsia="en-GB"/>
              </w:rPr>
            </w:pPr>
          </w:p>
        </w:tc>
        <w:tc>
          <w:tcPr>
            <w:tcW w:w="772" w:type="dxa"/>
            <w:shd w:val="clear" w:color="auto" w:fill="auto"/>
            <w:noWrap/>
            <w:vAlign w:val="bottom"/>
          </w:tcPr>
          <w:p w:rsidR="009F2706" w:rsidRPr="004064FF" w:rsidRDefault="009F2706" w:rsidP="00FC0563">
            <w:pPr>
              <w:rPr>
                <w:rFonts w:ascii="Arial" w:hAnsi="Arial" w:cs="Arial"/>
                <w:lang w:eastAsia="en-GB"/>
              </w:rPr>
            </w:pPr>
          </w:p>
        </w:tc>
        <w:tc>
          <w:tcPr>
            <w:tcW w:w="1134" w:type="dxa"/>
            <w:shd w:val="clear" w:color="auto" w:fill="auto"/>
            <w:noWrap/>
            <w:vAlign w:val="bottom"/>
          </w:tcPr>
          <w:p w:rsidR="009F2706" w:rsidRPr="00975CD6" w:rsidRDefault="009F2706" w:rsidP="00FC0563">
            <w:pPr>
              <w:rPr>
                <w:rFonts w:ascii="Arial" w:hAnsi="Arial" w:cs="Arial"/>
                <w:lang w:eastAsia="en-GB"/>
              </w:rPr>
            </w:pPr>
          </w:p>
        </w:tc>
        <w:tc>
          <w:tcPr>
            <w:tcW w:w="1276" w:type="dxa"/>
            <w:shd w:val="clear" w:color="auto" w:fill="auto"/>
            <w:noWrap/>
            <w:vAlign w:val="bottom"/>
          </w:tcPr>
          <w:p w:rsidR="009F2706" w:rsidRPr="004252BF" w:rsidRDefault="009F2706" w:rsidP="00FC0563">
            <w:pPr>
              <w:rPr>
                <w:rFonts w:ascii="Arial" w:hAnsi="Arial" w:cs="Arial"/>
                <w:lang w:eastAsia="en-GB"/>
              </w:rPr>
            </w:pPr>
          </w:p>
        </w:tc>
      </w:tr>
      <w:tr w:rsidR="009F2706" w:rsidRPr="003D2F7A" w:rsidTr="00B9204A">
        <w:trPr>
          <w:trHeight w:val="255"/>
        </w:trPr>
        <w:tc>
          <w:tcPr>
            <w:tcW w:w="5775" w:type="dxa"/>
            <w:shd w:val="clear" w:color="auto" w:fill="auto"/>
            <w:noWrap/>
            <w:vAlign w:val="bottom"/>
          </w:tcPr>
          <w:p w:rsidR="009F2706" w:rsidRPr="00975CD6" w:rsidRDefault="009F2706" w:rsidP="00FC0563">
            <w:pPr>
              <w:rPr>
                <w:rFonts w:ascii="Arial" w:hAnsi="Arial" w:cs="Arial"/>
                <w:lang w:eastAsia="en-GB"/>
              </w:rPr>
            </w:pPr>
            <w:r w:rsidRPr="00975CD6">
              <w:rPr>
                <w:rFonts w:ascii="Arial" w:hAnsi="Arial" w:cs="Arial"/>
                <w:lang w:eastAsia="en-GB"/>
              </w:rPr>
              <w:t xml:space="preserve">   In</w:t>
            </w:r>
            <w:r w:rsidR="005E34F9" w:rsidRPr="00975CD6">
              <w:rPr>
                <w:rFonts w:ascii="Arial" w:hAnsi="Arial" w:cs="Arial"/>
                <w:lang w:eastAsia="en-GB"/>
              </w:rPr>
              <w:t>vestment income</w:t>
            </w:r>
          </w:p>
        </w:tc>
        <w:tc>
          <w:tcPr>
            <w:tcW w:w="772" w:type="dxa"/>
            <w:shd w:val="clear" w:color="auto" w:fill="auto"/>
            <w:noWrap/>
            <w:vAlign w:val="bottom"/>
          </w:tcPr>
          <w:p w:rsidR="009F2706" w:rsidRPr="004064FF" w:rsidRDefault="005E34F9" w:rsidP="00FC0563">
            <w:pPr>
              <w:rPr>
                <w:rFonts w:ascii="Arial" w:hAnsi="Arial" w:cs="Arial"/>
                <w:lang w:eastAsia="en-GB"/>
              </w:rPr>
            </w:pPr>
            <w:r w:rsidRPr="004064FF">
              <w:rPr>
                <w:rFonts w:ascii="Arial" w:hAnsi="Arial" w:cs="Arial"/>
                <w:lang w:eastAsia="en-GB"/>
              </w:rPr>
              <w:t>12</w:t>
            </w:r>
          </w:p>
        </w:tc>
        <w:tc>
          <w:tcPr>
            <w:tcW w:w="1134" w:type="dxa"/>
            <w:shd w:val="clear" w:color="auto" w:fill="auto"/>
            <w:noWrap/>
            <w:vAlign w:val="bottom"/>
          </w:tcPr>
          <w:p w:rsidR="009F2706" w:rsidRPr="00975CD6" w:rsidRDefault="00975CD6" w:rsidP="00FC0563">
            <w:pPr>
              <w:jc w:val="right"/>
              <w:rPr>
                <w:rFonts w:ascii="Arial" w:hAnsi="Arial" w:cs="Arial"/>
                <w:lang w:eastAsia="en-GB"/>
              </w:rPr>
            </w:pPr>
            <w:r w:rsidRPr="00975CD6">
              <w:rPr>
                <w:rFonts w:ascii="Arial" w:hAnsi="Arial" w:cs="Arial"/>
                <w:lang w:eastAsia="en-GB"/>
              </w:rPr>
              <w:t>(8,236)</w:t>
            </w:r>
          </w:p>
        </w:tc>
        <w:tc>
          <w:tcPr>
            <w:tcW w:w="1276" w:type="dxa"/>
            <w:shd w:val="clear" w:color="auto" w:fill="auto"/>
            <w:noWrap/>
            <w:vAlign w:val="bottom"/>
          </w:tcPr>
          <w:p w:rsidR="009F2706" w:rsidRPr="00415179" w:rsidRDefault="00A54CA6" w:rsidP="00FC0563">
            <w:pPr>
              <w:jc w:val="right"/>
              <w:rPr>
                <w:rFonts w:ascii="Arial" w:hAnsi="Arial" w:cs="Arial"/>
                <w:lang w:eastAsia="en-GB"/>
              </w:rPr>
            </w:pPr>
            <w:r w:rsidRPr="00415179">
              <w:rPr>
                <w:rFonts w:ascii="Arial" w:hAnsi="Arial" w:cs="Arial"/>
                <w:lang w:eastAsia="en-GB"/>
              </w:rPr>
              <w:t>(3,450)</w:t>
            </w:r>
          </w:p>
        </w:tc>
      </w:tr>
      <w:tr w:rsidR="009F2706" w:rsidRPr="003D2F7A" w:rsidTr="00B9204A">
        <w:trPr>
          <w:trHeight w:val="255"/>
        </w:trPr>
        <w:tc>
          <w:tcPr>
            <w:tcW w:w="5775" w:type="dxa"/>
            <w:shd w:val="clear" w:color="auto" w:fill="auto"/>
            <w:noWrap/>
            <w:vAlign w:val="bottom"/>
          </w:tcPr>
          <w:p w:rsidR="009F2706" w:rsidRPr="00975CD6" w:rsidRDefault="009F2706" w:rsidP="00FC0563">
            <w:pPr>
              <w:rPr>
                <w:rFonts w:ascii="Arial" w:hAnsi="Arial" w:cs="Arial"/>
                <w:lang w:eastAsia="en-GB"/>
              </w:rPr>
            </w:pPr>
            <w:r w:rsidRPr="00975CD6">
              <w:rPr>
                <w:rFonts w:ascii="Arial" w:hAnsi="Arial" w:cs="Arial"/>
                <w:lang w:eastAsia="en-GB"/>
              </w:rPr>
              <w:t xml:space="preserve">   </w:t>
            </w:r>
            <w:r w:rsidR="00B71BE2">
              <w:rPr>
                <w:rFonts w:ascii="Arial" w:hAnsi="Arial" w:cs="Arial"/>
                <w:lang w:eastAsia="en-GB"/>
              </w:rPr>
              <w:t>(</w:t>
            </w:r>
            <w:r w:rsidR="005E34F9" w:rsidRPr="00975CD6">
              <w:rPr>
                <w:rFonts w:ascii="Arial" w:hAnsi="Arial" w:cs="Arial"/>
                <w:lang w:eastAsia="en-GB"/>
              </w:rPr>
              <w:t>Profit</w:t>
            </w:r>
            <w:r w:rsidR="00386163">
              <w:rPr>
                <w:rFonts w:ascii="Arial" w:hAnsi="Arial" w:cs="Arial"/>
                <w:lang w:eastAsia="en-GB"/>
              </w:rPr>
              <w:t>s</w:t>
            </w:r>
            <w:r w:rsidR="00B71BE2">
              <w:rPr>
                <w:rFonts w:ascii="Arial" w:hAnsi="Arial" w:cs="Arial"/>
                <w:lang w:eastAsia="en-GB"/>
              </w:rPr>
              <w:t>)</w:t>
            </w:r>
            <w:r w:rsidR="005E34F9" w:rsidRPr="00975CD6">
              <w:rPr>
                <w:rFonts w:ascii="Arial" w:hAnsi="Arial" w:cs="Arial"/>
                <w:lang w:eastAsia="en-GB"/>
              </w:rPr>
              <w:t xml:space="preserve"> and losses on disposal of investments and</w:t>
            </w:r>
          </w:p>
          <w:p w:rsidR="005E34F9" w:rsidRPr="00975CD6" w:rsidRDefault="005E34F9" w:rsidP="00FC0563">
            <w:pPr>
              <w:rPr>
                <w:rFonts w:ascii="Arial" w:hAnsi="Arial" w:cs="Arial"/>
                <w:lang w:eastAsia="en-GB"/>
              </w:rPr>
            </w:pPr>
            <w:r w:rsidRPr="00975CD6">
              <w:rPr>
                <w:rFonts w:ascii="Arial" w:hAnsi="Arial" w:cs="Arial"/>
                <w:lang w:eastAsia="en-GB"/>
              </w:rPr>
              <w:t xml:space="preserve">   changes in the market value of investments </w:t>
            </w:r>
          </w:p>
        </w:tc>
        <w:tc>
          <w:tcPr>
            <w:tcW w:w="772" w:type="dxa"/>
            <w:shd w:val="clear" w:color="auto" w:fill="auto"/>
            <w:noWrap/>
            <w:vAlign w:val="bottom"/>
          </w:tcPr>
          <w:p w:rsidR="009F2706" w:rsidRPr="004064FF" w:rsidRDefault="005E34F9" w:rsidP="007F26B2">
            <w:pPr>
              <w:rPr>
                <w:rFonts w:ascii="Arial" w:hAnsi="Arial" w:cs="Arial"/>
                <w:lang w:eastAsia="en-GB"/>
              </w:rPr>
            </w:pPr>
            <w:r w:rsidRPr="004064FF">
              <w:rPr>
                <w:rFonts w:ascii="Arial" w:hAnsi="Arial" w:cs="Arial"/>
                <w:lang w:eastAsia="en-GB"/>
              </w:rPr>
              <w:t>1</w:t>
            </w:r>
            <w:r w:rsidR="007F26B2">
              <w:rPr>
                <w:rFonts w:ascii="Arial" w:hAnsi="Arial" w:cs="Arial"/>
                <w:lang w:eastAsia="en-GB"/>
              </w:rPr>
              <w:t>4</w:t>
            </w:r>
            <w:r w:rsidRPr="004064FF">
              <w:rPr>
                <w:rFonts w:ascii="Arial" w:hAnsi="Arial" w:cs="Arial"/>
                <w:lang w:eastAsia="en-GB"/>
              </w:rPr>
              <w:t>a</w:t>
            </w:r>
          </w:p>
        </w:tc>
        <w:tc>
          <w:tcPr>
            <w:tcW w:w="1134" w:type="dxa"/>
            <w:shd w:val="clear" w:color="auto" w:fill="auto"/>
            <w:noWrap/>
            <w:vAlign w:val="bottom"/>
          </w:tcPr>
          <w:p w:rsidR="009F2706" w:rsidRPr="00975CD6" w:rsidRDefault="00975CD6" w:rsidP="00FC0563">
            <w:pPr>
              <w:jc w:val="right"/>
              <w:rPr>
                <w:rFonts w:ascii="Arial" w:hAnsi="Arial" w:cs="Arial"/>
                <w:lang w:eastAsia="en-GB"/>
              </w:rPr>
            </w:pPr>
            <w:r w:rsidRPr="00975CD6">
              <w:rPr>
                <w:rFonts w:ascii="Arial" w:hAnsi="Arial" w:cs="Arial"/>
                <w:lang w:eastAsia="en-GB"/>
              </w:rPr>
              <w:t>7,477</w:t>
            </w:r>
          </w:p>
        </w:tc>
        <w:tc>
          <w:tcPr>
            <w:tcW w:w="1276" w:type="dxa"/>
            <w:shd w:val="clear" w:color="auto" w:fill="auto"/>
            <w:noWrap/>
            <w:vAlign w:val="bottom"/>
          </w:tcPr>
          <w:p w:rsidR="009F2706" w:rsidRPr="00415179" w:rsidRDefault="007941BD" w:rsidP="00FC0563">
            <w:pPr>
              <w:jc w:val="right"/>
              <w:rPr>
                <w:rFonts w:ascii="Arial" w:hAnsi="Arial" w:cs="Arial"/>
                <w:lang w:eastAsia="en-GB"/>
              </w:rPr>
            </w:pPr>
            <w:r w:rsidRPr="00415179">
              <w:rPr>
                <w:rFonts w:ascii="Arial" w:hAnsi="Arial" w:cs="Arial"/>
                <w:lang w:eastAsia="en-GB"/>
              </w:rPr>
              <w:t>(</w:t>
            </w:r>
            <w:r w:rsidR="00EC2B20" w:rsidRPr="00415179">
              <w:rPr>
                <w:rFonts w:ascii="Arial" w:hAnsi="Arial" w:cs="Arial"/>
                <w:lang w:eastAsia="en-GB"/>
              </w:rPr>
              <w:t>45,240</w:t>
            </w:r>
            <w:r w:rsidRPr="00415179">
              <w:rPr>
                <w:rFonts w:ascii="Arial" w:hAnsi="Arial" w:cs="Arial"/>
                <w:lang w:eastAsia="en-GB"/>
              </w:rPr>
              <w:t>)</w:t>
            </w:r>
          </w:p>
        </w:tc>
      </w:tr>
      <w:tr w:rsidR="009F2706" w:rsidRPr="003D2F7A" w:rsidTr="00B9204A">
        <w:trPr>
          <w:trHeight w:val="255"/>
        </w:trPr>
        <w:tc>
          <w:tcPr>
            <w:tcW w:w="5775" w:type="dxa"/>
            <w:shd w:val="clear" w:color="auto" w:fill="auto"/>
            <w:noWrap/>
            <w:vAlign w:val="bottom"/>
          </w:tcPr>
          <w:p w:rsidR="009F2706" w:rsidRPr="00975CD6" w:rsidRDefault="009F2706" w:rsidP="00FC0563">
            <w:pPr>
              <w:rPr>
                <w:rFonts w:ascii="Arial" w:hAnsi="Arial" w:cs="Arial"/>
                <w:lang w:eastAsia="en-GB"/>
              </w:rPr>
            </w:pPr>
            <w:r w:rsidRPr="00975CD6">
              <w:rPr>
                <w:rFonts w:ascii="Arial" w:hAnsi="Arial" w:cs="Arial"/>
                <w:lang w:eastAsia="en-GB"/>
              </w:rPr>
              <w:t xml:space="preserve">   </w:t>
            </w:r>
            <w:r w:rsidR="005E34F9" w:rsidRPr="00975CD6">
              <w:rPr>
                <w:rFonts w:ascii="Arial" w:hAnsi="Arial" w:cs="Arial"/>
                <w:lang w:eastAsia="en-GB"/>
              </w:rPr>
              <w:t>Investment management expenses</w:t>
            </w:r>
          </w:p>
        </w:tc>
        <w:tc>
          <w:tcPr>
            <w:tcW w:w="772" w:type="dxa"/>
            <w:shd w:val="clear" w:color="auto" w:fill="auto"/>
            <w:noWrap/>
            <w:vAlign w:val="bottom"/>
          </w:tcPr>
          <w:p w:rsidR="009F2706" w:rsidRPr="004064FF" w:rsidRDefault="005E34F9" w:rsidP="00FC0563">
            <w:pPr>
              <w:rPr>
                <w:rFonts w:ascii="Arial" w:hAnsi="Arial" w:cs="Arial"/>
                <w:lang w:eastAsia="en-GB"/>
              </w:rPr>
            </w:pPr>
            <w:r w:rsidRPr="004064FF">
              <w:rPr>
                <w:rFonts w:ascii="Arial" w:hAnsi="Arial" w:cs="Arial"/>
                <w:lang w:eastAsia="en-GB"/>
              </w:rPr>
              <w:t>1</w:t>
            </w:r>
            <w:r w:rsidR="007F26B2">
              <w:rPr>
                <w:rFonts w:ascii="Arial" w:hAnsi="Arial" w:cs="Arial"/>
                <w:lang w:eastAsia="en-GB"/>
              </w:rPr>
              <w:t>3</w:t>
            </w:r>
          </w:p>
        </w:tc>
        <w:tc>
          <w:tcPr>
            <w:tcW w:w="1134" w:type="dxa"/>
            <w:shd w:val="clear" w:color="auto" w:fill="auto"/>
            <w:noWrap/>
            <w:vAlign w:val="bottom"/>
          </w:tcPr>
          <w:p w:rsidR="009F2706" w:rsidRPr="00975CD6" w:rsidRDefault="00975CD6" w:rsidP="00FC0563">
            <w:pPr>
              <w:jc w:val="right"/>
              <w:rPr>
                <w:rFonts w:ascii="Arial" w:hAnsi="Arial" w:cs="Arial"/>
                <w:lang w:eastAsia="en-GB"/>
              </w:rPr>
            </w:pPr>
            <w:r w:rsidRPr="00975CD6">
              <w:rPr>
                <w:rFonts w:ascii="Arial" w:hAnsi="Arial" w:cs="Arial"/>
                <w:lang w:eastAsia="en-GB"/>
              </w:rPr>
              <w:t>2,599</w:t>
            </w:r>
          </w:p>
        </w:tc>
        <w:tc>
          <w:tcPr>
            <w:tcW w:w="1276" w:type="dxa"/>
            <w:shd w:val="clear" w:color="auto" w:fill="auto"/>
            <w:noWrap/>
            <w:vAlign w:val="bottom"/>
          </w:tcPr>
          <w:p w:rsidR="009F2706" w:rsidRPr="00415179" w:rsidRDefault="007941BD" w:rsidP="00FC0563">
            <w:pPr>
              <w:jc w:val="right"/>
              <w:rPr>
                <w:rFonts w:ascii="Arial" w:hAnsi="Arial" w:cs="Arial"/>
                <w:lang w:eastAsia="en-GB"/>
              </w:rPr>
            </w:pPr>
            <w:r w:rsidRPr="00415179">
              <w:rPr>
                <w:rFonts w:ascii="Arial" w:hAnsi="Arial" w:cs="Arial"/>
                <w:lang w:eastAsia="en-GB"/>
              </w:rPr>
              <w:t>1,</w:t>
            </w:r>
            <w:r w:rsidR="006A786A" w:rsidRPr="00415179">
              <w:rPr>
                <w:rFonts w:ascii="Arial" w:hAnsi="Arial" w:cs="Arial"/>
                <w:lang w:eastAsia="en-GB"/>
              </w:rPr>
              <w:t>4</w:t>
            </w:r>
            <w:r w:rsidR="004C633A" w:rsidRPr="00415179">
              <w:rPr>
                <w:rFonts w:ascii="Arial" w:hAnsi="Arial" w:cs="Arial"/>
                <w:lang w:eastAsia="en-GB"/>
              </w:rPr>
              <w:t>38</w:t>
            </w:r>
          </w:p>
        </w:tc>
      </w:tr>
      <w:tr w:rsidR="005E34F9" w:rsidRPr="003D2F7A" w:rsidTr="00B9204A">
        <w:trPr>
          <w:trHeight w:val="255"/>
        </w:trPr>
        <w:tc>
          <w:tcPr>
            <w:tcW w:w="5775" w:type="dxa"/>
            <w:shd w:val="clear" w:color="auto" w:fill="auto"/>
            <w:noWrap/>
            <w:vAlign w:val="bottom"/>
          </w:tcPr>
          <w:p w:rsidR="005E34F9" w:rsidRPr="00975CD6" w:rsidRDefault="005E34F9" w:rsidP="00FC0563">
            <w:pPr>
              <w:rPr>
                <w:rFonts w:ascii="Arial" w:hAnsi="Arial" w:cs="Arial"/>
                <w:b/>
                <w:bCs/>
                <w:lang w:eastAsia="en-GB"/>
              </w:rPr>
            </w:pPr>
          </w:p>
        </w:tc>
        <w:tc>
          <w:tcPr>
            <w:tcW w:w="772" w:type="dxa"/>
            <w:shd w:val="clear" w:color="auto" w:fill="auto"/>
            <w:noWrap/>
            <w:vAlign w:val="bottom"/>
          </w:tcPr>
          <w:p w:rsidR="005E34F9" w:rsidRPr="00975CD6" w:rsidRDefault="005E34F9" w:rsidP="00FC0563">
            <w:pPr>
              <w:rPr>
                <w:rFonts w:ascii="Arial" w:hAnsi="Arial" w:cs="Arial"/>
                <w:lang w:eastAsia="en-GB"/>
              </w:rPr>
            </w:pPr>
          </w:p>
        </w:tc>
        <w:tc>
          <w:tcPr>
            <w:tcW w:w="1134" w:type="dxa"/>
            <w:shd w:val="clear" w:color="auto" w:fill="auto"/>
            <w:noWrap/>
            <w:vAlign w:val="bottom"/>
          </w:tcPr>
          <w:p w:rsidR="005E34F9" w:rsidRPr="00975CD6" w:rsidRDefault="005E34F9" w:rsidP="00FC0563">
            <w:pPr>
              <w:jc w:val="right"/>
              <w:rPr>
                <w:rFonts w:ascii="Arial" w:hAnsi="Arial" w:cs="Arial"/>
                <w:b/>
                <w:bCs/>
                <w:lang w:eastAsia="en-GB"/>
              </w:rPr>
            </w:pPr>
          </w:p>
        </w:tc>
        <w:tc>
          <w:tcPr>
            <w:tcW w:w="1276" w:type="dxa"/>
            <w:shd w:val="clear" w:color="auto" w:fill="auto"/>
            <w:noWrap/>
            <w:vAlign w:val="bottom"/>
          </w:tcPr>
          <w:p w:rsidR="005E34F9" w:rsidRPr="00415179" w:rsidRDefault="005E34F9" w:rsidP="00FC0563">
            <w:pPr>
              <w:jc w:val="right"/>
              <w:rPr>
                <w:rFonts w:ascii="Arial" w:hAnsi="Arial" w:cs="Arial"/>
                <w:b/>
                <w:bCs/>
                <w:lang w:eastAsia="en-GB"/>
              </w:rPr>
            </w:pPr>
          </w:p>
        </w:tc>
      </w:tr>
      <w:tr w:rsidR="009F2706" w:rsidRPr="003D2F7A" w:rsidTr="00B9204A">
        <w:trPr>
          <w:trHeight w:val="255"/>
        </w:trPr>
        <w:tc>
          <w:tcPr>
            <w:tcW w:w="5775" w:type="dxa"/>
            <w:shd w:val="clear" w:color="auto" w:fill="auto"/>
            <w:noWrap/>
            <w:vAlign w:val="bottom"/>
          </w:tcPr>
          <w:p w:rsidR="009F2706" w:rsidRPr="00975CD6" w:rsidRDefault="005E34F9" w:rsidP="00FC0563">
            <w:pPr>
              <w:rPr>
                <w:rFonts w:ascii="Arial" w:hAnsi="Arial" w:cs="Arial"/>
                <w:b/>
                <w:bCs/>
                <w:lang w:eastAsia="en-GB"/>
              </w:rPr>
            </w:pPr>
            <w:r w:rsidRPr="00975CD6">
              <w:rPr>
                <w:rFonts w:ascii="Arial" w:hAnsi="Arial" w:cs="Arial"/>
                <w:b/>
                <w:bCs/>
                <w:lang w:eastAsia="en-GB"/>
              </w:rPr>
              <w:t>Net return</w:t>
            </w:r>
            <w:r w:rsidR="009F2706" w:rsidRPr="00975CD6">
              <w:rPr>
                <w:rFonts w:ascii="Arial" w:hAnsi="Arial" w:cs="Arial"/>
                <w:b/>
                <w:bCs/>
                <w:lang w:eastAsia="en-GB"/>
              </w:rPr>
              <w:t xml:space="preserve"> on investments</w:t>
            </w:r>
          </w:p>
        </w:tc>
        <w:tc>
          <w:tcPr>
            <w:tcW w:w="772" w:type="dxa"/>
            <w:shd w:val="clear" w:color="auto" w:fill="auto"/>
            <w:noWrap/>
            <w:vAlign w:val="bottom"/>
          </w:tcPr>
          <w:p w:rsidR="009F2706" w:rsidRPr="00975CD6" w:rsidRDefault="009F2706" w:rsidP="00FC0563">
            <w:pPr>
              <w:rPr>
                <w:rFonts w:ascii="Arial" w:hAnsi="Arial" w:cs="Arial"/>
                <w:lang w:eastAsia="en-GB"/>
              </w:rPr>
            </w:pPr>
          </w:p>
        </w:tc>
        <w:tc>
          <w:tcPr>
            <w:tcW w:w="1134" w:type="dxa"/>
            <w:shd w:val="clear" w:color="auto" w:fill="auto"/>
            <w:noWrap/>
            <w:vAlign w:val="bottom"/>
          </w:tcPr>
          <w:p w:rsidR="009F2706" w:rsidRPr="00975CD6" w:rsidRDefault="00975CD6" w:rsidP="00FC0563">
            <w:pPr>
              <w:jc w:val="right"/>
              <w:rPr>
                <w:rFonts w:ascii="Arial" w:hAnsi="Arial" w:cs="Arial"/>
                <w:b/>
                <w:bCs/>
                <w:lang w:eastAsia="en-GB"/>
              </w:rPr>
            </w:pPr>
            <w:r w:rsidRPr="00975CD6">
              <w:rPr>
                <w:rFonts w:ascii="Arial" w:hAnsi="Arial" w:cs="Arial"/>
                <w:b/>
                <w:bCs/>
                <w:lang w:eastAsia="en-GB"/>
              </w:rPr>
              <w:t>1,840</w:t>
            </w:r>
          </w:p>
        </w:tc>
        <w:tc>
          <w:tcPr>
            <w:tcW w:w="1276" w:type="dxa"/>
            <w:shd w:val="clear" w:color="auto" w:fill="auto"/>
            <w:noWrap/>
            <w:vAlign w:val="bottom"/>
          </w:tcPr>
          <w:p w:rsidR="009F2706" w:rsidRPr="00415179" w:rsidRDefault="004252BF" w:rsidP="00FC0563">
            <w:pPr>
              <w:jc w:val="right"/>
              <w:rPr>
                <w:rFonts w:ascii="Arial" w:hAnsi="Arial" w:cs="Arial"/>
                <w:b/>
                <w:bCs/>
                <w:lang w:eastAsia="en-GB"/>
              </w:rPr>
            </w:pPr>
            <w:r w:rsidRPr="00415179">
              <w:rPr>
                <w:rFonts w:ascii="Arial" w:hAnsi="Arial" w:cs="Arial"/>
                <w:b/>
                <w:bCs/>
                <w:lang w:eastAsia="en-GB"/>
              </w:rPr>
              <w:t>(</w:t>
            </w:r>
            <w:r w:rsidR="00415179" w:rsidRPr="00415179">
              <w:rPr>
                <w:rFonts w:ascii="Arial" w:hAnsi="Arial" w:cs="Arial"/>
                <w:b/>
                <w:bCs/>
                <w:lang w:eastAsia="en-GB"/>
              </w:rPr>
              <w:t>47,252</w:t>
            </w:r>
            <w:r w:rsidRPr="00415179">
              <w:rPr>
                <w:rFonts w:ascii="Arial" w:hAnsi="Arial" w:cs="Arial"/>
                <w:b/>
                <w:bCs/>
                <w:lang w:eastAsia="en-GB"/>
              </w:rPr>
              <w:t>)</w:t>
            </w:r>
          </w:p>
        </w:tc>
      </w:tr>
      <w:tr w:rsidR="00CD4843" w:rsidRPr="003D2F7A" w:rsidTr="00B9204A">
        <w:trPr>
          <w:trHeight w:val="255"/>
        </w:trPr>
        <w:tc>
          <w:tcPr>
            <w:tcW w:w="5775" w:type="dxa"/>
            <w:shd w:val="clear" w:color="auto" w:fill="auto"/>
            <w:noWrap/>
            <w:vAlign w:val="bottom"/>
          </w:tcPr>
          <w:p w:rsidR="00CD4843" w:rsidRPr="00975CD6" w:rsidRDefault="00CD4843" w:rsidP="00FC0563">
            <w:pPr>
              <w:rPr>
                <w:rFonts w:ascii="Arial" w:hAnsi="Arial" w:cs="Arial"/>
                <w:bCs/>
                <w:lang w:eastAsia="en-GB"/>
              </w:rPr>
            </w:pPr>
          </w:p>
        </w:tc>
        <w:tc>
          <w:tcPr>
            <w:tcW w:w="772" w:type="dxa"/>
            <w:shd w:val="clear" w:color="auto" w:fill="auto"/>
            <w:noWrap/>
            <w:vAlign w:val="bottom"/>
          </w:tcPr>
          <w:p w:rsidR="00CD4843" w:rsidRPr="00975CD6" w:rsidRDefault="00CD4843" w:rsidP="00FC0563">
            <w:pPr>
              <w:rPr>
                <w:rFonts w:ascii="Arial" w:hAnsi="Arial" w:cs="Arial"/>
                <w:lang w:eastAsia="en-GB"/>
              </w:rPr>
            </w:pPr>
          </w:p>
        </w:tc>
        <w:tc>
          <w:tcPr>
            <w:tcW w:w="1134" w:type="dxa"/>
            <w:shd w:val="clear" w:color="auto" w:fill="auto"/>
            <w:noWrap/>
            <w:vAlign w:val="bottom"/>
          </w:tcPr>
          <w:p w:rsidR="00CD4843" w:rsidRPr="00975CD6" w:rsidRDefault="00CD4843" w:rsidP="00FC0563">
            <w:pPr>
              <w:jc w:val="right"/>
              <w:rPr>
                <w:rFonts w:ascii="Arial" w:hAnsi="Arial" w:cs="Arial"/>
                <w:lang w:eastAsia="en-GB"/>
              </w:rPr>
            </w:pPr>
          </w:p>
        </w:tc>
        <w:tc>
          <w:tcPr>
            <w:tcW w:w="1276" w:type="dxa"/>
            <w:shd w:val="clear" w:color="auto" w:fill="auto"/>
            <w:noWrap/>
            <w:vAlign w:val="bottom"/>
          </w:tcPr>
          <w:p w:rsidR="00CD4843" w:rsidRPr="00415179" w:rsidRDefault="00CD4843" w:rsidP="00FC0563">
            <w:pPr>
              <w:jc w:val="right"/>
              <w:rPr>
                <w:rFonts w:ascii="Arial" w:hAnsi="Arial" w:cs="Arial"/>
                <w:lang w:eastAsia="en-GB"/>
              </w:rPr>
            </w:pPr>
          </w:p>
        </w:tc>
      </w:tr>
      <w:tr w:rsidR="00241C5D" w:rsidRPr="003D2F7A" w:rsidTr="00B9204A">
        <w:trPr>
          <w:trHeight w:val="255"/>
        </w:trPr>
        <w:tc>
          <w:tcPr>
            <w:tcW w:w="5775" w:type="dxa"/>
            <w:shd w:val="clear" w:color="auto" w:fill="auto"/>
            <w:noWrap/>
            <w:vAlign w:val="bottom"/>
          </w:tcPr>
          <w:p w:rsidR="00241C5D" w:rsidRPr="00975CD6" w:rsidRDefault="00695525" w:rsidP="00FC0563">
            <w:pPr>
              <w:rPr>
                <w:rFonts w:ascii="Arial" w:hAnsi="Arial" w:cs="Arial"/>
                <w:bCs/>
                <w:lang w:eastAsia="en-GB"/>
              </w:rPr>
            </w:pPr>
            <w:r w:rsidRPr="00975CD6">
              <w:rPr>
                <w:rFonts w:ascii="Arial" w:hAnsi="Arial" w:cs="Arial"/>
                <w:b/>
                <w:bCs/>
                <w:lang w:eastAsia="en-GB"/>
              </w:rPr>
              <w:t xml:space="preserve">Net </w:t>
            </w:r>
            <w:r w:rsidR="00975CD6" w:rsidRPr="00975CD6">
              <w:rPr>
                <w:rFonts w:ascii="Arial" w:hAnsi="Arial" w:cs="Arial"/>
                <w:b/>
                <w:bCs/>
                <w:lang w:eastAsia="en-GB"/>
              </w:rPr>
              <w:t>(</w:t>
            </w:r>
            <w:r w:rsidRPr="00975CD6">
              <w:rPr>
                <w:rFonts w:ascii="Arial" w:hAnsi="Arial" w:cs="Arial"/>
                <w:b/>
                <w:bCs/>
                <w:lang w:eastAsia="en-GB"/>
              </w:rPr>
              <w:t>increase</w:t>
            </w:r>
            <w:r w:rsidR="00975CD6" w:rsidRPr="00975CD6">
              <w:rPr>
                <w:rFonts w:ascii="Arial" w:hAnsi="Arial" w:cs="Arial"/>
                <w:b/>
                <w:bCs/>
                <w:lang w:eastAsia="en-GB"/>
              </w:rPr>
              <w:t>)/decrease</w:t>
            </w:r>
            <w:r w:rsidR="00CD4843" w:rsidRPr="00975CD6">
              <w:rPr>
                <w:rFonts w:ascii="Arial" w:hAnsi="Arial" w:cs="Arial"/>
                <w:b/>
                <w:bCs/>
                <w:lang w:eastAsia="en-GB"/>
              </w:rPr>
              <w:t xml:space="preserve"> in the net assets</w:t>
            </w:r>
            <w:r w:rsidRPr="00975CD6">
              <w:rPr>
                <w:rFonts w:ascii="Arial" w:hAnsi="Arial" w:cs="Arial"/>
                <w:b/>
                <w:bCs/>
                <w:lang w:eastAsia="en-GB"/>
              </w:rPr>
              <w:t xml:space="preserve"> available</w:t>
            </w:r>
          </w:p>
        </w:tc>
        <w:tc>
          <w:tcPr>
            <w:tcW w:w="772" w:type="dxa"/>
            <w:shd w:val="clear" w:color="auto" w:fill="auto"/>
            <w:noWrap/>
            <w:vAlign w:val="bottom"/>
          </w:tcPr>
          <w:p w:rsidR="00241C5D" w:rsidRPr="00975CD6" w:rsidRDefault="00241C5D" w:rsidP="00FC0563">
            <w:pPr>
              <w:rPr>
                <w:rFonts w:ascii="Arial" w:hAnsi="Arial" w:cs="Arial"/>
                <w:lang w:eastAsia="en-GB"/>
              </w:rPr>
            </w:pPr>
          </w:p>
        </w:tc>
        <w:tc>
          <w:tcPr>
            <w:tcW w:w="1134" w:type="dxa"/>
            <w:shd w:val="clear" w:color="auto" w:fill="auto"/>
            <w:noWrap/>
            <w:vAlign w:val="bottom"/>
          </w:tcPr>
          <w:p w:rsidR="00241C5D" w:rsidRPr="00975CD6" w:rsidRDefault="00241C5D" w:rsidP="00FC0563">
            <w:pPr>
              <w:jc w:val="right"/>
              <w:rPr>
                <w:rFonts w:ascii="Arial" w:hAnsi="Arial" w:cs="Arial"/>
                <w:lang w:eastAsia="en-GB"/>
              </w:rPr>
            </w:pPr>
          </w:p>
        </w:tc>
        <w:tc>
          <w:tcPr>
            <w:tcW w:w="1276" w:type="dxa"/>
            <w:shd w:val="clear" w:color="auto" w:fill="auto"/>
            <w:noWrap/>
            <w:vAlign w:val="bottom"/>
          </w:tcPr>
          <w:p w:rsidR="00241C5D" w:rsidRPr="00415179" w:rsidRDefault="00241C5D" w:rsidP="00FC0563">
            <w:pPr>
              <w:jc w:val="right"/>
              <w:rPr>
                <w:rFonts w:ascii="Arial" w:hAnsi="Arial" w:cs="Arial"/>
                <w:lang w:eastAsia="en-GB"/>
              </w:rPr>
            </w:pPr>
          </w:p>
        </w:tc>
      </w:tr>
      <w:tr w:rsidR="009F2706" w:rsidRPr="003D2F7A" w:rsidTr="00B9204A">
        <w:trPr>
          <w:trHeight w:val="270"/>
        </w:trPr>
        <w:tc>
          <w:tcPr>
            <w:tcW w:w="5775" w:type="dxa"/>
            <w:shd w:val="clear" w:color="auto" w:fill="auto"/>
            <w:noWrap/>
            <w:vAlign w:val="bottom"/>
          </w:tcPr>
          <w:p w:rsidR="009F2706" w:rsidRPr="00975CD6" w:rsidRDefault="00996441" w:rsidP="00996441">
            <w:pPr>
              <w:rPr>
                <w:rFonts w:ascii="Arial" w:hAnsi="Arial" w:cs="Arial"/>
                <w:b/>
                <w:bCs/>
                <w:lang w:eastAsia="en-GB"/>
              </w:rPr>
            </w:pPr>
            <w:r w:rsidRPr="00975CD6">
              <w:rPr>
                <w:rFonts w:ascii="Arial" w:hAnsi="Arial" w:cs="Arial"/>
                <w:b/>
                <w:bCs/>
                <w:lang w:eastAsia="en-GB"/>
              </w:rPr>
              <w:t>for benefits during the year</w:t>
            </w:r>
          </w:p>
        </w:tc>
        <w:tc>
          <w:tcPr>
            <w:tcW w:w="772" w:type="dxa"/>
            <w:shd w:val="clear" w:color="auto" w:fill="auto"/>
            <w:noWrap/>
            <w:vAlign w:val="bottom"/>
          </w:tcPr>
          <w:p w:rsidR="009F2706" w:rsidRPr="00975CD6" w:rsidRDefault="009F2706" w:rsidP="00FC0563">
            <w:pPr>
              <w:rPr>
                <w:rFonts w:ascii="Arial" w:hAnsi="Arial" w:cs="Arial"/>
                <w:lang w:eastAsia="en-GB"/>
              </w:rPr>
            </w:pPr>
          </w:p>
        </w:tc>
        <w:tc>
          <w:tcPr>
            <w:tcW w:w="1134" w:type="dxa"/>
            <w:tcBorders>
              <w:top w:val="single" w:sz="4" w:space="0" w:color="auto"/>
              <w:bottom w:val="double" w:sz="4" w:space="0" w:color="auto"/>
            </w:tcBorders>
            <w:shd w:val="clear" w:color="auto" w:fill="auto"/>
            <w:noWrap/>
            <w:vAlign w:val="bottom"/>
          </w:tcPr>
          <w:p w:rsidR="009F2706" w:rsidRPr="00975CD6" w:rsidRDefault="00975CD6" w:rsidP="00FC0563">
            <w:pPr>
              <w:jc w:val="right"/>
              <w:rPr>
                <w:rFonts w:ascii="Arial" w:hAnsi="Arial" w:cs="Arial"/>
                <w:b/>
                <w:lang w:eastAsia="en-GB"/>
              </w:rPr>
            </w:pPr>
            <w:r w:rsidRPr="00975CD6">
              <w:rPr>
                <w:rFonts w:ascii="Arial" w:hAnsi="Arial" w:cs="Arial"/>
                <w:b/>
                <w:lang w:eastAsia="en-GB"/>
              </w:rPr>
              <w:t>(3,538)</w:t>
            </w:r>
          </w:p>
        </w:tc>
        <w:tc>
          <w:tcPr>
            <w:tcW w:w="1276" w:type="dxa"/>
            <w:tcBorders>
              <w:top w:val="single" w:sz="4" w:space="0" w:color="auto"/>
              <w:bottom w:val="double" w:sz="4" w:space="0" w:color="auto"/>
            </w:tcBorders>
            <w:shd w:val="clear" w:color="auto" w:fill="auto"/>
            <w:noWrap/>
            <w:vAlign w:val="bottom"/>
          </w:tcPr>
          <w:p w:rsidR="009F2706" w:rsidRPr="00415179" w:rsidRDefault="00EC2B20" w:rsidP="00FC0563">
            <w:pPr>
              <w:jc w:val="right"/>
              <w:rPr>
                <w:rFonts w:ascii="Arial" w:hAnsi="Arial" w:cs="Arial"/>
                <w:b/>
                <w:lang w:eastAsia="en-GB"/>
              </w:rPr>
            </w:pPr>
            <w:r w:rsidRPr="00415179">
              <w:rPr>
                <w:rFonts w:ascii="Arial" w:hAnsi="Arial" w:cs="Arial"/>
                <w:b/>
                <w:lang w:eastAsia="en-GB"/>
              </w:rPr>
              <w:t>(53,986</w:t>
            </w:r>
            <w:r w:rsidR="004252BF" w:rsidRPr="00415179">
              <w:rPr>
                <w:rFonts w:ascii="Arial" w:hAnsi="Arial" w:cs="Arial"/>
                <w:b/>
                <w:lang w:eastAsia="en-GB"/>
              </w:rPr>
              <w:t>)</w:t>
            </w:r>
          </w:p>
        </w:tc>
      </w:tr>
    </w:tbl>
    <w:p w:rsidR="00025C5D" w:rsidRPr="003D2F7A" w:rsidRDefault="00025C5D">
      <w:pPr>
        <w:rPr>
          <w:highlight w:val="yellow"/>
        </w:rPr>
      </w:pPr>
    </w:p>
    <w:p w:rsidR="00025C5D" w:rsidRPr="003D2F7A" w:rsidRDefault="00025C5D">
      <w:pPr>
        <w:rPr>
          <w:highlight w:val="yellow"/>
        </w:rPr>
      </w:pPr>
    </w:p>
    <w:p w:rsidR="00241C5D" w:rsidRPr="003D2F7A" w:rsidRDefault="00241C5D">
      <w:pPr>
        <w:rPr>
          <w:rFonts w:ascii="Arial" w:hAnsi="Arial" w:cs="Arial"/>
          <w:highlight w:val="yellow"/>
        </w:rPr>
      </w:pPr>
    </w:p>
    <w:tbl>
      <w:tblPr>
        <w:tblW w:w="8895" w:type="dxa"/>
        <w:tblInd w:w="93" w:type="dxa"/>
        <w:tblLook w:val="0000" w:firstRow="0" w:lastRow="0" w:firstColumn="0" w:lastColumn="0" w:noHBand="0" w:noVBand="0"/>
      </w:tblPr>
      <w:tblGrid>
        <w:gridCol w:w="5175"/>
        <w:gridCol w:w="1200"/>
        <w:gridCol w:w="1320"/>
        <w:gridCol w:w="1200"/>
      </w:tblGrid>
      <w:tr w:rsidR="00691A5C" w:rsidRPr="003D2F7A" w:rsidTr="00691A5C">
        <w:trPr>
          <w:trHeight w:val="255"/>
        </w:trPr>
        <w:tc>
          <w:tcPr>
            <w:tcW w:w="5175" w:type="dxa"/>
            <w:shd w:val="clear" w:color="auto" w:fill="auto"/>
            <w:noWrap/>
            <w:vAlign w:val="bottom"/>
          </w:tcPr>
          <w:p w:rsidR="00691A5C" w:rsidRPr="00715D3A" w:rsidRDefault="00691A5C" w:rsidP="00FC0563">
            <w:pPr>
              <w:rPr>
                <w:rFonts w:ascii="Arial" w:hAnsi="Arial" w:cs="Arial"/>
                <w:b/>
                <w:bCs/>
                <w:lang w:eastAsia="en-GB"/>
              </w:rPr>
            </w:pPr>
            <w:r w:rsidRPr="00715D3A">
              <w:rPr>
                <w:rFonts w:ascii="Arial" w:hAnsi="Arial" w:cs="Arial"/>
                <w:b/>
                <w:bCs/>
                <w:lang w:eastAsia="en-GB"/>
              </w:rPr>
              <w:t>Net Assets Statement</w:t>
            </w:r>
          </w:p>
        </w:tc>
        <w:tc>
          <w:tcPr>
            <w:tcW w:w="1200" w:type="dxa"/>
            <w:shd w:val="clear" w:color="auto" w:fill="auto"/>
            <w:noWrap/>
            <w:vAlign w:val="bottom"/>
          </w:tcPr>
          <w:p w:rsidR="00691A5C" w:rsidRPr="00715D3A" w:rsidRDefault="00691A5C" w:rsidP="00FC0563">
            <w:pPr>
              <w:rPr>
                <w:rFonts w:ascii="Arial" w:hAnsi="Arial" w:cs="Arial"/>
                <w:b/>
                <w:lang w:eastAsia="en-GB"/>
              </w:rPr>
            </w:pPr>
          </w:p>
        </w:tc>
        <w:tc>
          <w:tcPr>
            <w:tcW w:w="1320" w:type="dxa"/>
            <w:shd w:val="clear" w:color="auto" w:fill="auto"/>
            <w:noWrap/>
            <w:vAlign w:val="bottom"/>
          </w:tcPr>
          <w:p w:rsidR="00691A5C" w:rsidRPr="00715D3A" w:rsidRDefault="00691A5C" w:rsidP="00FC0563">
            <w:pPr>
              <w:jc w:val="right"/>
              <w:rPr>
                <w:rFonts w:ascii="Arial" w:hAnsi="Arial" w:cs="Arial"/>
                <w:b/>
                <w:bCs/>
                <w:lang w:eastAsia="en-GB"/>
              </w:rPr>
            </w:pPr>
            <w:r w:rsidRPr="00715D3A">
              <w:rPr>
                <w:rFonts w:ascii="Arial" w:hAnsi="Arial" w:cs="Arial"/>
                <w:b/>
                <w:bCs/>
                <w:lang w:eastAsia="en-GB"/>
              </w:rPr>
              <w:t>31 March 201</w:t>
            </w:r>
            <w:r w:rsidR="00715D3A" w:rsidRPr="00715D3A">
              <w:rPr>
                <w:rFonts w:ascii="Arial" w:hAnsi="Arial" w:cs="Arial"/>
                <w:b/>
                <w:bCs/>
                <w:lang w:eastAsia="en-GB"/>
              </w:rPr>
              <w:t>2</w:t>
            </w:r>
          </w:p>
        </w:tc>
        <w:tc>
          <w:tcPr>
            <w:tcW w:w="1200" w:type="dxa"/>
            <w:shd w:val="clear" w:color="auto" w:fill="auto"/>
            <w:noWrap/>
            <w:vAlign w:val="bottom"/>
          </w:tcPr>
          <w:p w:rsidR="00691A5C" w:rsidRPr="00715D3A" w:rsidRDefault="00691A5C" w:rsidP="00FC0563">
            <w:pPr>
              <w:jc w:val="right"/>
              <w:rPr>
                <w:rFonts w:ascii="Arial" w:hAnsi="Arial" w:cs="Arial"/>
                <w:b/>
                <w:bCs/>
                <w:lang w:eastAsia="en-GB"/>
              </w:rPr>
            </w:pPr>
            <w:r w:rsidRPr="00715D3A">
              <w:rPr>
                <w:rFonts w:ascii="Arial" w:hAnsi="Arial" w:cs="Arial"/>
                <w:b/>
                <w:bCs/>
                <w:lang w:eastAsia="en-GB"/>
              </w:rPr>
              <w:t>31 March 201</w:t>
            </w:r>
            <w:r w:rsidR="00715D3A" w:rsidRPr="00715D3A">
              <w:rPr>
                <w:rFonts w:ascii="Arial" w:hAnsi="Arial" w:cs="Arial"/>
                <w:b/>
                <w:bCs/>
                <w:lang w:eastAsia="en-GB"/>
              </w:rPr>
              <w:t>3</w:t>
            </w:r>
          </w:p>
        </w:tc>
      </w:tr>
      <w:tr w:rsidR="00691A5C" w:rsidRPr="003D2F7A" w:rsidTr="00691A5C">
        <w:trPr>
          <w:trHeight w:val="113"/>
        </w:trPr>
        <w:tc>
          <w:tcPr>
            <w:tcW w:w="5175" w:type="dxa"/>
            <w:shd w:val="clear" w:color="auto" w:fill="auto"/>
            <w:noWrap/>
            <w:vAlign w:val="bottom"/>
          </w:tcPr>
          <w:p w:rsidR="00691A5C" w:rsidRPr="00715D3A" w:rsidRDefault="00691A5C" w:rsidP="00FC0563">
            <w:pPr>
              <w:rPr>
                <w:rFonts w:ascii="Arial" w:hAnsi="Arial" w:cs="Arial"/>
                <w:color w:val="FF6600"/>
                <w:lang w:eastAsia="en-GB"/>
              </w:rPr>
            </w:pPr>
          </w:p>
        </w:tc>
        <w:tc>
          <w:tcPr>
            <w:tcW w:w="1200" w:type="dxa"/>
            <w:shd w:val="clear" w:color="auto" w:fill="auto"/>
            <w:noWrap/>
            <w:vAlign w:val="bottom"/>
          </w:tcPr>
          <w:p w:rsidR="00691A5C" w:rsidRPr="00715D3A" w:rsidRDefault="00691A5C" w:rsidP="00691A5C">
            <w:pPr>
              <w:rPr>
                <w:rFonts w:ascii="Arial" w:hAnsi="Arial" w:cs="Arial"/>
                <w:b/>
                <w:lang w:eastAsia="en-GB"/>
              </w:rPr>
            </w:pPr>
          </w:p>
        </w:tc>
        <w:tc>
          <w:tcPr>
            <w:tcW w:w="1320" w:type="dxa"/>
            <w:shd w:val="clear" w:color="auto" w:fill="auto"/>
            <w:noWrap/>
            <w:vAlign w:val="bottom"/>
          </w:tcPr>
          <w:p w:rsidR="00691A5C" w:rsidRPr="00715D3A" w:rsidRDefault="00691A5C" w:rsidP="00FC0563">
            <w:pPr>
              <w:jc w:val="right"/>
              <w:rPr>
                <w:rFonts w:ascii="Arial" w:hAnsi="Arial" w:cs="Arial"/>
                <w:b/>
                <w:bCs/>
                <w:lang w:eastAsia="en-GB"/>
              </w:rPr>
            </w:pPr>
          </w:p>
        </w:tc>
        <w:tc>
          <w:tcPr>
            <w:tcW w:w="1200" w:type="dxa"/>
            <w:shd w:val="clear" w:color="auto" w:fill="auto"/>
            <w:noWrap/>
            <w:vAlign w:val="bottom"/>
          </w:tcPr>
          <w:p w:rsidR="00691A5C" w:rsidRPr="00715D3A" w:rsidRDefault="00691A5C" w:rsidP="00FC0563">
            <w:pPr>
              <w:jc w:val="right"/>
              <w:rPr>
                <w:rFonts w:ascii="Arial" w:hAnsi="Arial" w:cs="Arial"/>
                <w:b/>
                <w:bCs/>
                <w:lang w:eastAsia="en-GB"/>
              </w:rPr>
            </w:pPr>
          </w:p>
        </w:tc>
      </w:tr>
      <w:tr w:rsidR="00691A5C" w:rsidRPr="003D2F7A" w:rsidTr="00691A5C">
        <w:trPr>
          <w:trHeight w:val="113"/>
        </w:trPr>
        <w:tc>
          <w:tcPr>
            <w:tcW w:w="5175" w:type="dxa"/>
            <w:shd w:val="clear" w:color="auto" w:fill="auto"/>
            <w:noWrap/>
            <w:vAlign w:val="bottom"/>
          </w:tcPr>
          <w:p w:rsidR="00691A5C" w:rsidRPr="00715D3A" w:rsidRDefault="00691A5C" w:rsidP="00FC0563">
            <w:pPr>
              <w:rPr>
                <w:rFonts w:ascii="Arial" w:hAnsi="Arial" w:cs="Arial"/>
                <w:color w:val="FF6600"/>
                <w:lang w:eastAsia="en-GB"/>
              </w:rPr>
            </w:pPr>
          </w:p>
        </w:tc>
        <w:tc>
          <w:tcPr>
            <w:tcW w:w="1200" w:type="dxa"/>
            <w:shd w:val="clear" w:color="auto" w:fill="auto"/>
            <w:noWrap/>
            <w:vAlign w:val="bottom"/>
          </w:tcPr>
          <w:p w:rsidR="00691A5C" w:rsidRPr="00715D3A" w:rsidRDefault="00756895" w:rsidP="00691A5C">
            <w:pPr>
              <w:rPr>
                <w:rFonts w:ascii="Arial" w:hAnsi="Arial" w:cs="Arial"/>
                <w:color w:val="FF6600"/>
                <w:lang w:eastAsia="en-GB"/>
              </w:rPr>
            </w:pPr>
            <w:r>
              <w:rPr>
                <w:rFonts w:ascii="Arial" w:hAnsi="Arial" w:cs="Arial"/>
                <w:b/>
                <w:lang w:eastAsia="en-GB"/>
              </w:rPr>
              <w:t xml:space="preserve">     </w:t>
            </w:r>
            <w:r w:rsidR="00CC25C2">
              <w:rPr>
                <w:rFonts w:ascii="Arial" w:hAnsi="Arial" w:cs="Arial"/>
                <w:b/>
                <w:lang w:eastAsia="en-GB"/>
              </w:rPr>
              <w:t xml:space="preserve">  </w:t>
            </w:r>
            <w:r w:rsidR="00691A5C" w:rsidRPr="00715D3A">
              <w:rPr>
                <w:rFonts w:ascii="Arial" w:hAnsi="Arial" w:cs="Arial"/>
                <w:b/>
                <w:lang w:eastAsia="en-GB"/>
              </w:rPr>
              <w:t>Note</w:t>
            </w:r>
            <w:r w:rsidR="00715D3A" w:rsidRPr="00715D3A">
              <w:rPr>
                <w:rFonts w:ascii="Arial" w:hAnsi="Arial" w:cs="Arial"/>
                <w:b/>
                <w:lang w:eastAsia="en-GB"/>
              </w:rPr>
              <w:t>s</w:t>
            </w:r>
          </w:p>
        </w:tc>
        <w:tc>
          <w:tcPr>
            <w:tcW w:w="1320" w:type="dxa"/>
            <w:shd w:val="clear" w:color="auto" w:fill="auto"/>
            <w:noWrap/>
            <w:vAlign w:val="bottom"/>
          </w:tcPr>
          <w:p w:rsidR="00691A5C" w:rsidRPr="00715D3A" w:rsidRDefault="00691A5C" w:rsidP="00FC0563">
            <w:pPr>
              <w:jc w:val="right"/>
              <w:rPr>
                <w:rFonts w:ascii="Arial" w:hAnsi="Arial" w:cs="Arial"/>
                <w:b/>
                <w:bCs/>
                <w:lang w:eastAsia="en-GB"/>
              </w:rPr>
            </w:pPr>
            <w:r w:rsidRPr="00715D3A">
              <w:rPr>
                <w:rFonts w:ascii="Arial" w:hAnsi="Arial" w:cs="Arial"/>
                <w:b/>
                <w:bCs/>
                <w:lang w:eastAsia="en-GB"/>
              </w:rPr>
              <w:t>£'000</w:t>
            </w:r>
          </w:p>
        </w:tc>
        <w:tc>
          <w:tcPr>
            <w:tcW w:w="1200" w:type="dxa"/>
            <w:shd w:val="clear" w:color="auto" w:fill="auto"/>
            <w:noWrap/>
            <w:vAlign w:val="bottom"/>
          </w:tcPr>
          <w:p w:rsidR="00691A5C" w:rsidRPr="00715D3A" w:rsidRDefault="00691A5C" w:rsidP="00FC0563">
            <w:pPr>
              <w:jc w:val="right"/>
              <w:rPr>
                <w:rFonts w:ascii="Arial" w:hAnsi="Arial" w:cs="Arial"/>
                <w:b/>
                <w:bCs/>
                <w:lang w:eastAsia="en-GB"/>
              </w:rPr>
            </w:pPr>
            <w:r w:rsidRPr="00715D3A">
              <w:rPr>
                <w:rFonts w:ascii="Arial" w:hAnsi="Arial" w:cs="Arial"/>
                <w:b/>
                <w:bCs/>
                <w:lang w:eastAsia="en-GB"/>
              </w:rPr>
              <w:t>£'000</w:t>
            </w:r>
          </w:p>
        </w:tc>
      </w:tr>
      <w:tr w:rsidR="00691A5C" w:rsidRPr="003D2F7A" w:rsidTr="00691A5C">
        <w:trPr>
          <w:trHeight w:val="255"/>
        </w:trPr>
        <w:tc>
          <w:tcPr>
            <w:tcW w:w="5175" w:type="dxa"/>
            <w:shd w:val="clear" w:color="auto" w:fill="auto"/>
            <w:noWrap/>
            <w:vAlign w:val="bottom"/>
          </w:tcPr>
          <w:p w:rsidR="00691A5C" w:rsidRPr="00715D3A" w:rsidRDefault="00691A5C" w:rsidP="00FC0563">
            <w:pPr>
              <w:rPr>
                <w:rFonts w:ascii="Arial" w:hAnsi="Arial" w:cs="Arial"/>
                <w:b/>
                <w:bCs/>
                <w:lang w:eastAsia="en-GB"/>
              </w:rPr>
            </w:pPr>
          </w:p>
        </w:tc>
        <w:tc>
          <w:tcPr>
            <w:tcW w:w="1200" w:type="dxa"/>
            <w:shd w:val="clear" w:color="auto" w:fill="auto"/>
            <w:noWrap/>
            <w:vAlign w:val="bottom"/>
          </w:tcPr>
          <w:p w:rsidR="00691A5C" w:rsidRPr="00715D3A" w:rsidRDefault="00691A5C" w:rsidP="00691A5C">
            <w:pPr>
              <w:rPr>
                <w:rFonts w:ascii="Arial" w:hAnsi="Arial" w:cs="Arial"/>
                <w:lang w:eastAsia="en-GB"/>
              </w:rPr>
            </w:pPr>
          </w:p>
        </w:tc>
        <w:tc>
          <w:tcPr>
            <w:tcW w:w="1320" w:type="dxa"/>
            <w:shd w:val="clear" w:color="auto" w:fill="auto"/>
            <w:noWrap/>
            <w:vAlign w:val="bottom"/>
          </w:tcPr>
          <w:p w:rsidR="00691A5C" w:rsidRPr="00715D3A" w:rsidRDefault="00691A5C" w:rsidP="00FC0563">
            <w:pPr>
              <w:rPr>
                <w:rFonts w:ascii="Arial" w:hAnsi="Arial" w:cs="Arial"/>
                <w:lang w:eastAsia="en-GB"/>
              </w:rPr>
            </w:pPr>
          </w:p>
        </w:tc>
        <w:tc>
          <w:tcPr>
            <w:tcW w:w="1200" w:type="dxa"/>
            <w:shd w:val="clear" w:color="auto" w:fill="auto"/>
            <w:noWrap/>
            <w:vAlign w:val="bottom"/>
          </w:tcPr>
          <w:p w:rsidR="00691A5C" w:rsidRPr="00715D3A" w:rsidRDefault="00691A5C" w:rsidP="00FC0563">
            <w:pPr>
              <w:rPr>
                <w:rFonts w:ascii="Arial" w:hAnsi="Arial" w:cs="Arial"/>
                <w:lang w:eastAsia="en-GB"/>
              </w:rPr>
            </w:pPr>
          </w:p>
        </w:tc>
      </w:tr>
      <w:tr w:rsidR="00691A5C" w:rsidRPr="003D2F7A" w:rsidTr="00691A5C">
        <w:trPr>
          <w:trHeight w:val="255"/>
        </w:trPr>
        <w:tc>
          <w:tcPr>
            <w:tcW w:w="5175" w:type="dxa"/>
            <w:shd w:val="clear" w:color="auto" w:fill="auto"/>
            <w:noWrap/>
            <w:vAlign w:val="bottom"/>
          </w:tcPr>
          <w:p w:rsidR="00691A5C" w:rsidRPr="00715D3A" w:rsidRDefault="00691A5C" w:rsidP="00FC0563">
            <w:pPr>
              <w:rPr>
                <w:rFonts w:ascii="Arial" w:hAnsi="Arial" w:cs="Arial"/>
                <w:lang w:eastAsia="en-GB"/>
              </w:rPr>
            </w:pPr>
            <w:r w:rsidRPr="00715D3A">
              <w:rPr>
                <w:rFonts w:ascii="Arial" w:hAnsi="Arial" w:cs="Arial"/>
                <w:lang w:eastAsia="en-GB"/>
              </w:rPr>
              <w:t xml:space="preserve">   Investment assets</w:t>
            </w:r>
          </w:p>
        </w:tc>
        <w:tc>
          <w:tcPr>
            <w:tcW w:w="1200" w:type="dxa"/>
            <w:shd w:val="clear" w:color="auto" w:fill="auto"/>
            <w:noWrap/>
            <w:vAlign w:val="bottom"/>
          </w:tcPr>
          <w:p w:rsidR="00691A5C" w:rsidRPr="00EE371A" w:rsidRDefault="00756895" w:rsidP="00691A5C">
            <w:pPr>
              <w:rPr>
                <w:rFonts w:ascii="Arial" w:hAnsi="Arial" w:cs="Arial"/>
                <w:lang w:eastAsia="en-GB"/>
              </w:rPr>
            </w:pPr>
            <w:r>
              <w:rPr>
                <w:rFonts w:ascii="Arial" w:hAnsi="Arial" w:cs="Arial"/>
                <w:lang w:eastAsia="en-GB"/>
              </w:rPr>
              <w:t xml:space="preserve">     </w:t>
            </w:r>
            <w:r w:rsidR="00CC25C2">
              <w:rPr>
                <w:rFonts w:ascii="Arial" w:hAnsi="Arial" w:cs="Arial"/>
                <w:lang w:eastAsia="en-GB"/>
              </w:rPr>
              <w:t xml:space="preserve">     </w:t>
            </w:r>
            <w:r w:rsidR="007F26B2">
              <w:rPr>
                <w:rFonts w:ascii="Arial" w:hAnsi="Arial" w:cs="Arial"/>
                <w:lang w:eastAsia="en-GB"/>
              </w:rPr>
              <w:t>14</w:t>
            </w:r>
          </w:p>
        </w:tc>
        <w:tc>
          <w:tcPr>
            <w:tcW w:w="1320" w:type="dxa"/>
            <w:shd w:val="clear" w:color="auto" w:fill="auto"/>
            <w:noWrap/>
            <w:vAlign w:val="bottom"/>
          </w:tcPr>
          <w:p w:rsidR="00691A5C" w:rsidRPr="00715D3A" w:rsidRDefault="00F6781F" w:rsidP="00FC0563">
            <w:pPr>
              <w:jc w:val="right"/>
              <w:rPr>
                <w:rFonts w:ascii="Arial" w:hAnsi="Arial" w:cs="Arial"/>
                <w:lang w:eastAsia="en-GB"/>
              </w:rPr>
            </w:pPr>
            <w:r>
              <w:rPr>
                <w:rFonts w:ascii="Arial" w:hAnsi="Arial" w:cs="Arial"/>
                <w:lang w:eastAsia="en-GB"/>
              </w:rPr>
              <w:t>484</w:t>
            </w:r>
            <w:r w:rsidR="00715D3A" w:rsidRPr="00715D3A">
              <w:rPr>
                <w:rFonts w:ascii="Arial" w:hAnsi="Arial" w:cs="Arial"/>
                <w:lang w:eastAsia="en-GB"/>
              </w:rPr>
              <w:t>,</w:t>
            </w:r>
            <w:r>
              <w:rPr>
                <w:rFonts w:ascii="Arial" w:hAnsi="Arial" w:cs="Arial"/>
                <w:lang w:eastAsia="en-GB"/>
              </w:rPr>
              <w:t>824</w:t>
            </w:r>
          </w:p>
        </w:tc>
        <w:tc>
          <w:tcPr>
            <w:tcW w:w="1200" w:type="dxa"/>
            <w:shd w:val="clear" w:color="auto" w:fill="auto"/>
            <w:noWrap/>
            <w:vAlign w:val="bottom"/>
          </w:tcPr>
          <w:p w:rsidR="00691A5C" w:rsidRPr="00715D3A" w:rsidRDefault="004E3C99" w:rsidP="00FC0563">
            <w:pPr>
              <w:jc w:val="right"/>
              <w:rPr>
                <w:rFonts w:ascii="Arial" w:hAnsi="Arial" w:cs="Arial"/>
                <w:lang w:eastAsia="en-GB"/>
              </w:rPr>
            </w:pPr>
            <w:r>
              <w:rPr>
                <w:rFonts w:ascii="Arial" w:hAnsi="Arial" w:cs="Arial"/>
                <w:lang w:eastAsia="en-GB"/>
              </w:rPr>
              <w:t>53</w:t>
            </w:r>
            <w:r w:rsidR="00BF7D6E">
              <w:rPr>
                <w:rFonts w:ascii="Arial" w:hAnsi="Arial" w:cs="Arial"/>
                <w:lang w:eastAsia="en-GB"/>
              </w:rPr>
              <w:t>8,297</w:t>
            </w:r>
          </w:p>
        </w:tc>
      </w:tr>
      <w:tr w:rsidR="00691A5C" w:rsidRPr="003D2F7A" w:rsidTr="00691A5C">
        <w:trPr>
          <w:trHeight w:val="255"/>
        </w:trPr>
        <w:tc>
          <w:tcPr>
            <w:tcW w:w="5175" w:type="dxa"/>
            <w:shd w:val="clear" w:color="auto" w:fill="auto"/>
            <w:noWrap/>
            <w:vAlign w:val="bottom"/>
          </w:tcPr>
          <w:p w:rsidR="00691A5C" w:rsidRPr="00715D3A" w:rsidRDefault="00691A5C" w:rsidP="00FC0563">
            <w:pPr>
              <w:rPr>
                <w:rFonts w:ascii="Arial" w:hAnsi="Arial" w:cs="Arial"/>
                <w:b/>
                <w:bCs/>
                <w:lang w:eastAsia="en-GB"/>
              </w:rPr>
            </w:pPr>
          </w:p>
        </w:tc>
        <w:tc>
          <w:tcPr>
            <w:tcW w:w="1200" w:type="dxa"/>
            <w:shd w:val="clear" w:color="auto" w:fill="auto"/>
            <w:noWrap/>
            <w:vAlign w:val="bottom"/>
          </w:tcPr>
          <w:p w:rsidR="00691A5C" w:rsidRPr="00EE371A" w:rsidRDefault="00691A5C" w:rsidP="00691A5C">
            <w:pPr>
              <w:rPr>
                <w:rFonts w:ascii="Arial" w:hAnsi="Arial" w:cs="Arial"/>
                <w:lang w:eastAsia="en-GB"/>
              </w:rPr>
            </w:pPr>
          </w:p>
        </w:tc>
        <w:tc>
          <w:tcPr>
            <w:tcW w:w="1320" w:type="dxa"/>
            <w:tcBorders>
              <w:bottom w:val="single" w:sz="4" w:space="0" w:color="auto"/>
            </w:tcBorders>
            <w:shd w:val="clear" w:color="auto" w:fill="auto"/>
            <w:noWrap/>
            <w:vAlign w:val="bottom"/>
          </w:tcPr>
          <w:p w:rsidR="00691A5C" w:rsidRPr="00715D3A" w:rsidRDefault="00691A5C" w:rsidP="00FC0563">
            <w:pPr>
              <w:jc w:val="right"/>
              <w:rPr>
                <w:rFonts w:ascii="Arial" w:hAnsi="Arial" w:cs="Arial"/>
                <w:b/>
                <w:lang w:eastAsia="en-GB"/>
              </w:rPr>
            </w:pPr>
          </w:p>
        </w:tc>
        <w:tc>
          <w:tcPr>
            <w:tcW w:w="1200" w:type="dxa"/>
            <w:tcBorders>
              <w:bottom w:val="single" w:sz="4" w:space="0" w:color="auto"/>
            </w:tcBorders>
            <w:shd w:val="clear" w:color="auto" w:fill="auto"/>
            <w:noWrap/>
            <w:vAlign w:val="bottom"/>
          </w:tcPr>
          <w:p w:rsidR="00691A5C" w:rsidRPr="00715D3A" w:rsidRDefault="00691A5C" w:rsidP="00FC0563">
            <w:pPr>
              <w:jc w:val="right"/>
              <w:rPr>
                <w:rFonts w:ascii="Arial" w:hAnsi="Arial" w:cs="Arial"/>
                <w:b/>
                <w:lang w:eastAsia="en-GB"/>
              </w:rPr>
            </w:pPr>
          </w:p>
        </w:tc>
      </w:tr>
      <w:tr w:rsidR="00691A5C" w:rsidRPr="003D2F7A" w:rsidTr="00691A5C">
        <w:trPr>
          <w:trHeight w:val="255"/>
        </w:trPr>
        <w:tc>
          <w:tcPr>
            <w:tcW w:w="5175" w:type="dxa"/>
            <w:shd w:val="clear" w:color="auto" w:fill="auto"/>
            <w:noWrap/>
            <w:vAlign w:val="bottom"/>
          </w:tcPr>
          <w:p w:rsidR="00691A5C" w:rsidRPr="00715D3A" w:rsidRDefault="00691A5C" w:rsidP="00FC0563">
            <w:pPr>
              <w:rPr>
                <w:rFonts w:ascii="Arial" w:hAnsi="Arial" w:cs="Arial"/>
                <w:lang w:eastAsia="en-GB"/>
              </w:rPr>
            </w:pPr>
          </w:p>
        </w:tc>
        <w:tc>
          <w:tcPr>
            <w:tcW w:w="1200" w:type="dxa"/>
            <w:shd w:val="clear" w:color="auto" w:fill="auto"/>
            <w:noWrap/>
            <w:vAlign w:val="bottom"/>
          </w:tcPr>
          <w:p w:rsidR="00691A5C" w:rsidRPr="00EE371A" w:rsidRDefault="00691A5C" w:rsidP="00691A5C">
            <w:pPr>
              <w:rPr>
                <w:rFonts w:ascii="Arial" w:hAnsi="Arial" w:cs="Arial"/>
                <w:lang w:eastAsia="en-GB"/>
              </w:rPr>
            </w:pPr>
          </w:p>
        </w:tc>
        <w:tc>
          <w:tcPr>
            <w:tcW w:w="1320" w:type="dxa"/>
            <w:tcBorders>
              <w:top w:val="single" w:sz="4" w:space="0" w:color="auto"/>
            </w:tcBorders>
            <w:shd w:val="clear" w:color="auto" w:fill="auto"/>
            <w:noWrap/>
            <w:vAlign w:val="bottom"/>
          </w:tcPr>
          <w:p w:rsidR="00691A5C" w:rsidRPr="00715D3A" w:rsidRDefault="00715D3A" w:rsidP="00FC0563">
            <w:pPr>
              <w:jc w:val="right"/>
              <w:rPr>
                <w:rFonts w:ascii="Arial" w:hAnsi="Arial" w:cs="Arial"/>
                <w:b/>
                <w:lang w:eastAsia="en-GB"/>
              </w:rPr>
            </w:pPr>
            <w:r w:rsidRPr="00715D3A">
              <w:rPr>
                <w:rFonts w:ascii="Arial" w:hAnsi="Arial" w:cs="Arial"/>
                <w:b/>
                <w:lang w:eastAsia="en-GB"/>
              </w:rPr>
              <w:t>4</w:t>
            </w:r>
            <w:r w:rsidR="00EF3B82">
              <w:rPr>
                <w:rFonts w:ascii="Arial" w:hAnsi="Arial" w:cs="Arial"/>
                <w:b/>
                <w:lang w:eastAsia="en-GB"/>
              </w:rPr>
              <w:t>84,824</w:t>
            </w:r>
          </w:p>
        </w:tc>
        <w:tc>
          <w:tcPr>
            <w:tcW w:w="1200" w:type="dxa"/>
            <w:tcBorders>
              <w:top w:val="single" w:sz="4" w:space="0" w:color="auto"/>
            </w:tcBorders>
            <w:shd w:val="clear" w:color="auto" w:fill="auto"/>
            <w:noWrap/>
            <w:vAlign w:val="bottom"/>
          </w:tcPr>
          <w:p w:rsidR="00691A5C" w:rsidRPr="00715D3A" w:rsidRDefault="004E3C99" w:rsidP="00FC0563">
            <w:pPr>
              <w:jc w:val="right"/>
              <w:rPr>
                <w:rFonts w:ascii="Arial" w:hAnsi="Arial" w:cs="Arial"/>
                <w:b/>
                <w:lang w:eastAsia="en-GB"/>
              </w:rPr>
            </w:pPr>
            <w:r>
              <w:rPr>
                <w:rFonts w:ascii="Arial" w:hAnsi="Arial" w:cs="Arial"/>
                <w:b/>
                <w:lang w:eastAsia="en-GB"/>
              </w:rPr>
              <w:t>5</w:t>
            </w:r>
            <w:r w:rsidR="0072352A">
              <w:rPr>
                <w:rFonts w:ascii="Arial" w:hAnsi="Arial" w:cs="Arial"/>
                <w:b/>
                <w:lang w:eastAsia="en-GB"/>
              </w:rPr>
              <w:t>3</w:t>
            </w:r>
            <w:r w:rsidR="00BF7D6E">
              <w:rPr>
                <w:rFonts w:ascii="Arial" w:hAnsi="Arial" w:cs="Arial"/>
                <w:b/>
                <w:lang w:eastAsia="en-GB"/>
              </w:rPr>
              <w:t>8,297</w:t>
            </w:r>
          </w:p>
        </w:tc>
      </w:tr>
      <w:tr w:rsidR="00691A5C" w:rsidRPr="003D2F7A" w:rsidTr="00691A5C">
        <w:trPr>
          <w:trHeight w:val="255"/>
        </w:trPr>
        <w:tc>
          <w:tcPr>
            <w:tcW w:w="5175" w:type="dxa"/>
            <w:shd w:val="clear" w:color="auto" w:fill="auto"/>
            <w:noWrap/>
            <w:vAlign w:val="bottom"/>
          </w:tcPr>
          <w:p w:rsidR="00691A5C" w:rsidRPr="00715D3A" w:rsidRDefault="00691A5C" w:rsidP="00FC0563">
            <w:pPr>
              <w:rPr>
                <w:rFonts w:ascii="Arial" w:hAnsi="Arial" w:cs="Arial"/>
                <w:lang w:eastAsia="en-GB"/>
              </w:rPr>
            </w:pPr>
          </w:p>
        </w:tc>
        <w:tc>
          <w:tcPr>
            <w:tcW w:w="1200" w:type="dxa"/>
            <w:shd w:val="clear" w:color="auto" w:fill="auto"/>
            <w:noWrap/>
            <w:vAlign w:val="bottom"/>
          </w:tcPr>
          <w:p w:rsidR="00691A5C" w:rsidRPr="00EE371A" w:rsidRDefault="00691A5C" w:rsidP="00691A5C">
            <w:pPr>
              <w:rPr>
                <w:rFonts w:ascii="Arial" w:hAnsi="Arial" w:cs="Arial"/>
                <w:lang w:eastAsia="en-GB"/>
              </w:rPr>
            </w:pPr>
          </w:p>
        </w:tc>
        <w:tc>
          <w:tcPr>
            <w:tcW w:w="1320" w:type="dxa"/>
            <w:shd w:val="clear" w:color="auto" w:fill="auto"/>
            <w:noWrap/>
            <w:vAlign w:val="bottom"/>
          </w:tcPr>
          <w:p w:rsidR="00691A5C" w:rsidRPr="00715D3A" w:rsidRDefault="00691A5C" w:rsidP="00FC0563">
            <w:pPr>
              <w:jc w:val="right"/>
              <w:rPr>
                <w:rFonts w:ascii="Arial" w:hAnsi="Arial" w:cs="Arial"/>
                <w:lang w:eastAsia="en-GB"/>
              </w:rPr>
            </w:pPr>
          </w:p>
        </w:tc>
        <w:tc>
          <w:tcPr>
            <w:tcW w:w="1200" w:type="dxa"/>
            <w:shd w:val="clear" w:color="auto" w:fill="auto"/>
            <w:noWrap/>
            <w:vAlign w:val="bottom"/>
          </w:tcPr>
          <w:p w:rsidR="00691A5C" w:rsidRPr="00715D3A" w:rsidRDefault="00691A5C" w:rsidP="00FC0563">
            <w:pPr>
              <w:jc w:val="right"/>
              <w:rPr>
                <w:rFonts w:ascii="Arial" w:hAnsi="Arial" w:cs="Arial"/>
                <w:lang w:eastAsia="en-GB"/>
              </w:rPr>
            </w:pPr>
          </w:p>
        </w:tc>
      </w:tr>
      <w:tr w:rsidR="00691A5C" w:rsidRPr="00257EDA" w:rsidTr="00D97974">
        <w:trPr>
          <w:trHeight w:val="255"/>
        </w:trPr>
        <w:tc>
          <w:tcPr>
            <w:tcW w:w="5175" w:type="dxa"/>
            <w:shd w:val="clear" w:color="auto" w:fill="auto"/>
            <w:noWrap/>
            <w:vAlign w:val="bottom"/>
          </w:tcPr>
          <w:p w:rsidR="00691A5C" w:rsidRPr="00715D3A" w:rsidRDefault="00D97974" w:rsidP="00687080">
            <w:pPr>
              <w:rPr>
                <w:rFonts w:ascii="Arial" w:hAnsi="Arial" w:cs="Arial"/>
                <w:lang w:eastAsia="en-GB"/>
              </w:rPr>
            </w:pPr>
            <w:r w:rsidRPr="00715D3A">
              <w:rPr>
                <w:rFonts w:ascii="Arial" w:hAnsi="Arial" w:cs="Arial"/>
                <w:lang w:eastAsia="en-GB"/>
              </w:rPr>
              <w:t xml:space="preserve">   Current assets</w:t>
            </w:r>
          </w:p>
        </w:tc>
        <w:tc>
          <w:tcPr>
            <w:tcW w:w="1200" w:type="dxa"/>
            <w:shd w:val="clear" w:color="auto" w:fill="auto"/>
            <w:noWrap/>
            <w:vAlign w:val="bottom"/>
          </w:tcPr>
          <w:p w:rsidR="00691A5C" w:rsidRPr="00EE371A" w:rsidRDefault="00756895" w:rsidP="00691A5C">
            <w:pPr>
              <w:rPr>
                <w:rFonts w:ascii="Arial" w:hAnsi="Arial" w:cs="Arial"/>
                <w:lang w:eastAsia="en-GB"/>
              </w:rPr>
            </w:pPr>
            <w:r>
              <w:rPr>
                <w:rFonts w:ascii="Arial" w:hAnsi="Arial" w:cs="Arial"/>
                <w:lang w:eastAsia="en-GB"/>
              </w:rPr>
              <w:t xml:space="preserve">     </w:t>
            </w:r>
            <w:r w:rsidR="00CC25C2">
              <w:rPr>
                <w:rFonts w:ascii="Arial" w:hAnsi="Arial" w:cs="Arial"/>
                <w:lang w:eastAsia="en-GB"/>
              </w:rPr>
              <w:t xml:space="preserve">     </w:t>
            </w:r>
            <w:r w:rsidR="007F26B2">
              <w:rPr>
                <w:rFonts w:ascii="Arial" w:hAnsi="Arial" w:cs="Arial"/>
                <w:lang w:eastAsia="en-GB"/>
              </w:rPr>
              <w:t>19</w:t>
            </w:r>
          </w:p>
        </w:tc>
        <w:tc>
          <w:tcPr>
            <w:tcW w:w="1320" w:type="dxa"/>
            <w:shd w:val="clear" w:color="auto" w:fill="auto"/>
            <w:noWrap/>
            <w:vAlign w:val="bottom"/>
          </w:tcPr>
          <w:p w:rsidR="00691A5C" w:rsidRPr="00715D3A" w:rsidRDefault="00EF3B82" w:rsidP="00687080">
            <w:pPr>
              <w:jc w:val="right"/>
              <w:rPr>
                <w:rFonts w:ascii="Arial" w:hAnsi="Arial" w:cs="Arial"/>
                <w:lang w:eastAsia="en-GB"/>
              </w:rPr>
            </w:pPr>
            <w:r>
              <w:rPr>
                <w:rFonts w:ascii="Arial" w:hAnsi="Arial" w:cs="Arial"/>
                <w:lang w:eastAsia="en-GB"/>
              </w:rPr>
              <w:t>8,955</w:t>
            </w:r>
          </w:p>
        </w:tc>
        <w:tc>
          <w:tcPr>
            <w:tcW w:w="1200" w:type="dxa"/>
            <w:shd w:val="clear" w:color="auto" w:fill="auto"/>
            <w:noWrap/>
            <w:vAlign w:val="bottom"/>
          </w:tcPr>
          <w:p w:rsidR="00691A5C" w:rsidRPr="00257EDA" w:rsidRDefault="00257EDA" w:rsidP="00687080">
            <w:pPr>
              <w:jc w:val="right"/>
              <w:rPr>
                <w:rFonts w:ascii="Arial" w:hAnsi="Arial" w:cs="Arial"/>
                <w:lang w:eastAsia="en-GB"/>
              </w:rPr>
            </w:pPr>
            <w:r w:rsidRPr="00257EDA">
              <w:rPr>
                <w:rFonts w:ascii="Arial" w:hAnsi="Arial" w:cs="Arial"/>
                <w:lang w:eastAsia="en-GB"/>
              </w:rPr>
              <w:t>8,660</w:t>
            </w:r>
          </w:p>
        </w:tc>
      </w:tr>
      <w:tr w:rsidR="00715D3A" w:rsidRPr="003D2F7A" w:rsidTr="005A16FD">
        <w:trPr>
          <w:trHeight w:val="255"/>
        </w:trPr>
        <w:tc>
          <w:tcPr>
            <w:tcW w:w="5175" w:type="dxa"/>
            <w:shd w:val="clear" w:color="auto" w:fill="auto"/>
            <w:noWrap/>
            <w:vAlign w:val="bottom"/>
          </w:tcPr>
          <w:p w:rsidR="00715D3A" w:rsidRPr="00715D3A" w:rsidRDefault="00715D3A" w:rsidP="005A16FD">
            <w:pPr>
              <w:rPr>
                <w:rFonts w:ascii="Arial" w:hAnsi="Arial" w:cs="Arial"/>
                <w:lang w:eastAsia="en-GB"/>
              </w:rPr>
            </w:pPr>
            <w:r w:rsidRPr="00715D3A">
              <w:rPr>
                <w:rFonts w:ascii="Arial" w:hAnsi="Arial" w:cs="Arial"/>
                <w:lang w:eastAsia="en-GB"/>
              </w:rPr>
              <w:t xml:space="preserve">   Non current assets</w:t>
            </w:r>
          </w:p>
        </w:tc>
        <w:tc>
          <w:tcPr>
            <w:tcW w:w="1200" w:type="dxa"/>
            <w:shd w:val="clear" w:color="auto" w:fill="auto"/>
            <w:noWrap/>
            <w:vAlign w:val="bottom"/>
          </w:tcPr>
          <w:p w:rsidR="00715D3A" w:rsidRPr="00EE371A" w:rsidRDefault="00756895" w:rsidP="005A16FD">
            <w:pPr>
              <w:rPr>
                <w:rFonts w:ascii="Arial" w:hAnsi="Arial" w:cs="Arial"/>
                <w:lang w:eastAsia="en-GB"/>
              </w:rPr>
            </w:pPr>
            <w:r>
              <w:rPr>
                <w:rFonts w:ascii="Arial" w:hAnsi="Arial" w:cs="Arial"/>
                <w:lang w:eastAsia="en-GB"/>
              </w:rPr>
              <w:t xml:space="preserve">     </w:t>
            </w:r>
            <w:r w:rsidR="00CC25C2">
              <w:rPr>
                <w:rFonts w:ascii="Arial" w:hAnsi="Arial" w:cs="Arial"/>
                <w:lang w:eastAsia="en-GB"/>
              </w:rPr>
              <w:t xml:space="preserve">     </w:t>
            </w:r>
            <w:r w:rsidR="007F26B2">
              <w:rPr>
                <w:rFonts w:ascii="Arial" w:hAnsi="Arial" w:cs="Arial"/>
                <w:lang w:eastAsia="en-GB"/>
              </w:rPr>
              <w:t>20</w:t>
            </w:r>
          </w:p>
        </w:tc>
        <w:tc>
          <w:tcPr>
            <w:tcW w:w="1320" w:type="dxa"/>
            <w:shd w:val="clear" w:color="auto" w:fill="auto"/>
            <w:noWrap/>
            <w:vAlign w:val="bottom"/>
          </w:tcPr>
          <w:p w:rsidR="00715D3A" w:rsidRPr="00715D3A" w:rsidRDefault="00715D3A" w:rsidP="005A16FD">
            <w:pPr>
              <w:jc w:val="right"/>
              <w:rPr>
                <w:rFonts w:ascii="Arial" w:hAnsi="Arial" w:cs="Arial"/>
                <w:lang w:eastAsia="en-GB"/>
              </w:rPr>
            </w:pPr>
            <w:r w:rsidRPr="00715D3A">
              <w:rPr>
                <w:rFonts w:ascii="Arial" w:hAnsi="Arial" w:cs="Arial"/>
                <w:lang w:eastAsia="en-GB"/>
              </w:rPr>
              <w:t>1,921</w:t>
            </w:r>
          </w:p>
        </w:tc>
        <w:tc>
          <w:tcPr>
            <w:tcW w:w="1200" w:type="dxa"/>
            <w:shd w:val="clear" w:color="auto" w:fill="auto"/>
            <w:noWrap/>
            <w:vAlign w:val="bottom"/>
          </w:tcPr>
          <w:p w:rsidR="00715D3A" w:rsidRPr="005D5532" w:rsidRDefault="00C0271E" w:rsidP="005A16FD">
            <w:pPr>
              <w:jc w:val="right"/>
              <w:rPr>
                <w:rFonts w:ascii="Arial" w:hAnsi="Arial" w:cs="Arial"/>
                <w:highlight w:val="yellow"/>
                <w:lang w:eastAsia="en-GB"/>
              </w:rPr>
            </w:pPr>
            <w:r w:rsidRPr="00C0271E">
              <w:rPr>
                <w:rFonts w:ascii="Arial" w:hAnsi="Arial" w:cs="Arial"/>
                <w:lang w:eastAsia="en-GB"/>
              </w:rPr>
              <w:t>1,357</w:t>
            </w:r>
          </w:p>
        </w:tc>
      </w:tr>
      <w:tr w:rsidR="00691A5C" w:rsidRPr="003D2F7A" w:rsidTr="00D97974">
        <w:trPr>
          <w:trHeight w:val="255"/>
        </w:trPr>
        <w:tc>
          <w:tcPr>
            <w:tcW w:w="5175" w:type="dxa"/>
            <w:shd w:val="clear" w:color="auto" w:fill="auto"/>
            <w:noWrap/>
            <w:vAlign w:val="bottom"/>
          </w:tcPr>
          <w:p w:rsidR="00691A5C" w:rsidRPr="00715D3A" w:rsidRDefault="00D97974" w:rsidP="00FC0563">
            <w:pPr>
              <w:rPr>
                <w:rFonts w:ascii="Arial" w:hAnsi="Arial" w:cs="Arial"/>
                <w:lang w:eastAsia="en-GB"/>
              </w:rPr>
            </w:pPr>
            <w:r w:rsidRPr="00715D3A">
              <w:rPr>
                <w:rFonts w:ascii="Arial" w:hAnsi="Arial" w:cs="Arial"/>
                <w:lang w:eastAsia="en-GB"/>
              </w:rPr>
              <w:t xml:space="preserve">   C</w:t>
            </w:r>
            <w:r w:rsidR="00691A5C" w:rsidRPr="00715D3A">
              <w:rPr>
                <w:rFonts w:ascii="Arial" w:hAnsi="Arial" w:cs="Arial"/>
                <w:lang w:eastAsia="en-GB"/>
              </w:rPr>
              <w:t>u</w:t>
            </w:r>
            <w:r w:rsidRPr="00715D3A">
              <w:rPr>
                <w:rFonts w:ascii="Arial" w:hAnsi="Arial" w:cs="Arial"/>
                <w:lang w:eastAsia="en-GB"/>
              </w:rPr>
              <w:t>rrent liabilities</w:t>
            </w:r>
          </w:p>
        </w:tc>
        <w:tc>
          <w:tcPr>
            <w:tcW w:w="1200" w:type="dxa"/>
            <w:shd w:val="clear" w:color="auto" w:fill="auto"/>
            <w:noWrap/>
            <w:vAlign w:val="bottom"/>
          </w:tcPr>
          <w:p w:rsidR="00691A5C" w:rsidRPr="00EE371A" w:rsidRDefault="00756895" w:rsidP="00691A5C">
            <w:pPr>
              <w:rPr>
                <w:rFonts w:ascii="Arial" w:hAnsi="Arial" w:cs="Arial"/>
                <w:lang w:eastAsia="en-GB"/>
              </w:rPr>
            </w:pPr>
            <w:r>
              <w:rPr>
                <w:rFonts w:ascii="Arial" w:hAnsi="Arial" w:cs="Arial"/>
                <w:lang w:eastAsia="en-GB"/>
              </w:rPr>
              <w:t xml:space="preserve">     </w:t>
            </w:r>
            <w:r w:rsidR="00CC25C2">
              <w:rPr>
                <w:rFonts w:ascii="Arial" w:hAnsi="Arial" w:cs="Arial"/>
                <w:lang w:eastAsia="en-GB"/>
              </w:rPr>
              <w:t xml:space="preserve">     </w:t>
            </w:r>
            <w:r w:rsidR="00D97974" w:rsidRPr="00EE371A">
              <w:rPr>
                <w:rFonts w:ascii="Arial" w:hAnsi="Arial" w:cs="Arial"/>
                <w:lang w:eastAsia="en-GB"/>
              </w:rPr>
              <w:t>2</w:t>
            </w:r>
            <w:r w:rsidR="007F26B2">
              <w:rPr>
                <w:rFonts w:ascii="Arial" w:hAnsi="Arial" w:cs="Arial"/>
                <w:lang w:eastAsia="en-GB"/>
              </w:rPr>
              <w:t>1</w:t>
            </w:r>
          </w:p>
        </w:tc>
        <w:tc>
          <w:tcPr>
            <w:tcW w:w="1320" w:type="dxa"/>
            <w:shd w:val="clear" w:color="auto" w:fill="auto"/>
            <w:noWrap/>
            <w:vAlign w:val="bottom"/>
          </w:tcPr>
          <w:p w:rsidR="00691A5C" w:rsidRPr="00715D3A" w:rsidRDefault="00715D3A" w:rsidP="00FC0563">
            <w:pPr>
              <w:jc w:val="right"/>
              <w:rPr>
                <w:rFonts w:ascii="Arial" w:hAnsi="Arial" w:cs="Arial"/>
                <w:lang w:eastAsia="en-GB"/>
              </w:rPr>
            </w:pPr>
            <w:r w:rsidRPr="00715D3A">
              <w:rPr>
                <w:rFonts w:ascii="Arial" w:hAnsi="Arial" w:cs="Arial"/>
                <w:lang w:eastAsia="en-GB"/>
              </w:rPr>
              <w:t>(1,803)</w:t>
            </w:r>
          </w:p>
        </w:tc>
        <w:tc>
          <w:tcPr>
            <w:tcW w:w="1200" w:type="dxa"/>
            <w:shd w:val="clear" w:color="auto" w:fill="auto"/>
            <w:noWrap/>
            <w:vAlign w:val="bottom"/>
          </w:tcPr>
          <w:p w:rsidR="00691A5C" w:rsidRPr="00534C68" w:rsidRDefault="00534C68" w:rsidP="00FC0563">
            <w:pPr>
              <w:jc w:val="right"/>
              <w:rPr>
                <w:rFonts w:ascii="Arial" w:hAnsi="Arial" w:cs="Arial"/>
                <w:lang w:eastAsia="en-GB"/>
              </w:rPr>
            </w:pPr>
            <w:r w:rsidRPr="00534C68">
              <w:rPr>
                <w:rFonts w:ascii="Arial" w:hAnsi="Arial" w:cs="Arial"/>
                <w:lang w:eastAsia="en-GB"/>
              </w:rPr>
              <w:t>(431)</w:t>
            </w:r>
          </w:p>
        </w:tc>
      </w:tr>
      <w:tr w:rsidR="00691A5C" w:rsidRPr="003D2F7A" w:rsidTr="00D97974">
        <w:trPr>
          <w:trHeight w:val="255"/>
        </w:trPr>
        <w:tc>
          <w:tcPr>
            <w:tcW w:w="5175" w:type="dxa"/>
            <w:shd w:val="clear" w:color="auto" w:fill="auto"/>
            <w:noWrap/>
            <w:vAlign w:val="bottom"/>
          </w:tcPr>
          <w:p w:rsidR="00691A5C" w:rsidRPr="00715D3A" w:rsidRDefault="00691A5C" w:rsidP="00FC0563">
            <w:pPr>
              <w:rPr>
                <w:rFonts w:ascii="Arial" w:hAnsi="Arial" w:cs="Arial"/>
                <w:b/>
                <w:bCs/>
                <w:lang w:eastAsia="en-GB"/>
              </w:rPr>
            </w:pPr>
          </w:p>
        </w:tc>
        <w:tc>
          <w:tcPr>
            <w:tcW w:w="1200" w:type="dxa"/>
            <w:shd w:val="clear" w:color="auto" w:fill="auto"/>
            <w:noWrap/>
            <w:vAlign w:val="bottom"/>
          </w:tcPr>
          <w:p w:rsidR="00691A5C" w:rsidRPr="00715D3A" w:rsidRDefault="00691A5C" w:rsidP="00FC0563">
            <w:pPr>
              <w:jc w:val="center"/>
              <w:rPr>
                <w:rFonts w:ascii="Arial" w:hAnsi="Arial" w:cs="Arial"/>
                <w:lang w:eastAsia="en-GB"/>
              </w:rPr>
            </w:pPr>
          </w:p>
        </w:tc>
        <w:tc>
          <w:tcPr>
            <w:tcW w:w="1320" w:type="dxa"/>
            <w:shd w:val="clear" w:color="auto" w:fill="auto"/>
            <w:noWrap/>
            <w:vAlign w:val="bottom"/>
          </w:tcPr>
          <w:p w:rsidR="00691A5C" w:rsidRPr="00715D3A" w:rsidRDefault="00691A5C" w:rsidP="00FC0563">
            <w:pPr>
              <w:jc w:val="right"/>
              <w:rPr>
                <w:rFonts w:ascii="Arial" w:hAnsi="Arial" w:cs="Arial"/>
                <w:lang w:eastAsia="en-GB"/>
              </w:rPr>
            </w:pPr>
          </w:p>
        </w:tc>
        <w:tc>
          <w:tcPr>
            <w:tcW w:w="1200" w:type="dxa"/>
            <w:shd w:val="clear" w:color="auto" w:fill="auto"/>
            <w:noWrap/>
            <w:vAlign w:val="bottom"/>
          </w:tcPr>
          <w:p w:rsidR="00691A5C" w:rsidRPr="00534C68" w:rsidRDefault="00691A5C" w:rsidP="00FC0563">
            <w:pPr>
              <w:jc w:val="right"/>
              <w:rPr>
                <w:rFonts w:ascii="Arial" w:hAnsi="Arial" w:cs="Arial"/>
                <w:lang w:eastAsia="en-GB"/>
              </w:rPr>
            </w:pPr>
          </w:p>
        </w:tc>
      </w:tr>
      <w:tr w:rsidR="00691A5C" w:rsidRPr="003D2F7A" w:rsidTr="00691A5C">
        <w:trPr>
          <w:trHeight w:val="255"/>
        </w:trPr>
        <w:tc>
          <w:tcPr>
            <w:tcW w:w="5175" w:type="dxa"/>
            <w:shd w:val="clear" w:color="auto" w:fill="auto"/>
            <w:noWrap/>
            <w:vAlign w:val="bottom"/>
          </w:tcPr>
          <w:p w:rsidR="00691A5C" w:rsidRPr="00715D3A" w:rsidRDefault="00D97974" w:rsidP="001470EF">
            <w:pPr>
              <w:rPr>
                <w:rFonts w:ascii="Arial" w:hAnsi="Arial" w:cs="Arial"/>
                <w:b/>
                <w:bCs/>
                <w:lang w:eastAsia="en-GB"/>
              </w:rPr>
            </w:pPr>
            <w:r w:rsidRPr="00715D3A">
              <w:rPr>
                <w:rFonts w:ascii="Arial" w:hAnsi="Arial" w:cs="Arial"/>
                <w:b/>
                <w:bCs/>
                <w:lang w:eastAsia="en-GB"/>
              </w:rPr>
              <w:t xml:space="preserve">Net assets of the </w:t>
            </w:r>
            <w:r w:rsidR="001470EF">
              <w:rPr>
                <w:rFonts w:ascii="Arial" w:hAnsi="Arial" w:cs="Arial"/>
                <w:b/>
                <w:bCs/>
                <w:lang w:eastAsia="en-GB"/>
              </w:rPr>
              <w:t>fund</w:t>
            </w:r>
            <w:r w:rsidRPr="00715D3A">
              <w:rPr>
                <w:rFonts w:ascii="Arial" w:hAnsi="Arial" w:cs="Arial"/>
                <w:b/>
                <w:bCs/>
                <w:lang w:eastAsia="en-GB"/>
              </w:rPr>
              <w:t xml:space="preserve"> </w:t>
            </w:r>
            <w:r w:rsidR="00691A5C" w:rsidRPr="00715D3A">
              <w:rPr>
                <w:rFonts w:ascii="Arial" w:hAnsi="Arial" w:cs="Arial"/>
                <w:b/>
                <w:bCs/>
                <w:lang w:eastAsia="en-GB"/>
              </w:rPr>
              <w:t>available to fund</w:t>
            </w:r>
          </w:p>
        </w:tc>
        <w:tc>
          <w:tcPr>
            <w:tcW w:w="1200" w:type="dxa"/>
            <w:shd w:val="clear" w:color="auto" w:fill="auto"/>
            <w:noWrap/>
            <w:vAlign w:val="bottom"/>
          </w:tcPr>
          <w:p w:rsidR="00691A5C" w:rsidRPr="00715D3A" w:rsidRDefault="00691A5C" w:rsidP="00FC0563">
            <w:pPr>
              <w:jc w:val="center"/>
              <w:rPr>
                <w:rFonts w:ascii="Arial" w:hAnsi="Arial" w:cs="Arial"/>
                <w:lang w:eastAsia="en-GB"/>
              </w:rPr>
            </w:pPr>
          </w:p>
        </w:tc>
        <w:tc>
          <w:tcPr>
            <w:tcW w:w="1320" w:type="dxa"/>
            <w:tcBorders>
              <w:bottom w:val="single" w:sz="4" w:space="0" w:color="auto"/>
            </w:tcBorders>
            <w:shd w:val="clear" w:color="auto" w:fill="auto"/>
            <w:noWrap/>
            <w:vAlign w:val="bottom"/>
          </w:tcPr>
          <w:p w:rsidR="00691A5C" w:rsidRPr="00715D3A" w:rsidRDefault="00691A5C" w:rsidP="00FC0563">
            <w:pPr>
              <w:jc w:val="right"/>
              <w:rPr>
                <w:rFonts w:ascii="Arial" w:hAnsi="Arial" w:cs="Arial"/>
                <w:lang w:eastAsia="en-GB"/>
              </w:rPr>
            </w:pPr>
          </w:p>
        </w:tc>
        <w:tc>
          <w:tcPr>
            <w:tcW w:w="1200" w:type="dxa"/>
            <w:tcBorders>
              <w:bottom w:val="single" w:sz="4" w:space="0" w:color="auto"/>
            </w:tcBorders>
            <w:shd w:val="clear" w:color="auto" w:fill="auto"/>
            <w:noWrap/>
            <w:vAlign w:val="bottom"/>
          </w:tcPr>
          <w:p w:rsidR="00691A5C" w:rsidRPr="00534C68" w:rsidRDefault="00691A5C" w:rsidP="00FC0563">
            <w:pPr>
              <w:jc w:val="right"/>
              <w:rPr>
                <w:rFonts w:ascii="Arial" w:hAnsi="Arial" w:cs="Arial"/>
                <w:lang w:eastAsia="en-GB"/>
              </w:rPr>
            </w:pPr>
          </w:p>
        </w:tc>
      </w:tr>
      <w:tr w:rsidR="00691A5C" w:rsidRPr="003D2F7A" w:rsidTr="00691A5C">
        <w:trPr>
          <w:trHeight w:val="255"/>
        </w:trPr>
        <w:tc>
          <w:tcPr>
            <w:tcW w:w="5175" w:type="dxa"/>
            <w:shd w:val="clear" w:color="auto" w:fill="auto"/>
            <w:noWrap/>
            <w:vAlign w:val="bottom"/>
          </w:tcPr>
          <w:p w:rsidR="00691A5C" w:rsidRPr="00715D3A" w:rsidRDefault="001470EF" w:rsidP="00FC0563">
            <w:pPr>
              <w:rPr>
                <w:rFonts w:ascii="Arial" w:hAnsi="Arial" w:cs="Arial"/>
                <w:b/>
                <w:bCs/>
                <w:lang w:eastAsia="en-GB"/>
              </w:rPr>
            </w:pPr>
            <w:r>
              <w:rPr>
                <w:rFonts w:ascii="Arial" w:hAnsi="Arial" w:cs="Arial"/>
                <w:b/>
                <w:bCs/>
                <w:lang w:eastAsia="en-GB"/>
              </w:rPr>
              <w:t>b</w:t>
            </w:r>
            <w:r w:rsidR="00D97974" w:rsidRPr="00715D3A">
              <w:rPr>
                <w:rFonts w:ascii="Arial" w:hAnsi="Arial" w:cs="Arial"/>
                <w:b/>
                <w:bCs/>
                <w:lang w:eastAsia="en-GB"/>
              </w:rPr>
              <w:t xml:space="preserve">enefits at the </w:t>
            </w:r>
            <w:r w:rsidR="00691A5C" w:rsidRPr="00715D3A">
              <w:rPr>
                <w:rFonts w:ascii="Arial" w:hAnsi="Arial" w:cs="Arial"/>
                <w:b/>
                <w:bCs/>
                <w:lang w:eastAsia="en-GB"/>
              </w:rPr>
              <w:t>period end</w:t>
            </w:r>
          </w:p>
        </w:tc>
        <w:tc>
          <w:tcPr>
            <w:tcW w:w="1200" w:type="dxa"/>
            <w:shd w:val="clear" w:color="auto" w:fill="auto"/>
            <w:noWrap/>
            <w:vAlign w:val="bottom"/>
          </w:tcPr>
          <w:p w:rsidR="00691A5C" w:rsidRPr="00715D3A" w:rsidRDefault="00691A5C" w:rsidP="00FC0563">
            <w:pPr>
              <w:jc w:val="center"/>
              <w:rPr>
                <w:rFonts w:ascii="Arial" w:hAnsi="Arial" w:cs="Arial"/>
                <w:lang w:eastAsia="en-GB"/>
              </w:rPr>
            </w:pPr>
          </w:p>
        </w:tc>
        <w:tc>
          <w:tcPr>
            <w:tcW w:w="1320" w:type="dxa"/>
            <w:tcBorders>
              <w:top w:val="single" w:sz="4" w:space="0" w:color="auto"/>
              <w:bottom w:val="double" w:sz="4" w:space="0" w:color="auto"/>
            </w:tcBorders>
            <w:shd w:val="clear" w:color="auto" w:fill="auto"/>
            <w:noWrap/>
            <w:vAlign w:val="bottom"/>
          </w:tcPr>
          <w:p w:rsidR="00691A5C" w:rsidRPr="00715D3A" w:rsidRDefault="00715D3A" w:rsidP="00FC0563">
            <w:pPr>
              <w:jc w:val="right"/>
              <w:rPr>
                <w:rFonts w:ascii="Arial" w:hAnsi="Arial" w:cs="Arial"/>
                <w:b/>
                <w:lang w:eastAsia="en-GB"/>
              </w:rPr>
            </w:pPr>
            <w:r w:rsidRPr="00715D3A">
              <w:rPr>
                <w:rFonts w:ascii="Arial" w:hAnsi="Arial" w:cs="Arial"/>
                <w:b/>
                <w:lang w:eastAsia="en-GB"/>
              </w:rPr>
              <w:t>493,897</w:t>
            </w:r>
          </w:p>
        </w:tc>
        <w:tc>
          <w:tcPr>
            <w:tcW w:w="1200" w:type="dxa"/>
            <w:tcBorders>
              <w:top w:val="single" w:sz="4" w:space="0" w:color="auto"/>
              <w:bottom w:val="double" w:sz="4" w:space="0" w:color="auto"/>
            </w:tcBorders>
            <w:shd w:val="clear" w:color="auto" w:fill="auto"/>
            <w:noWrap/>
            <w:vAlign w:val="bottom"/>
          </w:tcPr>
          <w:p w:rsidR="00691A5C" w:rsidRPr="00534C68" w:rsidRDefault="00534C68" w:rsidP="00FC0563">
            <w:pPr>
              <w:jc w:val="right"/>
              <w:rPr>
                <w:rFonts w:ascii="Arial" w:hAnsi="Arial" w:cs="Arial"/>
                <w:b/>
                <w:lang w:eastAsia="en-GB"/>
              </w:rPr>
            </w:pPr>
            <w:r w:rsidRPr="00534C68">
              <w:rPr>
                <w:rFonts w:ascii="Arial" w:hAnsi="Arial" w:cs="Arial"/>
                <w:b/>
                <w:lang w:eastAsia="en-GB"/>
              </w:rPr>
              <w:t>547,883</w:t>
            </w:r>
          </w:p>
        </w:tc>
      </w:tr>
      <w:tr w:rsidR="00691A5C" w:rsidRPr="003D2F7A" w:rsidTr="00691A5C">
        <w:trPr>
          <w:trHeight w:val="85"/>
        </w:trPr>
        <w:tc>
          <w:tcPr>
            <w:tcW w:w="5175" w:type="dxa"/>
            <w:shd w:val="clear" w:color="auto" w:fill="auto"/>
            <w:noWrap/>
            <w:vAlign w:val="bottom"/>
          </w:tcPr>
          <w:p w:rsidR="00691A5C" w:rsidRPr="003D2F7A" w:rsidRDefault="00691A5C" w:rsidP="00FC0563">
            <w:pPr>
              <w:rPr>
                <w:rFonts w:ascii="Arial" w:hAnsi="Arial" w:cs="Arial"/>
                <w:highlight w:val="yellow"/>
                <w:lang w:eastAsia="en-GB"/>
              </w:rPr>
            </w:pPr>
          </w:p>
        </w:tc>
        <w:tc>
          <w:tcPr>
            <w:tcW w:w="1200" w:type="dxa"/>
            <w:shd w:val="clear" w:color="auto" w:fill="auto"/>
            <w:noWrap/>
            <w:vAlign w:val="bottom"/>
          </w:tcPr>
          <w:p w:rsidR="00691A5C" w:rsidRPr="003D2F7A" w:rsidRDefault="00691A5C" w:rsidP="00FC0563">
            <w:pPr>
              <w:rPr>
                <w:rFonts w:ascii="Arial" w:hAnsi="Arial" w:cs="Arial"/>
                <w:highlight w:val="yellow"/>
                <w:lang w:eastAsia="en-GB"/>
              </w:rPr>
            </w:pPr>
          </w:p>
        </w:tc>
        <w:tc>
          <w:tcPr>
            <w:tcW w:w="1320" w:type="dxa"/>
            <w:tcBorders>
              <w:top w:val="double" w:sz="4" w:space="0" w:color="auto"/>
            </w:tcBorders>
            <w:shd w:val="clear" w:color="auto" w:fill="auto"/>
            <w:noWrap/>
            <w:vAlign w:val="bottom"/>
          </w:tcPr>
          <w:p w:rsidR="00691A5C" w:rsidRPr="003D2F7A" w:rsidRDefault="00691A5C" w:rsidP="00FC0563">
            <w:pPr>
              <w:jc w:val="right"/>
              <w:rPr>
                <w:rFonts w:ascii="Arial" w:hAnsi="Arial" w:cs="Arial"/>
                <w:highlight w:val="yellow"/>
                <w:lang w:eastAsia="en-GB"/>
              </w:rPr>
            </w:pPr>
          </w:p>
        </w:tc>
        <w:tc>
          <w:tcPr>
            <w:tcW w:w="1200" w:type="dxa"/>
            <w:tcBorders>
              <w:top w:val="double" w:sz="4" w:space="0" w:color="auto"/>
            </w:tcBorders>
            <w:shd w:val="clear" w:color="auto" w:fill="auto"/>
            <w:noWrap/>
            <w:vAlign w:val="bottom"/>
          </w:tcPr>
          <w:p w:rsidR="00691A5C" w:rsidRPr="003D2F7A" w:rsidRDefault="00691A5C" w:rsidP="00FC0563">
            <w:pPr>
              <w:jc w:val="right"/>
              <w:rPr>
                <w:rFonts w:ascii="Arial" w:hAnsi="Arial" w:cs="Arial"/>
                <w:highlight w:val="yellow"/>
                <w:lang w:eastAsia="en-GB"/>
              </w:rPr>
            </w:pPr>
          </w:p>
        </w:tc>
      </w:tr>
    </w:tbl>
    <w:p w:rsidR="00925ED9" w:rsidRPr="00155B23" w:rsidRDefault="0019670A" w:rsidP="00925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3D2F7A">
        <w:rPr>
          <w:b/>
          <w:snapToGrid w:val="0"/>
          <w:color w:val="000000"/>
          <w:sz w:val="24"/>
          <w:highlight w:val="yellow"/>
        </w:rPr>
        <w:br w:type="page"/>
      </w:r>
      <w:r w:rsidR="00925ED9" w:rsidRPr="00155B23">
        <w:rPr>
          <w:rFonts w:ascii="Arial" w:hAnsi="Arial" w:cs="Arial"/>
          <w:b/>
          <w:snapToGrid w:val="0"/>
          <w:color w:val="000000"/>
          <w:sz w:val="24"/>
        </w:rPr>
        <w:lastRenderedPageBreak/>
        <w:t>N</w:t>
      </w:r>
      <w:r w:rsidR="00A455F3" w:rsidRPr="00155B23">
        <w:rPr>
          <w:rFonts w:ascii="Arial" w:hAnsi="Arial" w:cs="Arial"/>
          <w:b/>
          <w:snapToGrid w:val="0"/>
          <w:color w:val="000000"/>
          <w:sz w:val="24"/>
        </w:rPr>
        <w:t xml:space="preserve">otes to the </w:t>
      </w:r>
      <w:r w:rsidR="00155B23" w:rsidRPr="00155B23">
        <w:rPr>
          <w:rFonts w:ascii="Arial" w:hAnsi="Arial" w:cs="Arial"/>
          <w:b/>
          <w:snapToGrid w:val="0"/>
          <w:color w:val="000000"/>
          <w:sz w:val="24"/>
        </w:rPr>
        <w:t xml:space="preserve">Brent </w:t>
      </w:r>
      <w:r w:rsidR="00A455F3" w:rsidRPr="00155B23">
        <w:rPr>
          <w:rFonts w:ascii="Arial" w:hAnsi="Arial" w:cs="Arial"/>
          <w:b/>
          <w:snapToGrid w:val="0"/>
          <w:color w:val="000000"/>
          <w:sz w:val="24"/>
        </w:rPr>
        <w:t>Pension Fund accounts</w:t>
      </w:r>
    </w:p>
    <w:p w:rsidR="00925ED9" w:rsidRPr="00155B23" w:rsidRDefault="00925ED9" w:rsidP="00925ED9">
      <w:pPr>
        <w:widowControl w:val="0"/>
        <w:tabs>
          <w:tab w:val="left" w:pos="2967"/>
          <w:tab w:val="right" w:pos="6207"/>
          <w:tab w:val="right" w:pos="8007"/>
        </w:tabs>
        <w:rPr>
          <w:rFonts w:ascii="Arial" w:hAnsi="Arial" w:cs="Arial"/>
          <w:snapToGrid w:val="0"/>
          <w:color w:val="000000"/>
          <w:sz w:val="24"/>
        </w:rPr>
      </w:pPr>
    </w:p>
    <w:p w:rsidR="00925ED9" w:rsidRPr="00155B23" w:rsidRDefault="00925ED9" w:rsidP="00925ED9">
      <w:pPr>
        <w:widowControl w:val="0"/>
        <w:tabs>
          <w:tab w:val="left" w:pos="2967"/>
          <w:tab w:val="right" w:pos="6207"/>
          <w:tab w:val="right" w:pos="8007"/>
        </w:tabs>
        <w:rPr>
          <w:rFonts w:ascii="Arial" w:hAnsi="Arial" w:cs="Arial"/>
          <w:snapToGrid w:val="0"/>
          <w:color w:val="000000"/>
          <w:sz w:val="24"/>
        </w:rPr>
      </w:pPr>
      <w:r w:rsidRPr="00155B23">
        <w:rPr>
          <w:rFonts w:ascii="Arial" w:hAnsi="Arial" w:cs="Arial"/>
          <w:b/>
          <w:snapToGrid w:val="0"/>
          <w:color w:val="000000"/>
          <w:sz w:val="24"/>
        </w:rPr>
        <w:t>1</w:t>
      </w:r>
      <w:r w:rsidR="00A455F3" w:rsidRPr="00155B23">
        <w:rPr>
          <w:rFonts w:ascii="Arial" w:hAnsi="Arial" w:cs="Arial"/>
          <w:b/>
          <w:snapToGrid w:val="0"/>
          <w:color w:val="000000"/>
          <w:sz w:val="24"/>
        </w:rPr>
        <w:t>.</w:t>
      </w:r>
      <w:r w:rsidR="005A19EE" w:rsidRPr="00155B23">
        <w:rPr>
          <w:rFonts w:ascii="Arial" w:hAnsi="Arial" w:cs="Arial"/>
          <w:b/>
          <w:snapToGrid w:val="0"/>
          <w:color w:val="000000"/>
          <w:sz w:val="24"/>
        </w:rPr>
        <w:t xml:space="preserve"> </w:t>
      </w:r>
      <w:r w:rsidRPr="00155B23">
        <w:rPr>
          <w:rFonts w:ascii="Arial" w:hAnsi="Arial" w:cs="Arial"/>
          <w:b/>
          <w:snapToGrid w:val="0"/>
          <w:color w:val="000000"/>
          <w:sz w:val="24"/>
        </w:rPr>
        <w:t xml:space="preserve"> </w:t>
      </w:r>
      <w:r w:rsidR="00506CAB" w:rsidRPr="00155B23">
        <w:rPr>
          <w:rFonts w:ascii="Arial" w:hAnsi="Arial" w:cs="Arial"/>
          <w:b/>
          <w:snapToGrid w:val="0"/>
          <w:color w:val="000000"/>
          <w:sz w:val="24"/>
        </w:rPr>
        <w:t>D</w:t>
      </w:r>
      <w:r w:rsidR="00A455F3" w:rsidRPr="00155B23">
        <w:rPr>
          <w:rFonts w:ascii="Arial" w:hAnsi="Arial" w:cs="Arial"/>
          <w:b/>
          <w:snapToGrid w:val="0"/>
          <w:color w:val="000000"/>
          <w:sz w:val="24"/>
        </w:rPr>
        <w:t>escription of Fund</w:t>
      </w:r>
    </w:p>
    <w:p w:rsidR="00925ED9" w:rsidRPr="00155B23" w:rsidRDefault="00925ED9" w:rsidP="00925ED9">
      <w:pPr>
        <w:widowControl w:val="0"/>
        <w:tabs>
          <w:tab w:val="left" w:pos="180"/>
          <w:tab w:val="right" w:pos="3060"/>
          <w:tab w:val="right" w:pos="4150"/>
        </w:tabs>
        <w:rPr>
          <w:rFonts w:ascii="Arial" w:hAnsi="Arial" w:cs="Arial"/>
          <w:snapToGrid w:val="0"/>
          <w:color w:val="000000"/>
          <w:sz w:val="24"/>
        </w:rPr>
      </w:pPr>
    </w:p>
    <w:p w:rsidR="000627F4" w:rsidRPr="00155B23" w:rsidRDefault="00925ED9" w:rsidP="003810B6">
      <w:pPr>
        <w:widowControl w:val="0"/>
        <w:tabs>
          <w:tab w:val="left" w:pos="180"/>
          <w:tab w:val="right" w:pos="3060"/>
          <w:tab w:val="right" w:pos="4150"/>
        </w:tabs>
        <w:rPr>
          <w:rFonts w:ascii="Arial" w:hAnsi="Arial" w:cs="Arial"/>
          <w:sz w:val="24"/>
          <w:szCs w:val="24"/>
        </w:rPr>
      </w:pPr>
      <w:r w:rsidRPr="00155B23">
        <w:rPr>
          <w:rFonts w:ascii="Arial" w:hAnsi="Arial" w:cs="Arial"/>
          <w:snapToGrid w:val="0"/>
          <w:color w:val="000000"/>
          <w:sz w:val="24"/>
          <w:szCs w:val="24"/>
        </w:rPr>
        <w:t xml:space="preserve">The </w:t>
      </w:r>
      <w:r w:rsidR="00930E94">
        <w:rPr>
          <w:rFonts w:ascii="Arial" w:hAnsi="Arial" w:cs="Arial"/>
          <w:snapToGrid w:val="0"/>
          <w:color w:val="000000"/>
          <w:sz w:val="24"/>
          <w:szCs w:val="24"/>
        </w:rPr>
        <w:t>Brent Pension Fund (the ‘F</w:t>
      </w:r>
      <w:r w:rsidR="00942E11" w:rsidRPr="00155B23">
        <w:rPr>
          <w:rFonts w:ascii="Arial" w:hAnsi="Arial" w:cs="Arial"/>
          <w:snapToGrid w:val="0"/>
          <w:color w:val="000000"/>
          <w:sz w:val="24"/>
          <w:szCs w:val="24"/>
        </w:rPr>
        <w:t>und</w:t>
      </w:r>
      <w:r w:rsidR="000627F4" w:rsidRPr="00155B23">
        <w:rPr>
          <w:rFonts w:ascii="Arial" w:hAnsi="Arial" w:cs="Arial"/>
          <w:snapToGrid w:val="0"/>
          <w:color w:val="000000"/>
          <w:sz w:val="24"/>
          <w:szCs w:val="24"/>
        </w:rPr>
        <w:t>’</w:t>
      </w:r>
      <w:r w:rsidR="00942E11" w:rsidRPr="00155B23">
        <w:rPr>
          <w:rFonts w:ascii="Arial" w:hAnsi="Arial" w:cs="Arial"/>
          <w:snapToGrid w:val="0"/>
          <w:color w:val="000000"/>
          <w:sz w:val="24"/>
          <w:szCs w:val="24"/>
        </w:rPr>
        <w:t xml:space="preserve">) is part of the </w:t>
      </w:r>
      <w:r w:rsidR="005A44A8" w:rsidRPr="00155B23">
        <w:rPr>
          <w:rFonts w:ascii="Arial" w:hAnsi="Arial" w:cs="Arial"/>
          <w:sz w:val="24"/>
          <w:szCs w:val="24"/>
        </w:rPr>
        <w:t xml:space="preserve">Local Government Pension Scheme </w:t>
      </w:r>
      <w:r w:rsidR="000627F4" w:rsidRPr="00155B23">
        <w:rPr>
          <w:rFonts w:ascii="Arial" w:hAnsi="Arial" w:cs="Arial"/>
          <w:sz w:val="24"/>
          <w:szCs w:val="24"/>
        </w:rPr>
        <w:t xml:space="preserve">and is administered by </w:t>
      </w:r>
      <w:r w:rsidR="00155B23" w:rsidRPr="00155B23">
        <w:rPr>
          <w:rFonts w:ascii="Arial" w:hAnsi="Arial" w:cs="Arial"/>
          <w:sz w:val="24"/>
          <w:szCs w:val="24"/>
        </w:rPr>
        <w:t>Brent</w:t>
      </w:r>
      <w:r w:rsidR="000627F4" w:rsidRPr="00155B23">
        <w:rPr>
          <w:rFonts w:ascii="Arial" w:hAnsi="Arial" w:cs="Arial"/>
          <w:sz w:val="24"/>
          <w:szCs w:val="24"/>
        </w:rPr>
        <w:t xml:space="preserve"> Council. The </w:t>
      </w:r>
      <w:r w:rsidR="00A5219A">
        <w:rPr>
          <w:rFonts w:ascii="Arial" w:hAnsi="Arial" w:cs="Arial"/>
          <w:sz w:val="24"/>
          <w:szCs w:val="24"/>
        </w:rPr>
        <w:t>C</w:t>
      </w:r>
      <w:r w:rsidR="000627F4" w:rsidRPr="00155B23">
        <w:rPr>
          <w:rFonts w:ascii="Arial" w:hAnsi="Arial" w:cs="Arial"/>
          <w:sz w:val="24"/>
          <w:szCs w:val="24"/>
        </w:rPr>
        <w:t>ouncil is</w:t>
      </w:r>
      <w:r w:rsidR="00A5219A">
        <w:rPr>
          <w:rFonts w:ascii="Arial" w:hAnsi="Arial" w:cs="Arial"/>
          <w:sz w:val="24"/>
          <w:szCs w:val="24"/>
        </w:rPr>
        <w:t xml:space="preserve"> the reporting entity for this Pension F</w:t>
      </w:r>
      <w:r w:rsidR="000627F4" w:rsidRPr="00155B23">
        <w:rPr>
          <w:rFonts w:ascii="Arial" w:hAnsi="Arial" w:cs="Arial"/>
          <w:sz w:val="24"/>
          <w:szCs w:val="24"/>
        </w:rPr>
        <w:t>und.</w:t>
      </w:r>
    </w:p>
    <w:p w:rsidR="000627F4" w:rsidRPr="00155B23" w:rsidRDefault="000627F4" w:rsidP="003810B6">
      <w:pPr>
        <w:widowControl w:val="0"/>
        <w:tabs>
          <w:tab w:val="left" w:pos="180"/>
          <w:tab w:val="right" w:pos="3060"/>
          <w:tab w:val="right" w:pos="4150"/>
        </w:tabs>
        <w:rPr>
          <w:rFonts w:ascii="Arial" w:hAnsi="Arial" w:cs="Arial"/>
          <w:sz w:val="24"/>
          <w:szCs w:val="24"/>
        </w:rPr>
      </w:pPr>
    </w:p>
    <w:p w:rsidR="000627F4" w:rsidRPr="00155B23" w:rsidRDefault="000627F4" w:rsidP="003810B6">
      <w:pPr>
        <w:widowControl w:val="0"/>
        <w:tabs>
          <w:tab w:val="left" w:pos="180"/>
          <w:tab w:val="right" w:pos="3060"/>
          <w:tab w:val="right" w:pos="4150"/>
        </w:tabs>
        <w:rPr>
          <w:rFonts w:ascii="Arial" w:hAnsi="Arial" w:cs="Arial"/>
          <w:sz w:val="24"/>
          <w:szCs w:val="24"/>
        </w:rPr>
      </w:pPr>
      <w:r w:rsidRPr="00155B23">
        <w:rPr>
          <w:rFonts w:ascii="Arial" w:hAnsi="Arial" w:cs="Arial"/>
          <w:sz w:val="24"/>
          <w:szCs w:val="24"/>
        </w:rPr>
        <w:t>Th</w:t>
      </w:r>
      <w:r w:rsidR="00155B23" w:rsidRPr="00155B23">
        <w:rPr>
          <w:rFonts w:ascii="Arial" w:hAnsi="Arial" w:cs="Arial"/>
          <w:sz w:val="24"/>
          <w:szCs w:val="24"/>
        </w:rPr>
        <w:t>e follo</w:t>
      </w:r>
      <w:r w:rsidR="00A5219A">
        <w:rPr>
          <w:rFonts w:ascii="Arial" w:hAnsi="Arial" w:cs="Arial"/>
          <w:sz w:val="24"/>
          <w:szCs w:val="24"/>
        </w:rPr>
        <w:t>wing description of the F</w:t>
      </w:r>
      <w:r w:rsidRPr="00155B23">
        <w:rPr>
          <w:rFonts w:ascii="Arial" w:hAnsi="Arial" w:cs="Arial"/>
          <w:sz w:val="24"/>
          <w:szCs w:val="24"/>
        </w:rPr>
        <w:t xml:space="preserve">und is a summary only. For more detail, reference should be made to the </w:t>
      </w:r>
      <w:r w:rsidR="00155B23" w:rsidRPr="00155B23">
        <w:rPr>
          <w:rFonts w:ascii="Arial" w:hAnsi="Arial" w:cs="Arial"/>
          <w:sz w:val="24"/>
          <w:szCs w:val="24"/>
        </w:rPr>
        <w:t>Brent</w:t>
      </w:r>
      <w:r w:rsidRPr="00155B23">
        <w:rPr>
          <w:rFonts w:ascii="Arial" w:hAnsi="Arial" w:cs="Arial"/>
          <w:sz w:val="24"/>
          <w:szCs w:val="24"/>
        </w:rPr>
        <w:t xml:space="preserve"> Pension Fund Annual Report 201</w:t>
      </w:r>
      <w:r w:rsidR="00155B23" w:rsidRPr="00155B23">
        <w:rPr>
          <w:rFonts w:ascii="Arial" w:hAnsi="Arial" w:cs="Arial"/>
          <w:sz w:val="24"/>
          <w:szCs w:val="24"/>
        </w:rPr>
        <w:t>2/13</w:t>
      </w:r>
      <w:r w:rsidRPr="00155B23">
        <w:rPr>
          <w:rFonts w:ascii="Arial" w:hAnsi="Arial" w:cs="Arial"/>
          <w:sz w:val="24"/>
          <w:szCs w:val="24"/>
        </w:rPr>
        <w:t xml:space="preserve"> and the underlying statutory powers underpinning the </w:t>
      </w:r>
      <w:r w:rsidR="00155B23" w:rsidRPr="00155B23">
        <w:rPr>
          <w:rFonts w:ascii="Arial" w:hAnsi="Arial" w:cs="Arial"/>
          <w:sz w:val="24"/>
          <w:szCs w:val="24"/>
        </w:rPr>
        <w:t>s</w:t>
      </w:r>
      <w:r w:rsidRPr="00155B23">
        <w:rPr>
          <w:rFonts w:ascii="Arial" w:hAnsi="Arial" w:cs="Arial"/>
          <w:sz w:val="24"/>
          <w:szCs w:val="24"/>
        </w:rPr>
        <w:t>cheme, namely the Superannuation Act 1972 and the Local Government Pension Scheme (LGPS) Regulations.</w:t>
      </w:r>
    </w:p>
    <w:p w:rsidR="000627F4" w:rsidRPr="00437ABA" w:rsidRDefault="000627F4" w:rsidP="003810B6">
      <w:pPr>
        <w:widowControl w:val="0"/>
        <w:tabs>
          <w:tab w:val="left" w:pos="180"/>
          <w:tab w:val="right" w:pos="3060"/>
          <w:tab w:val="right" w:pos="4150"/>
        </w:tabs>
        <w:rPr>
          <w:rFonts w:ascii="Arial" w:hAnsi="Arial" w:cs="Arial"/>
          <w:sz w:val="24"/>
          <w:szCs w:val="24"/>
        </w:rPr>
      </w:pPr>
    </w:p>
    <w:p w:rsidR="000627F4" w:rsidRPr="00437ABA" w:rsidRDefault="000627F4" w:rsidP="000627F4">
      <w:pPr>
        <w:widowControl w:val="0"/>
        <w:tabs>
          <w:tab w:val="left" w:pos="600"/>
          <w:tab w:val="right" w:pos="3060"/>
          <w:tab w:val="right" w:pos="4150"/>
        </w:tabs>
        <w:rPr>
          <w:rFonts w:ascii="Arial" w:hAnsi="Arial" w:cs="Arial"/>
          <w:b/>
          <w:sz w:val="24"/>
          <w:szCs w:val="24"/>
        </w:rPr>
      </w:pPr>
      <w:r w:rsidRPr="00437ABA">
        <w:rPr>
          <w:rFonts w:ascii="Arial" w:hAnsi="Arial" w:cs="Arial"/>
          <w:b/>
          <w:sz w:val="24"/>
          <w:szCs w:val="24"/>
        </w:rPr>
        <w:t>a)</w:t>
      </w:r>
      <w:r w:rsidRPr="00437ABA">
        <w:rPr>
          <w:rFonts w:ascii="Arial" w:hAnsi="Arial" w:cs="Arial"/>
          <w:b/>
          <w:sz w:val="24"/>
          <w:szCs w:val="24"/>
        </w:rPr>
        <w:tab/>
        <w:t>General</w:t>
      </w:r>
    </w:p>
    <w:p w:rsidR="000627F4" w:rsidRPr="00437ABA" w:rsidRDefault="000627F4" w:rsidP="000627F4">
      <w:pPr>
        <w:widowControl w:val="0"/>
        <w:tabs>
          <w:tab w:val="left" w:pos="600"/>
          <w:tab w:val="right" w:pos="3060"/>
          <w:tab w:val="right" w:pos="4150"/>
        </w:tabs>
        <w:rPr>
          <w:rFonts w:ascii="Arial" w:hAnsi="Arial" w:cs="Arial"/>
          <w:sz w:val="24"/>
          <w:szCs w:val="24"/>
        </w:rPr>
      </w:pPr>
    </w:p>
    <w:p w:rsidR="000627F4" w:rsidRPr="00437ABA" w:rsidRDefault="00A5219A" w:rsidP="000627F4">
      <w:pPr>
        <w:widowControl w:val="0"/>
        <w:tabs>
          <w:tab w:val="left" w:pos="600"/>
          <w:tab w:val="right" w:pos="3060"/>
          <w:tab w:val="right" w:pos="4150"/>
        </w:tabs>
        <w:ind w:left="600" w:hanging="600"/>
        <w:rPr>
          <w:rFonts w:ascii="Arial" w:hAnsi="Arial" w:cs="Arial"/>
          <w:sz w:val="24"/>
          <w:szCs w:val="24"/>
        </w:rPr>
      </w:pPr>
      <w:r>
        <w:rPr>
          <w:rFonts w:ascii="Arial" w:hAnsi="Arial" w:cs="Arial"/>
          <w:sz w:val="24"/>
          <w:szCs w:val="24"/>
        </w:rPr>
        <w:tab/>
        <w:t>The F</w:t>
      </w:r>
      <w:r w:rsidR="000627F4" w:rsidRPr="00437ABA">
        <w:rPr>
          <w:rFonts w:ascii="Arial" w:hAnsi="Arial" w:cs="Arial"/>
          <w:sz w:val="24"/>
          <w:szCs w:val="24"/>
        </w:rPr>
        <w:t>und is governed by th</w:t>
      </w:r>
      <w:r>
        <w:rPr>
          <w:rFonts w:ascii="Arial" w:hAnsi="Arial" w:cs="Arial"/>
          <w:sz w:val="24"/>
          <w:szCs w:val="24"/>
        </w:rPr>
        <w:t>e Superannuation Act 1972. The F</w:t>
      </w:r>
      <w:r w:rsidR="000627F4" w:rsidRPr="00437ABA">
        <w:rPr>
          <w:rFonts w:ascii="Arial" w:hAnsi="Arial" w:cs="Arial"/>
          <w:sz w:val="24"/>
          <w:szCs w:val="24"/>
        </w:rPr>
        <w:t>und is administered in accordance with the following secondary legislation:</w:t>
      </w:r>
    </w:p>
    <w:p w:rsidR="000627F4" w:rsidRPr="00437ABA" w:rsidRDefault="000627F4" w:rsidP="00907AD2">
      <w:pPr>
        <w:widowControl w:val="0"/>
        <w:numPr>
          <w:ilvl w:val="0"/>
          <w:numId w:val="2"/>
        </w:numPr>
        <w:tabs>
          <w:tab w:val="left" w:pos="600"/>
          <w:tab w:val="right" w:pos="3060"/>
          <w:tab w:val="right" w:pos="4150"/>
        </w:tabs>
        <w:rPr>
          <w:rFonts w:ascii="Arial" w:hAnsi="Arial" w:cs="Arial"/>
          <w:sz w:val="24"/>
          <w:szCs w:val="24"/>
        </w:rPr>
      </w:pPr>
      <w:r w:rsidRPr="00437ABA">
        <w:rPr>
          <w:rFonts w:ascii="Arial" w:hAnsi="Arial" w:cs="Arial"/>
          <w:sz w:val="24"/>
          <w:szCs w:val="24"/>
        </w:rPr>
        <w:t>the LGPS (Benefits, Membership and Contributions) Regulations 2007 (as amended)</w:t>
      </w:r>
    </w:p>
    <w:p w:rsidR="000627F4" w:rsidRPr="00437ABA" w:rsidRDefault="00D37AD4" w:rsidP="00907AD2">
      <w:pPr>
        <w:widowControl w:val="0"/>
        <w:numPr>
          <w:ilvl w:val="0"/>
          <w:numId w:val="2"/>
        </w:numPr>
        <w:tabs>
          <w:tab w:val="left" w:pos="600"/>
          <w:tab w:val="right" w:pos="3060"/>
          <w:tab w:val="right" w:pos="4150"/>
        </w:tabs>
        <w:rPr>
          <w:rFonts w:ascii="Arial" w:hAnsi="Arial" w:cs="Arial"/>
          <w:sz w:val="24"/>
          <w:szCs w:val="24"/>
        </w:rPr>
      </w:pPr>
      <w:r w:rsidRPr="00437ABA">
        <w:rPr>
          <w:rFonts w:ascii="Arial" w:hAnsi="Arial" w:cs="Arial"/>
          <w:sz w:val="24"/>
          <w:szCs w:val="24"/>
        </w:rPr>
        <w:t>the LGPS (Administration) Regulations 2008 (as amended)</w:t>
      </w:r>
    </w:p>
    <w:p w:rsidR="00D37AD4" w:rsidRPr="00437ABA" w:rsidRDefault="00D37AD4" w:rsidP="00907AD2">
      <w:pPr>
        <w:widowControl w:val="0"/>
        <w:numPr>
          <w:ilvl w:val="0"/>
          <w:numId w:val="2"/>
        </w:numPr>
        <w:tabs>
          <w:tab w:val="left" w:pos="600"/>
          <w:tab w:val="right" w:pos="3060"/>
          <w:tab w:val="right" w:pos="4150"/>
        </w:tabs>
        <w:rPr>
          <w:rFonts w:ascii="Arial" w:hAnsi="Arial" w:cs="Arial"/>
          <w:sz w:val="24"/>
          <w:szCs w:val="24"/>
        </w:rPr>
      </w:pPr>
      <w:r w:rsidRPr="00437ABA">
        <w:rPr>
          <w:rFonts w:ascii="Arial" w:hAnsi="Arial" w:cs="Arial"/>
          <w:sz w:val="24"/>
          <w:szCs w:val="24"/>
        </w:rPr>
        <w:t>the LGPS (Management and Investment of Funds) Regulations 2009.</w:t>
      </w:r>
    </w:p>
    <w:p w:rsidR="000627F4" w:rsidRPr="00437ABA" w:rsidRDefault="000627F4" w:rsidP="000627F4">
      <w:pPr>
        <w:widowControl w:val="0"/>
        <w:tabs>
          <w:tab w:val="left" w:pos="600"/>
          <w:tab w:val="right" w:pos="3060"/>
          <w:tab w:val="right" w:pos="4150"/>
        </w:tabs>
        <w:ind w:left="600" w:hanging="600"/>
        <w:rPr>
          <w:rFonts w:ascii="Arial" w:hAnsi="Arial" w:cs="Arial"/>
          <w:sz w:val="24"/>
          <w:szCs w:val="24"/>
        </w:rPr>
      </w:pPr>
      <w:r w:rsidRPr="00437ABA">
        <w:rPr>
          <w:rFonts w:ascii="Arial" w:hAnsi="Arial" w:cs="Arial"/>
          <w:sz w:val="24"/>
          <w:szCs w:val="24"/>
        </w:rPr>
        <w:tab/>
      </w:r>
    </w:p>
    <w:p w:rsidR="00FB2762" w:rsidRPr="00437ABA" w:rsidRDefault="00D37AD4" w:rsidP="00FB2762">
      <w:pPr>
        <w:widowControl w:val="0"/>
        <w:tabs>
          <w:tab w:val="left" w:pos="600"/>
          <w:tab w:val="right" w:pos="3060"/>
          <w:tab w:val="right" w:pos="4150"/>
        </w:tabs>
        <w:ind w:left="600" w:hanging="600"/>
        <w:rPr>
          <w:rFonts w:ascii="Arial" w:hAnsi="Arial" w:cs="Arial"/>
          <w:snapToGrid w:val="0"/>
          <w:color w:val="000000"/>
          <w:sz w:val="24"/>
        </w:rPr>
      </w:pPr>
      <w:r w:rsidRPr="00437ABA">
        <w:rPr>
          <w:rFonts w:ascii="Arial" w:hAnsi="Arial" w:cs="Arial"/>
          <w:sz w:val="24"/>
          <w:szCs w:val="24"/>
        </w:rPr>
        <w:tab/>
        <w:t xml:space="preserve">It is a contributory </w:t>
      </w:r>
      <w:r w:rsidR="0008761B" w:rsidRPr="00437ABA">
        <w:rPr>
          <w:rFonts w:ascii="Arial" w:hAnsi="Arial" w:cs="Arial"/>
          <w:sz w:val="24"/>
          <w:szCs w:val="24"/>
        </w:rPr>
        <w:t xml:space="preserve">defined pension scheme </w:t>
      </w:r>
      <w:r w:rsidR="00437ABA" w:rsidRPr="00437ABA">
        <w:rPr>
          <w:rFonts w:ascii="Arial" w:hAnsi="Arial" w:cs="Arial"/>
          <w:sz w:val="24"/>
          <w:szCs w:val="24"/>
        </w:rPr>
        <w:t xml:space="preserve">administered by Brent Council </w:t>
      </w:r>
      <w:r w:rsidR="0008761B" w:rsidRPr="00437ABA">
        <w:rPr>
          <w:rFonts w:ascii="Arial" w:hAnsi="Arial" w:cs="Arial"/>
          <w:sz w:val="24"/>
          <w:szCs w:val="24"/>
        </w:rPr>
        <w:t xml:space="preserve">to provide pensions and other benefits for pensionable employees of </w:t>
      </w:r>
      <w:r w:rsidR="00437ABA" w:rsidRPr="00437ABA">
        <w:rPr>
          <w:rFonts w:ascii="Arial" w:hAnsi="Arial" w:cs="Arial"/>
          <w:sz w:val="24"/>
          <w:szCs w:val="24"/>
        </w:rPr>
        <w:t>Brent</w:t>
      </w:r>
      <w:r w:rsidR="0008761B" w:rsidRPr="00437ABA">
        <w:rPr>
          <w:rFonts w:ascii="Arial" w:hAnsi="Arial" w:cs="Arial"/>
          <w:sz w:val="24"/>
          <w:szCs w:val="24"/>
        </w:rPr>
        <w:t xml:space="preserve"> Council</w:t>
      </w:r>
      <w:r w:rsidR="00437ABA" w:rsidRPr="00437ABA">
        <w:rPr>
          <w:rFonts w:ascii="Arial" w:hAnsi="Arial" w:cs="Arial"/>
          <w:sz w:val="24"/>
          <w:szCs w:val="24"/>
        </w:rPr>
        <w:t xml:space="preserve"> and a range of </w:t>
      </w:r>
      <w:r w:rsidR="000D6654" w:rsidRPr="00437ABA">
        <w:rPr>
          <w:rFonts w:ascii="Arial" w:hAnsi="Arial" w:cs="Arial"/>
          <w:snapToGrid w:val="0"/>
          <w:color w:val="000000"/>
          <w:sz w:val="24"/>
        </w:rPr>
        <w:t xml:space="preserve">other scheduled and admitted bodies </w:t>
      </w:r>
      <w:r w:rsidR="00C024BF" w:rsidRPr="00437ABA">
        <w:rPr>
          <w:rFonts w:ascii="Arial" w:hAnsi="Arial" w:cs="Arial"/>
          <w:snapToGrid w:val="0"/>
          <w:color w:val="000000"/>
          <w:sz w:val="24"/>
        </w:rPr>
        <w:t xml:space="preserve">within the </w:t>
      </w:r>
      <w:r w:rsidR="00437ABA" w:rsidRPr="00437ABA">
        <w:rPr>
          <w:rFonts w:ascii="Arial" w:hAnsi="Arial" w:cs="Arial"/>
          <w:snapToGrid w:val="0"/>
          <w:color w:val="000000"/>
          <w:sz w:val="24"/>
        </w:rPr>
        <w:t>borough</w:t>
      </w:r>
      <w:r w:rsidR="00C024BF" w:rsidRPr="00437ABA">
        <w:rPr>
          <w:rFonts w:ascii="Arial" w:hAnsi="Arial" w:cs="Arial"/>
          <w:snapToGrid w:val="0"/>
          <w:color w:val="000000"/>
          <w:sz w:val="24"/>
        </w:rPr>
        <w:t xml:space="preserve"> area. T</w:t>
      </w:r>
      <w:r w:rsidR="000D6654" w:rsidRPr="00437ABA">
        <w:rPr>
          <w:rFonts w:ascii="Arial" w:hAnsi="Arial" w:cs="Arial"/>
          <w:snapToGrid w:val="0"/>
          <w:color w:val="000000"/>
          <w:sz w:val="24"/>
        </w:rPr>
        <w:t xml:space="preserve">eachers, </w:t>
      </w:r>
      <w:r w:rsidR="006612A0" w:rsidRPr="00437ABA">
        <w:rPr>
          <w:rFonts w:ascii="Arial" w:hAnsi="Arial" w:cs="Arial"/>
          <w:snapToGrid w:val="0"/>
          <w:color w:val="000000"/>
          <w:sz w:val="24"/>
        </w:rPr>
        <w:t>police officers an</w:t>
      </w:r>
      <w:r w:rsidR="00C024BF" w:rsidRPr="00437ABA">
        <w:rPr>
          <w:rFonts w:ascii="Arial" w:hAnsi="Arial" w:cs="Arial"/>
          <w:snapToGrid w:val="0"/>
          <w:color w:val="000000"/>
          <w:sz w:val="24"/>
        </w:rPr>
        <w:t xml:space="preserve">d </w:t>
      </w:r>
      <w:r w:rsidR="006612A0" w:rsidRPr="00437ABA">
        <w:rPr>
          <w:rFonts w:ascii="Arial" w:hAnsi="Arial" w:cs="Arial"/>
          <w:snapToGrid w:val="0"/>
          <w:color w:val="000000"/>
          <w:sz w:val="24"/>
        </w:rPr>
        <w:t>firefighters are not included as they come within other national pension schemes.</w:t>
      </w:r>
    </w:p>
    <w:p w:rsidR="00FB2762" w:rsidRPr="00437ABA" w:rsidRDefault="00FB2762" w:rsidP="00FB2762">
      <w:pPr>
        <w:widowControl w:val="0"/>
        <w:tabs>
          <w:tab w:val="left" w:pos="600"/>
          <w:tab w:val="right" w:pos="3060"/>
          <w:tab w:val="right" w:pos="4150"/>
        </w:tabs>
        <w:ind w:left="600" w:hanging="600"/>
        <w:rPr>
          <w:rFonts w:ascii="Arial" w:hAnsi="Arial" w:cs="Arial"/>
          <w:sz w:val="24"/>
          <w:szCs w:val="24"/>
        </w:rPr>
      </w:pPr>
      <w:r w:rsidRPr="00437ABA">
        <w:rPr>
          <w:rFonts w:ascii="Arial" w:hAnsi="Arial" w:cs="Arial"/>
          <w:sz w:val="24"/>
          <w:szCs w:val="24"/>
        </w:rPr>
        <w:tab/>
      </w:r>
    </w:p>
    <w:p w:rsidR="00D37AD4" w:rsidRPr="00437ABA" w:rsidRDefault="00FB2762" w:rsidP="00506CAB">
      <w:pPr>
        <w:widowControl w:val="0"/>
        <w:tabs>
          <w:tab w:val="left" w:pos="600"/>
          <w:tab w:val="right" w:pos="3060"/>
          <w:tab w:val="right" w:pos="4150"/>
        </w:tabs>
        <w:ind w:left="600" w:hanging="600"/>
        <w:rPr>
          <w:rFonts w:ascii="Arial" w:hAnsi="Arial" w:cs="Arial"/>
          <w:sz w:val="24"/>
          <w:szCs w:val="24"/>
        </w:rPr>
      </w:pPr>
      <w:r w:rsidRPr="00437ABA">
        <w:rPr>
          <w:rFonts w:ascii="Arial" w:hAnsi="Arial" w:cs="Arial"/>
          <w:sz w:val="24"/>
          <w:szCs w:val="24"/>
        </w:rPr>
        <w:tab/>
        <w:t xml:space="preserve">The </w:t>
      </w:r>
      <w:r w:rsidR="00B9594B">
        <w:rPr>
          <w:rFonts w:ascii="Arial" w:hAnsi="Arial" w:cs="Arial"/>
          <w:sz w:val="24"/>
          <w:szCs w:val="24"/>
        </w:rPr>
        <w:t>F</w:t>
      </w:r>
      <w:r w:rsidR="00A23F6A" w:rsidRPr="00437ABA">
        <w:rPr>
          <w:rFonts w:ascii="Arial" w:hAnsi="Arial" w:cs="Arial"/>
          <w:sz w:val="24"/>
          <w:szCs w:val="24"/>
        </w:rPr>
        <w:t xml:space="preserve">und is overseen by the </w:t>
      </w:r>
      <w:r w:rsidR="00437ABA" w:rsidRPr="00437ABA">
        <w:rPr>
          <w:rFonts w:ascii="Arial" w:hAnsi="Arial" w:cs="Arial"/>
          <w:sz w:val="24"/>
          <w:szCs w:val="24"/>
        </w:rPr>
        <w:t xml:space="preserve">Brent </w:t>
      </w:r>
      <w:r w:rsidRPr="00437ABA">
        <w:rPr>
          <w:rFonts w:ascii="Arial" w:hAnsi="Arial" w:cs="Arial"/>
          <w:sz w:val="24"/>
          <w:szCs w:val="24"/>
        </w:rPr>
        <w:t xml:space="preserve">Pension Fund </w:t>
      </w:r>
      <w:r w:rsidR="00437ABA" w:rsidRPr="00437ABA">
        <w:rPr>
          <w:rFonts w:ascii="Arial" w:hAnsi="Arial" w:cs="Arial"/>
          <w:sz w:val="24"/>
          <w:szCs w:val="24"/>
        </w:rPr>
        <w:t>Sub-Committee</w:t>
      </w:r>
      <w:r w:rsidR="00A23F6A" w:rsidRPr="00437ABA">
        <w:rPr>
          <w:rFonts w:ascii="Arial" w:hAnsi="Arial" w:cs="Arial"/>
          <w:sz w:val="24"/>
          <w:szCs w:val="24"/>
        </w:rPr>
        <w:t xml:space="preserve">, which is a committee of </w:t>
      </w:r>
      <w:r w:rsidR="00437ABA" w:rsidRPr="00437ABA">
        <w:rPr>
          <w:rFonts w:ascii="Arial" w:hAnsi="Arial" w:cs="Arial"/>
          <w:sz w:val="24"/>
          <w:szCs w:val="24"/>
        </w:rPr>
        <w:t xml:space="preserve">Brent </w:t>
      </w:r>
      <w:r w:rsidR="00A23F6A" w:rsidRPr="00437ABA">
        <w:rPr>
          <w:rFonts w:ascii="Arial" w:hAnsi="Arial" w:cs="Arial"/>
          <w:sz w:val="24"/>
          <w:szCs w:val="24"/>
        </w:rPr>
        <w:t>Council</w:t>
      </w:r>
      <w:r w:rsidR="00A200B7" w:rsidRPr="00437ABA">
        <w:rPr>
          <w:rFonts w:ascii="Arial" w:hAnsi="Arial" w:cs="Arial"/>
          <w:sz w:val="24"/>
          <w:szCs w:val="24"/>
        </w:rPr>
        <w:t>.</w:t>
      </w:r>
    </w:p>
    <w:p w:rsidR="00D37AD4" w:rsidRPr="005363D8" w:rsidRDefault="00D37AD4" w:rsidP="003810B6">
      <w:pPr>
        <w:widowControl w:val="0"/>
        <w:tabs>
          <w:tab w:val="left" w:pos="180"/>
          <w:tab w:val="right" w:pos="3060"/>
          <w:tab w:val="right" w:pos="4150"/>
        </w:tabs>
        <w:rPr>
          <w:rFonts w:ascii="Arial" w:hAnsi="Arial" w:cs="Arial"/>
          <w:sz w:val="24"/>
          <w:szCs w:val="24"/>
        </w:rPr>
      </w:pPr>
    </w:p>
    <w:p w:rsidR="000627F4" w:rsidRPr="005363D8" w:rsidRDefault="00FB2762" w:rsidP="000627F4">
      <w:pPr>
        <w:widowControl w:val="0"/>
        <w:tabs>
          <w:tab w:val="left" w:pos="600"/>
          <w:tab w:val="right" w:pos="3060"/>
          <w:tab w:val="right" w:pos="4150"/>
        </w:tabs>
        <w:rPr>
          <w:rFonts w:ascii="Arial" w:hAnsi="Arial" w:cs="Arial"/>
          <w:b/>
          <w:sz w:val="24"/>
          <w:szCs w:val="24"/>
        </w:rPr>
      </w:pPr>
      <w:r w:rsidRPr="005363D8">
        <w:rPr>
          <w:rFonts w:ascii="Arial" w:hAnsi="Arial" w:cs="Arial"/>
          <w:b/>
          <w:sz w:val="24"/>
          <w:szCs w:val="24"/>
        </w:rPr>
        <w:t>b)</w:t>
      </w:r>
      <w:r w:rsidRPr="005363D8">
        <w:rPr>
          <w:rFonts w:ascii="Arial" w:hAnsi="Arial" w:cs="Arial"/>
          <w:b/>
          <w:sz w:val="24"/>
          <w:szCs w:val="24"/>
        </w:rPr>
        <w:tab/>
        <w:t>Membership</w:t>
      </w:r>
    </w:p>
    <w:p w:rsidR="00FB2762" w:rsidRPr="005363D8" w:rsidRDefault="00FB2762" w:rsidP="000627F4">
      <w:pPr>
        <w:widowControl w:val="0"/>
        <w:tabs>
          <w:tab w:val="left" w:pos="600"/>
          <w:tab w:val="right" w:pos="3060"/>
          <w:tab w:val="right" w:pos="4150"/>
        </w:tabs>
        <w:rPr>
          <w:rFonts w:ascii="Arial" w:hAnsi="Arial" w:cs="Arial"/>
          <w:sz w:val="24"/>
          <w:szCs w:val="24"/>
        </w:rPr>
      </w:pPr>
    </w:p>
    <w:p w:rsidR="00506CAB" w:rsidRPr="005363D8" w:rsidRDefault="00506CAB" w:rsidP="00506CAB">
      <w:pPr>
        <w:widowControl w:val="0"/>
        <w:tabs>
          <w:tab w:val="left" w:pos="600"/>
          <w:tab w:val="right" w:pos="3060"/>
          <w:tab w:val="right" w:pos="4150"/>
        </w:tabs>
        <w:ind w:left="600" w:hanging="600"/>
        <w:rPr>
          <w:rFonts w:ascii="Arial" w:hAnsi="Arial" w:cs="Arial"/>
          <w:sz w:val="24"/>
          <w:szCs w:val="24"/>
        </w:rPr>
      </w:pPr>
      <w:r w:rsidRPr="005363D8">
        <w:rPr>
          <w:rFonts w:ascii="Arial" w:hAnsi="Arial" w:cs="Arial"/>
          <w:sz w:val="24"/>
          <w:szCs w:val="24"/>
        </w:rPr>
        <w:tab/>
        <w:t>Membership of the LGPS is voluntary and employees are free</w:t>
      </w:r>
      <w:r w:rsidR="005363D8" w:rsidRPr="005363D8">
        <w:rPr>
          <w:rFonts w:ascii="Arial" w:hAnsi="Arial" w:cs="Arial"/>
          <w:sz w:val="24"/>
          <w:szCs w:val="24"/>
        </w:rPr>
        <w:t xml:space="preserve"> to choose whether to join the scheme, remain in the s</w:t>
      </w:r>
      <w:r w:rsidRPr="005363D8">
        <w:rPr>
          <w:rFonts w:ascii="Arial" w:hAnsi="Arial" w:cs="Arial"/>
          <w:sz w:val="24"/>
          <w:szCs w:val="24"/>
        </w:rPr>
        <w:t>cheme or make their own per</w:t>
      </w:r>
      <w:r w:rsidR="005363D8" w:rsidRPr="005363D8">
        <w:rPr>
          <w:rFonts w:ascii="Arial" w:hAnsi="Arial" w:cs="Arial"/>
          <w:sz w:val="24"/>
          <w:szCs w:val="24"/>
        </w:rPr>
        <w:t>sonal arrangements outside the s</w:t>
      </w:r>
      <w:r w:rsidRPr="005363D8">
        <w:rPr>
          <w:rFonts w:ascii="Arial" w:hAnsi="Arial" w:cs="Arial"/>
          <w:sz w:val="24"/>
          <w:szCs w:val="24"/>
        </w:rPr>
        <w:t>cheme.</w:t>
      </w:r>
    </w:p>
    <w:p w:rsidR="00506CAB" w:rsidRPr="005363D8" w:rsidRDefault="00506CAB" w:rsidP="00506CAB">
      <w:pPr>
        <w:widowControl w:val="0"/>
        <w:tabs>
          <w:tab w:val="left" w:pos="600"/>
          <w:tab w:val="right" w:pos="3060"/>
          <w:tab w:val="right" w:pos="4150"/>
        </w:tabs>
        <w:rPr>
          <w:rFonts w:ascii="Arial" w:hAnsi="Arial" w:cs="Arial"/>
          <w:sz w:val="24"/>
          <w:szCs w:val="24"/>
        </w:rPr>
      </w:pPr>
    </w:p>
    <w:p w:rsidR="00506CAB" w:rsidRPr="00BD65D8" w:rsidRDefault="00506CAB" w:rsidP="00506CAB">
      <w:pPr>
        <w:widowControl w:val="0"/>
        <w:tabs>
          <w:tab w:val="left" w:pos="600"/>
          <w:tab w:val="right" w:pos="3060"/>
          <w:tab w:val="right" w:pos="4150"/>
        </w:tabs>
        <w:ind w:left="600" w:hanging="600"/>
        <w:rPr>
          <w:rFonts w:ascii="Arial" w:hAnsi="Arial" w:cs="Arial"/>
          <w:sz w:val="24"/>
          <w:szCs w:val="24"/>
        </w:rPr>
      </w:pPr>
      <w:r w:rsidRPr="005363D8">
        <w:rPr>
          <w:rFonts w:ascii="Arial" w:hAnsi="Arial" w:cs="Arial"/>
          <w:sz w:val="24"/>
          <w:szCs w:val="24"/>
        </w:rPr>
        <w:tab/>
      </w:r>
      <w:r w:rsidRPr="00BD65D8">
        <w:rPr>
          <w:rFonts w:ascii="Arial" w:hAnsi="Arial" w:cs="Arial"/>
          <w:sz w:val="24"/>
          <w:szCs w:val="24"/>
        </w:rPr>
        <w:t xml:space="preserve">Organisations participating in the </w:t>
      </w:r>
      <w:r w:rsidR="005363D8" w:rsidRPr="00BD65D8">
        <w:rPr>
          <w:rFonts w:ascii="Arial" w:hAnsi="Arial" w:cs="Arial"/>
          <w:sz w:val="24"/>
          <w:szCs w:val="24"/>
        </w:rPr>
        <w:t>Brent</w:t>
      </w:r>
      <w:r w:rsidRPr="00BD65D8">
        <w:rPr>
          <w:rFonts w:ascii="Arial" w:hAnsi="Arial" w:cs="Arial"/>
          <w:sz w:val="24"/>
          <w:szCs w:val="24"/>
        </w:rPr>
        <w:t xml:space="preserve"> Pension Fund include:</w:t>
      </w:r>
    </w:p>
    <w:p w:rsidR="00506CAB" w:rsidRPr="00BD65D8" w:rsidRDefault="00506CAB" w:rsidP="00907AD2">
      <w:pPr>
        <w:widowControl w:val="0"/>
        <w:numPr>
          <w:ilvl w:val="0"/>
          <w:numId w:val="2"/>
        </w:numPr>
        <w:tabs>
          <w:tab w:val="left" w:pos="600"/>
          <w:tab w:val="right" w:pos="3060"/>
          <w:tab w:val="right" w:pos="4150"/>
        </w:tabs>
        <w:rPr>
          <w:rFonts w:ascii="Arial" w:hAnsi="Arial" w:cs="Arial"/>
          <w:sz w:val="24"/>
          <w:szCs w:val="24"/>
        </w:rPr>
      </w:pPr>
      <w:r w:rsidRPr="00BD65D8">
        <w:rPr>
          <w:rFonts w:ascii="Arial" w:hAnsi="Arial" w:cs="Arial"/>
          <w:sz w:val="24"/>
          <w:szCs w:val="24"/>
        </w:rPr>
        <w:t>Schedul</w:t>
      </w:r>
      <w:r w:rsidR="00BD65D8" w:rsidRPr="00BD65D8">
        <w:rPr>
          <w:rFonts w:ascii="Arial" w:hAnsi="Arial" w:cs="Arial"/>
          <w:sz w:val="24"/>
          <w:szCs w:val="24"/>
        </w:rPr>
        <w:t>ed bodies</w:t>
      </w:r>
      <w:r w:rsidRPr="00BD65D8">
        <w:rPr>
          <w:rFonts w:ascii="Arial" w:hAnsi="Arial" w:cs="Arial"/>
          <w:sz w:val="24"/>
          <w:szCs w:val="24"/>
        </w:rPr>
        <w:t xml:space="preserve"> whose staff are automatically</w:t>
      </w:r>
      <w:r w:rsidR="00CD3C32">
        <w:rPr>
          <w:rFonts w:ascii="Arial" w:hAnsi="Arial" w:cs="Arial"/>
          <w:sz w:val="24"/>
          <w:szCs w:val="24"/>
        </w:rPr>
        <w:t xml:space="preserve"> entitled to be members of the F</w:t>
      </w:r>
      <w:r w:rsidRPr="00BD65D8">
        <w:rPr>
          <w:rFonts w:ascii="Arial" w:hAnsi="Arial" w:cs="Arial"/>
          <w:sz w:val="24"/>
          <w:szCs w:val="24"/>
        </w:rPr>
        <w:t>und</w:t>
      </w:r>
    </w:p>
    <w:p w:rsidR="00506CAB" w:rsidRPr="00BD65D8" w:rsidRDefault="00BD65D8" w:rsidP="00907AD2">
      <w:pPr>
        <w:widowControl w:val="0"/>
        <w:numPr>
          <w:ilvl w:val="0"/>
          <w:numId w:val="2"/>
        </w:numPr>
        <w:tabs>
          <w:tab w:val="left" w:pos="600"/>
          <w:tab w:val="right" w:pos="3060"/>
          <w:tab w:val="right" w:pos="4150"/>
        </w:tabs>
        <w:rPr>
          <w:rFonts w:ascii="Arial" w:hAnsi="Arial" w:cs="Arial"/>
          <w:sz w:val="24"/>
          <w:szCs w:val="24"/>
        </w:rPr>
      </w:pPr>
      <w:r w:rsidRPr="00BD65D8">
        <w:rPr>
          <w:rFonts w:ascii="Arial" w:hAnsi="Arial" w:cs="Arial"/>
          <w:sz w:val="24"/>
          <w:szCs w:val="24"/>
        </w:rPr>
        <w:t>Admitted bodies</w:t>
      </w:r>
      <w:r w:rsidR="0015574E" w:rsidRPr="00BD65D8">
        <w:rPr>
          <w:rFonts w:ascii="Arial" w:hAnsi="Arial" w:cs="Arial"/>
          <w:sz w:val="24"/>
          <w:szCs w:val="24"/>
        </w:rPr>
        <w:t xml:space="preserve"> which are other organis</w:t>
      </w:r>
      <w:r w:rsidR="00CD3C32">
        <w:rPr>
          <w:rFonts w:ascii="Arial" w:hAnsi="Arial" w:cs="Arial"/>
          <w:sz w:val="24"/>
          <w:szCs w:val="24"/>
        </w:rPr>
        <w:t>ations that participate in the F</w:t>
      </w:r>
      <w:r w:rsidR="0015574E" w:rsidRPr="00BD65D8">
        <w:rPr>
          <w:rFonts w:ascii="Arial" w:hAnsi="Arial" w:cs="Arial"/>
          <w:sz w:val="24"/>
          <w:szCs w:val="24"/>
        </w:rPr>
        <w:t>und under an a</w:t>
      </w:r>
      <w:r w:rsidRPr="00BD65D8">
        <w:rPr>
          <w:rFonts w:ascii="Arial" w:hAnsi="Arial" w:cs="Arial"/>
          <w:sz w:val="24"/>
          <w:szCs w:val="24"/>
        </w:rPr>
        <w:t>dmission agreeme</w:t>
      </w:r>
      <w:r w:rsidR="00CD3C32">
        <w:rPr>
          <w:rFonts w:ascii="Arial" w:hAnsi="Arial" w:cs="Arial"/>
          <w:sz w:val="24"/>
          <w:szCs w:val="24"/>
        </w:rPr>
        <w:t>nt between the F</w:t>
      </w:r>
      <w:r w:rsidR="0015574E" w:rsidRPr="00BD65D8">
        <w:rPr>
          <w:rFonts w:ascii="Arial" w:hAnsi="Arial" w:cs="Arial"/>
          <w:sz w:val="24"/>
          <w:szCs w:val="24"/>
        </w:rPr>
        <w:t>und and the relevant organisation. Admitted bodies include voluntary, charitable and similar bodies or private contractors undertaking a local authority function following outsourcing to the private sector.</w:t>
      </w:r>
    </w:p>
    <w:p w:rsidR="00506CAB" w:rsidRPr="00BD65D8" w:rsidRDefault="00506CAB" w:rsidP="00506CAB">
      <w:pPr>
        <w:widowControl w:val="0"/>
        <w:tabs>
          <w:tab w:val="left" w:pos="600"/>
          <w:tab w:val="right" w:pos="3060"/>
          <w:tab w:val="right" w:pos="4150"/>
        </w:tabs>
        <w:ind w:left="600" w:hanging="600"/>
        <w:rPr>
          <w:rFonts w:ascii="Arial" w:hAnsi="Arial" w:cs="Arial"/>
          <w:sz w:val="24"/>
          <w:szCs w:val="24"/>
        </w:rPr>
      </w:pPr>
    </w:p>
    <w:p w:rsidR="00CD3C32" w:rsidRDefault="00CD3C32">
      <w:pPr>
        <w:rPr>
          <w:rFonts w:ascii="Arial" w:hAnsi="Arial" w:cs="Arial"/>
          <w:sz w:val="24"/>
          <w:szCs w:val="24"/>
        </w:rPr>
      </w:pPr>
      <w:r>
        <w:rPr>
          <w:rFonts w:ascii="Arial" w:hAnsi="Arial" w:cs="Arial"/>
          <w:sz w:val="24"/>
          <w:szCs w:val="24"/>
        </w:rPr>
        <w:br w:type="page"/>
      </w:r>
    </w:p>
    <w:p w:rsidR="0015574E" w:rsidRDefault="00722A41" w:rsidP="0015574E">
      <w:pPr>
        <w:widowControl w:val="0"/>
        <w:tabs>
          <w:tab w:val="left" w:pos="600"/>
          <w:tab w:val="right" w:pos="3060"/>
          <w:tab w:val="right" w:pos="4150"/>
        </w:tabs>
        <w:ind w:left="600" w:hanging="600"/>
        <w:rPr>
          <w:rFonts w:ascii="Arial" w:hAnsi="Arial" w:cs="Arial"/>
          <w:sz w:val="24"/>
          <w:szCs w:val="24"/>
        </w:rPr>
      </w:pPr>
      <w:r>
        <w:rPr>
          <w:rFonts w:ascii="Arial" w:hAnsi="Arial" w:cs="Arial"/>
          <w:sz w:val="24"/>
          <w:szCs w:val="24"/>
        </w:rPr>
        <w:lastRenderedPageBreak/>
        <w:tab/>
        <w:t>There we</w:t>
      </w:r>
      <w:r w:rsidR="0015574E" w:rsidRPr="00BD65D8">
        <w:rPr>
          <w:rFonts w:ascii="Arial" w:hAnsi="Arial" w:cs="Arial"/>
          <w:sz w:val="24"/>
          <w:szCs w:val="24"/>
        </w:rPr>
        <w:t xml:space="preserve">re </w:t>
      </w:r>
      <w:r w:rsidR="0071305C">
        <w:rPr>
          <w:rFonts w:ascii="Arial" w:hAnsi="Arial" w:cs="Arial"/>
          <w:sz w:val="24"/>
          <w:szCs w:val="24"/>
        </w:rPr>
        <w:t>35</w:t>
      </w:r>
      <w:r w:rsidR="0015574E" w:rsidRPr="00EE680A">
        <w:rPr>
          <w:rFonts w:ascii="Arial" w:hAnsi="Arial" w:cs="Arial"/>
          <w:sz w:val="24"/>
          <w:szCs w:val="24"/>
        </w:rPr>
        <w:t xml:space="preserve"> e</w:t>
      </w:r>
      <w:r w:rsidR="0015574E" w:rsidRPr="00BD65D8">
        <w:rPr>
          <w:rFonts w:ascii="Arial" w:hAnsi="Arial" w:cs="Arial"/>
          <w:sz w:val="24"/>
          <w:szCs w:val="24"/>
        </w:rPr>
        <w:t xml:space="preserve">mployer organisations </w:t>
      </w:r>
      <w:r w:rsidR="00C46945">
        <w:rPr>
          <w:rFonts w:ascii="Arial" w:hAnsi="Arial" w:cs="Arial"/>
          <w:sz w:val="24"/>
          <w:szCs w:val="24"/>
        </w:rPr>
        <w:t xml:space="preserve">with active members </w:t>
      </w:r>
      <w:r w:rsidR="0015574E" w:rsidRPr="00BD65D8">
        <w:rPr>
          <w:rFonts w:ascii="Arial" w:hAnsi="Arial" w:cs="Arial"/>
          <w:sz w:val="24"/>
          <w:szCs w:val="24"/>
        </w:rPr>
        <w:t xml:space="preserve">within the </w:t>
      </w:r>
      <w:r w:rsidR="00BD65D8" w:rsidRPr="00BD65D8">
        <w:rPr>
          <w:rFonts w:ascii="Arial" w:hAnsi="Arial" w:cs="Arial"/>
          <w:sz w:val="24"/>
          <w:szCs w:val="24"/>
        </w:rPr>
        <w:t>Brent</w:t>
      </w:r>
      <w:r w:rsidR="00C46945">
        <w:rPr>
          <w:rFonts w:ascii="Arial" w:hAnsi="Arial" w:cs="Arial"/>
          <w:sz w:val="24"/>
          <w:szCs w:val="24"/>
        </w:rPr>
        <w:t xml:space="preserve"> Pension Fund</w:t>
      </w:r>
      <w:r>
        <w:rPr>
          <w:rFonts w:ascii="Arial" w:hAnsi="Arial" w:cs="Arial"/>
          <w:sz w:val="24"/>
          <w:szCs w:val="24"/>
        </w:rPr>
        <w:t xml:space="preserve"> at 31 March 2013</w:t>
      </w:r>
      <w:r w:rsidR="009C7B00">
        <w:rPr>
          <w:rFonts w:ascii="Arial" w:hAnsi="Arial" w:cs="Arial"/>
          <w:sz w:val="24"/>
          <w:szCs w:val="24"/>
        </w:rPr>
        <w:t>, listed</w:t>
      </w:r>
      <w:r w:rsidR="0015574E" w:rsidRPr="00BD65D8">
        <w:rPr>
          <w:rFonts w:ascii="Arial" w:hAnsi="Arial" w:cs="Arial"/>
          <w:sz w:val="24"/>
          <w:szCs w:val="24"/>
        </w:rPr>
        <w:t xml:space="preserve"> below:</w:t>
      </w: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D065F7" w:rsidRPr="007D4AAE" w:rsidRDefault="00D065F7" w:rsidP="00722A41">
      <w:pPr>
        <w:ind w:firstLine="600"/>
        <w:rPr>
          <w:rFonts w:ascii="Arial" w:hAnsi="Arial" w:cs="Arial"/>
          <w:b/>
          <w:sz w:val="24"/>
          <w:szCs w:val="24"/>
        </w:rPr>
      </w:pPr>
      <w:r w:rsidRPr="007D4AAE">
        <w:rPr>
          <w:rFonts w:ascii="Arial" w:hAnsi="Arial" w:cs="Arial"/>
          <w:b/>
          <w:sz w:val="24"/>
          <w:szCs w:val="24"/>
        </w:rPr>
        <w:t>Scheduled bodies</w:t>
      </w:r>
    </w:p>
    <w:p w:rsidR="00D065F7" w:rsidRPr="007D4AAE" w:rsidRDefault="00D065F7" w:rsidP="00722A41">
      <w:pPr>
        <w:ind w:firstLine="600"/>
        <w:rPr>
          <w:rFonts w:ascii="Arial" w:hAnsi="Arial" w:cs="Arial"/>
          <w:sz w:val="24"/>
          <w:szCs w:val="24"/>
        </w:rPr>
      </w:pPr>
      <w:r w:rsidRPr="007D4AAE">
        <w:rPr>
          <w:rFonts w:ascii="Arial" w:hAnsi="Arial" w:cs="Arial"/>
          <w:sz w:val="24"/>
          <w:szCs w:val="24"/>
        </w:rPr>
        <w:t>London Borough of Brent</w:t>
      </w:r>
    </w:p>
    <w:p w:rsidR="00D065F7" w:rsidRPr="007D4AAE" w:rsidRDefault="00722A41" w:rsidP="00722A41">
      <w:pPr>
        <w:ind w:firstLine="600"/>
        <w:rPr>
          <w:rFonts w:ascii="Arial" w:hAnsi="Arial" w:cs="Arial"/>
          <w:sz w:val="24"/>
          <w:szCs w:val="24"/>
        </w:rPr>
      </w:pPr>
      <w:r>
        <w:rPr>
          <w:rFonts w:ascii="Arial" w:hAnsi="Arial" w:cs="Arial"/>
          <w:sz w:val="24"/>
          <w:szCs w:val="24"/>
        </w:rPr>
        <w:t>Alperton High</w:t>
      </w:r>
      <w:r w:rsidR="00D065F7" w:rsidRPr="007D4AAE">
        <w:rPr>
          <w:rFonts w:ascii="Arial" w:hAnsi="Arial" w:cs="Arial"/>
          <w:sz w:val="24"/>
          <w:szCs w:val="24"/>
        </w:rPr>
        <w:t xml:space="preserve"> School</w:t>
      </w:r>
    </w:p>
    <w:p w:rsidR="00D065F7" w:rsidRPr="007D4AAE" w:rsidRDefault="00D065F7" w:rsidP="00722A41">
      <w:pPr>
        <w:ind w:firstLine="600"/>
        <w:rPr>
          <w:rFonts w:ascii="Arial" w:hAnsi="Arial" w:cs="Arial"/>
          <w:sz w:val="24"/>
          <w:szCs w:val="24"/>
        </w:rPr>
      </w:pPr>
      <w:r w:rsidRPr="007D4AAE">
        <w:rPr>
          <w:rFonts w:ascii="Arial" w:hAnsi="Arial" w:cs="Arial"/>
          <w:sz w:val="24"/>
          <w:szCs w:val="24"/>
        </w:rPr>
        <w:t>ARK Academy</w:t>
      </w:r>
    </w:p>
    <w:p w:rsidR="00D065F7" w:rsidRPr="0082567F" w:rsidRDefault="00D065F7" w:rsidP="00722A41">
      <w:pPr>
        <w:ind w:firstLine="600"/>
        <w:rPr>
          <w:rFonts w:ascii="Arial" w:hAnsi="Arial" w:cs="Arial"/>
          <w:sz w:val="24"/>
          <w:szCs w:val="24"/>
        </w:rPr>
      </w:pPr>
      <w:r w:rsidRPr="0082567F">
        <w:rPr>
          <w:rFonts w:ascii="Arial" w:hAnsi="Arial" w:cs="Arial"/>
          <w:sz w:val="24"/>
          <w:szCs w:val="24"/>
        </w:rPr>
        <w:t>Brent Housing Partnership</w:t>
      </w:r>
    </w:p>
    <w:p w:rsidR="00D065F7" w:rsidRPr="0082567F" w:rsidRDefault="00D065F7" w:rsidP="00722A41">
      <w:pPr>
        <w:ind w:firstLine="600"/>
        <w:rPr>
          <w:rFonts w:ascii="Arial" w:hAnsi="Arial" w:cs="Arial"/>
          <w:sz w:val="24"/>
          <w:szCs w:val="24"/>
        </w:rPr>
      </w:pPr>
      <w:r w:rsidRPr="0082567F">
        <w:rPr>
          <w:rFonts w:ascii="Arial" w:hAnsi="Arial" w:cs="Arial"/>
          <w:sz w:val="24"/>
          <w:szCs w:val="24"/>
        </w:rPr>
        <w:t>Capital City Academy</w:t>
      </w:r>
    </w:p>
    <w:p w:rsidR="00D065F7" w:rsidRPr="0082567F" w:rsidRDefault="00D065F7" w:rsidP="00722A41">
      <w:pPr>
        <w:ind w:firstLine="600"/>
        <w:rPr>
          <w:rFonts w:ascii="Arial" w:hAnsi="Arial" w:cs="Arial"/>
          <w:sz w:val="24"/>
          <w:szCs w:val="24"/>
        </w:rPr>
      </w:pPr>
      <w:r w:rsidRPr="0082567F">
        <w:rPr>
          <w:rFonts w:ascii="Arial" w:hAnsi="Arial" w:cs="Arial"/>
          <w:sz w:val="24"/>
          <w:szCs w:val="24"/>
        </w:rPr>
        <w:t>Newman Catholic College</w:t>
      </w:r>
    </w:p>
    <w:p w:rsidR="00D065F7" w:rsidRPr="0079726C" w:rsidRDefault="00D065F7" w:rsidP="00722A41">
      <w:pPr>
        <w:ind w:firstLine="600"/>
        <w:rPr>
          <w:rFonts w:ascii="Arial" w:hAnsi="Arial" w:cs="Arial"/>
          <w:sz w:val="24"/>
          <w:szCs w:val="24"/>
        </w:rPr>
      </w:pPr>
      <w:r w:rsidRPr="0079726C">
        <w:rPr>
          <w:rFonts w:ascii="Arial" w:hAnsi="Arial" w:cs="Arial"/>
          <w:sz w:val="24"/>
          <w:szCs w:val="24"/>
        </w:rPr>
        <w:t>Claremont High School</w:t>
      </w:r>
    </w:p>
    <w:p w:rsidR="00D065F7" w:rsidRPr="0079726C" w:rsidRDefault="00D065F7" w:rsidP="00722A41">
      <w:pPr>
        <w:ind w:firstLine="600"/>
        <w:rPr>
          <w:rFonts w:ascii="Arial" w:hAnsi="Arial" w:cs="Arial"/>
          <w:sz w:val="24"/>
          <w:szCs w:val="24"/>
        </w:rPr>
      </w:pPr>
      <w:r w:rsidRPr="0079726C">
        <w:rPr>
          <w:rFonts w:ascii="Arial" w:hAnsi="Arial" w:cs="Arial"/>
          <w:sz w:val="24"/>
          <w:szCs w:val="24"/>
        </w:rPr>
        <w:t>College of North West London</w:t>
      </w:r>
    </w:p>
    <w:p w:rsidR="00D065F7" w:rsidRPr="0079726C" w:rsidRDefault="00D065F7" w:rsidP="00722A41">
      <w:pPr>
        <w:ind w:firstLine="600"/>
        <w:rPr>
          <w:rFonts w:ascii="Arial" w:hAnsi="Arial" w:cs="Arial"/>
          <w:sz w:val="24"/>
          <w:szCs w:val="24"/>
        </w:rPr>
      </w:pPr>
      <w:r w:rsidRPr="0079726C">
        <w:rPr>
          <w:rFonts w:ascii="Arial" w:hAnsi="Arial" w:cs="Arial"/>
          <w:sz w:val="24"/>
          <w:szCs w:val="24"/>
        </w:rPr>
        <w:t>Convent of Jesus &amp; Mary RC Language College</w:t>
      </w:r>
    </w:p>
    <w:p w:rsidR="00D065F7" w:rsidRPr="0079726C" w:rsidRDefault="00D065F7" w:rsidP="003352EF">
      <w:pPr>
        <w:ind w:firstLine="600"/>
        <w:rPr>
          <w:rFonts w:ascii="Arial" w:hAnsi="Arial" w:cs="Arial"/>
          <w:sz w:val="24"/>
          <w:szCs w:val="24"/>
        </w:rPr>
      </w:pPr>
      <w:r w:rsidRPr="0079726C">
        <w:rPr>
          <w:rFonts w:ascii="Arial" w:hAnsi="Arial" w:cs="Arial"/>
          <w:sz w:val="24"/>
          <w:szCs w:val="24"/>
        </w:rPr>
        <w:t>Crest Boys</w:t>
      </w:r>
      <w:r w:rsidR="003352EF">
        <w:rPr>
          <w:rFonts w:ascii="Arial" w:hAnsi="Arial" w:cs="Arial"/>
          <w:sz w:val="24"/>
          <w:szCs w:val="24"/>
        </w:rPr>
        <w:t xml:space="preserve"> Academy</w:t>
      </w:r>
    </w:p>
    <w:p w:rsidR="00D065F7" w:rsidRPr="0079726C" w:rsidRDefault="00D065F7" w:rsidP="003352EF">
      <w:pPr>
        <w:ind w:firstLine="600"/>
        <w:rPr>
          <w:rFonts w:ascii="Arial" w:hAnsi="Arial" w:cs="Arial"/>
          <w:sz w:val="24"/>
          <w:szCs w:val="24"/>
        </w:rPr>
      </w:pPr>
      <w:r w:rsidRPr="0079726C">
        <w:rPr>
          <w:rFonts w:ascii="Arial" w:hAnsi="Arial" w:cs="Arial"/>
          <w:sz w:val="24"/>
          <w:szCs w:val="24"/>
        </w:rPr>
        <w:t>Crest Girls</w:t>
      </w:r>
      <w:r w:rsidR="003352EF">
        <w:rPr>
          <w:rFonts w:ascii="Arial" w:hAnsi="Arial" w:cs="Arial"/>
          <w:sz w:val="24"/>
          <w:szCs w:val="24"/>
        </w:rPr>
        <w:t xml:space="preserve"> Academy</w:t>
      </w:r>
    </w:p>
    <w:p w:rsidR="00D065F7" w:rsidRPr="0079726C" w:rsidRDefault="00D065F7" w:rsidP="003352EF">
      <w:pPr>
        <w:ind w:firstLine="600"/>
        <w:rPr>
          <w:rFonts w:ascii="Arial" w:hAnsi="Arial" w:cs="Arial"/>
          <w:sz w:val="24"/>
          <w:szCs w:val="24"/>
        </w:rPr>
      </w:pPr>
      <w:r w:rsidRPr="0079726C">
        <w:rPr>
          <w:rFonts w:ascii="Arial" w:hAnsi="Arial" w:cs="Arial"/>
          <w:sz w:val="24"/>
          <w:szCs w:val="24"/>
        </w:rPr>
        <w:t>Islamia Primary School</w:t>
      </w:r>
    </w:p>
    <w:p w:rsidR="00D065F7" w:rsidRPr="0079726C" w:rsidRDefault="00D065F7" w:rsidP="003352EF">
      <w:pPr>
        <w:ind w:firstLine="600"/>
        <w:rPr>
          <w:rFonts w:ascii="Arial" w:hAnsi="Arial" w:cs="Arial"/>
          <w:sz w:val="24"/>
          <w:szCs w:val="24"/>
        </w:rPr>
      </w:pPr>
      <w:r w:rsidRPr="0079726C">
        <w:rPr>
          <w:rFonts w:ascii="Arial" w:hAnsi="Arial" w:cs="Arial"/>
          <w:sz w:val="24"/>
          <w:szCs w:val="24"/>
        </w:rPr>
        <w:t>J</w:t>
      </w:r>
      <w:r w:rsidR="003352EF">
        <w:rPr>
          <w:rFonts w:ascii="Arial" w:hAnsi="Arial" w:cs="Arial"/>
          <w:sz w:val="24"/>
          <w:szCs w:val="24"/>
        </w:rPr>
        <w:t xml:space="preserve">ewish </w:t>
      </w:r>
      <w:r w:rsidRPr="0079726C">
        <w:rPr>
          <w:rFonts w:ascii="Arial" w:hAnsi="Arial" w:cs="Arial"/>
          <w:sz w:val="24"/>
          <w:szCs w:val="24"/>
        </w:rPr>
        <w:t>F</w:t>
      </w:r>
      <w:r w:rsidR="003352EF">
        <w:rPr>
          <w:rFonts w:ascii="Arial" w:hAnsi="Arial" w:cs="Arial"/>
          <w:sz w:val="24"/>
          <w:szCs w:val="24"/>
        </w:rPr>
        <w:t xml:space="preserve">ree </w:t>
      </w:r>
      <w:r w:rsidRPr="0079726C">
        <w:rPr>
          <w:rFonts w:ascii="Arial" w:hAnsi="Arial" w:cs="Arial"/>
          <w:sz w:val="24"/>
          <w:szCs w:val="24"/>
        </w:rPr>
        <w:t>S</w:t>
      </w:r>
      <w:r w:rsidR="003352EF">
        <w:rPr>
          <w:rFonts w:ascii="Arial" w:hAnsi="Arial" w:cs="Arial"/>
          <w:sz w:val="24"/>
          <w:szCs w:val="24"/>
        </w:rPr>
        <w:t>chool</w:t>
      </w:r>
    </w:p>
    <w:p w:rsidR="00D065F7" w:rsidRPr="006573B2" w:rsidRDefault="00D065F7" w:rsidP="003352EF">
      <w:pPr>
        <w:ind w:firstLine="600"/>
        <w:rPr>
          <w:rFonts w:ascii="Arial" w:hAnsi="Arial" w:cs="Arial"/>
          <w:sz w:val="24"/>
          <w:szCs w:val="24"/>
        </w:rPr>
      </w:pPr>
      <w:r w:rsidRPr="006573B2">
        <w:rPr>
          <w:rFonts w:ascii="Arial" w:hAnsi="Arial" w:cs="Arial"/>
          <w:sz w:val="24"/>
          <w:szCs w:val="24"/>
        </w:rPr>
        <w:t>Kilburn Park School</w:t>
      </w:r>
    </w:p>
    <w:p w:rsidR="00D065F7" w:rsidRPr="006573B2" w:rsidRDefault="00D065F7" w:rsidP="003352EF">
      <w:pPr>
        <w:ind w:firstLine="600"/>
        <w:rPr>
          <w:rFonts w:ascii="Arial" w:hAnsi="Arial" w:cs="Arial"/>
          <w:sz w:val="24"/>
          <w:szCs w:val="24"/>
        </w:rPr>
      </w:pPr>
      <w:r w:rsidRPr="006573B2">
        <w:rPr>
          <w:rFonts w:ascii="Arial" w:hAnsi="Arial" w:cs="Arial"/>
          <w:sz w:val="24"/>
          <w:szCs w:val="24"/>
        </w:rPr>
        <w:t>Kingsbury High School</w:t>
      </w:r>
    </w:p>
    <w:p w:rsidR="00D065F7" w:rsidRPr="006573B2" w:rsidRDefault="00D065F7" w:rsidP="003352EF">
      <w:pPr>
        <w:ind w:firstLine="600"/>
        <w:rPr>
          <w:rFonts w:ascii="Arial" w:hAnsi="Arial" w:cs="Arial"/>
          <w:sz w:val="24"/>
          <w:szCs w:val="24"/>
        </w:rPr>
      </w:pPr>
      <w:r w:rsidRPr="006573B2">
        <w:rPr>
          <w:rFonts w:ascii="Arial" w:hAnsi="Arial" w:cs="Arial"/>
          <w:sz w:val="24"/>
          <w:szCs w:val="24"/>
        </w:rPr>
        <w:t>Malorees Junior School</w:t>
      </w:r>
    </w:p>
    <w:p w:rsidR="00D065F7" w:rsidRPr="006573B2" w:rsidRDefault="00D065F7" w:rsidP="003352EF">
      <w:pPr>
        <w:ind w:firstLine="600"/>
        <w:rPr>
          <w:rFonts w:ascii="Arial" w:hAnsi="Arial" w:cs="Arial"/>
          <w:sz w:val="24"/>
          <w:szCs w:val="24"/>
        </w:rPr>
      </w:pPr>
      <w:r w:rsidRPr="006573B2">
        <w:rPr>
          <w:rFonts w:ascii="Arial" w:hAnsi="Arial" w:cs="Arial"/>
          <w:sz w:val="24"/>
          <w:szCs w:val="24"/>
        </w:rPr>
        <w:t>North West London Jewish Day School</w:t>
      </w:r>
    </w:p>
    <w:p w:rsidR="00D065F7" w:rsidRPr="006573B2" w:rsidRDefault="00D065F7" w:rsidP="003352EF">
      <w:pPr>
        <w:ind w:firstLine="600"/>
        <w:rPr>
          <w:rFonts w:ascii="Arial" w:hAnsi="Arial" w:cs="Arial"/>
          <w:sz w:val="24"/>
          <w:szCs w:val="24"/>
        </w:rPr>
      </w:pPr>
      <w:r w:rsidRPr="006573B2">
        <w:rPr>
          <w:rFonts w:ascii="Arial" w:hAnsi="Arial" w:cs="Arial"/>
          <w:sz w:val="24"/>
          <w:szCs w:val="24"/>
        </w:rPr>
        <w:t>Oakington Manor Primary School</w:t>
      </w:r>
    </w:p>
    <w:p w:rsidR="00D065F7" w:rsidRPr="006573B2" w:rsidRDefault="00D065F7" w:rsidP="003352EF">
      <w:pPr>
        <w:ind w:firstLine="600"/>
        <w:rPr>
          <w:rFonts w:ascii="Arial" w:hAnsi="Arial" w:cs="Arial"/>
          <w:sz w:val="24"/>
          <w:szCs w:val="24"/>
        </w:rPr>
      </w:pPr>
      <w:r w:rsidRPr="006573B2">
        <w:rPr>
          <w:rFonts w:ascii="Arial" w:hAnsi="Arial" w:cs="Arial"/>
          <w:sz w:val="24"/>
          <w:szCs w:val="24"/>
        </w:rPr>
        <w:t>Preston Manor High School</w:t>
      </w:r>
    </w:p>
    <w:p w:rsidR="00D065F7" w:rsidRPr="006C6E02" w:rsidRDefault="00D065F7" w:rsidP="003352EF">
      <w:pPr>
        <w:ind w:firstLine="600"/>
        <w:rPr>
          <w:rFonts w:ascii="Arial" w:hAnsi="Arial" w:cs="Arial"/>
          <w:sz w:val="24"/>
          <w:szCs w:val="24"/>
        </w:rPr>
      </w:pPr>
      <w:r w:rsidRPr="006C6E02">
        <w:rPr>
          <w:rFonts w:ascii="Arial" w:hAnsi="Arial" w:cs="Arial"/>
          <w:sz w:val="24"/>
          <w:szCs w:val="24"/>
        </w:rPr>
        <w:t>Queens Park Community School</w:t>
      </w:r>
    </w:p>
    <w:p w:rsidR="00D065F7" w:rsidRPr="006C6E02" w:rsidRDefault="00D065F7" w:rsidP="003352EF">
      <w:pPr>
        <w:ind w:firstLine="600"/>
        <w:rPr>
          <w:rFonts w:ascii="Arial" w:hAnsi="Arial" w:cs="Arial"/>
          <w:sz w:val="24"/>
          <w:szCs w:val="24"/>
        </w:rPr>
      </w:pPr>
      <w:r w:rsidRPr="006C6E02">
        <w:rPr>
          <w:rFonts w:ascii="Arial" w:hAnsi="Arial" w:cs="Arial"/>
          <w:sz w:val="24"/>
          <w:szCs w:val="24"/>
        </w:rPr>
        <w:t>St Gregory’s RC School</w:t>
      </w:r>
    </w:p>
    <w:p w:rsidR="00D065F7" w:rsidRPr="006C6E02" w:rsidRDefault="00D065F7" w:rsidP="003352EF">
      <w:pPr>
        <w:ind w:firstLine="600"/>
        <w:rPr>
          <w:rFonts w:ascii="Arial" w:hAnsi="Arial" w:cs="Arial"/>
          <w:sz w:val="24"/>
          <w:szCs w:val="24"/>
        </w:rPr>
      </w:pPr>
      <w:r w:rsidRPr="006C6E02">
        <w:rPr>
          <w:rFonts w:ascii="Arial" w:hAnsi="Arial" w:cs="Arial"/>
          <w:sz w:val="24"/>
          <w:szCs w:val="24"/>
        </w:rPr>
        <w:t>St Joseph’s RC School</w:t>
      </w:r>
    </w:p>
    <w:p w:rsidR="00D065F7" w:rsidRPr="006C6E02" w:rsidRDefault="00D065F7" w:rsidP="003352EF">
      <w:pPr>
        <w:ind w:firstLine="600"/>
        <w:rPr>
          <w:rFonts w:ascii="Arial" w:hAnsi="Arial" w:cs="Arial"/>
          <w:sz w:val="24"/>
          <w:szCs w:val="24"/>
        </w:rPr>
      </w:pPr>
      <w:r w:rsidRPr="006C6E02">
        <w:rPr>
          <w:rFonts w:ascii="Arial" w:hAnsi="Arial" w:cs="Arial"/>
          <w:sz w:val="24"/>
          <w:szCs w:val="24"/>
        </w:rPr>
        <w:t>Sudbury Primary School</w:t>
      </w:r>
    </w:p>
    <w:p w:rsidR="00D065F7" w:rsidRDefault="00D065F7" w:rsidP="003352EF">
      <w:pPr>
        <w:ind w:firstLine="600"/>
        <w:rPr>
          <w:rFonts w:ascii="Arial" w:hAnsi="Arial" w:cs="Arial"/>
          <w:sz w:val="24"/>
          <w:szCs w:val="24"/>
        </w:rPr>
      </w:pPr>
      <w:r w:rsidRPr="00864CE8">
        <w:rPr>
          <w:rFonts w:ascii="Arial" w:hAnsi="Arial" w:cs="Arial"/>
          <w:sz w:val="24"/>
          <w:szCs w:val="24"/>
        </w:rPr>
        <w:t>The Copland Community School &amp; Technology Centre</w:t>
      </w:r>
    </w:p>
    <w:p w:rsidR="003352EF" w:rsidRPr="00864CE8" w:rsidRDefault="003352EF" w:rsidP="003352EF">
      <w:pPr>
        <w:ind w:firstLine="600"/>
        <w:rPr>
          <w:rFonts w:ascii="Arial" w:hAnsi="Arial" w:cs="Arial"/>
          <w:sz w:val="24"/>
          <w:szCs w:val="24"/>
        </w:rPr>
      </w:pPr>
      <w:r>
        <w:rPr>
          <w:rFonts w:ascii="Arial" w:hAnsi="Arial" w:cs="Arial"/>
          <w:sz w:val="24"/>
          <w:szCs w:val="24"/>
        </w:rPr>
        <w:t>Wembley Technology Academy</w:t>
      </w:r>
    </w:p>
    <w:p w:rsidR="00D065F7" w:rsidRDefault="00D065F7" w:rsidP="00D065F7">
      <w:pPr>
        <w:rPr>
          <w:rFonts w:ascii="Arial" w:hAnsi="Arial" w:cs="Arial"/>
          <w:b/>
          <w:sz w:val="24"/>
          <w:szCs w:val="24"/>
          <w:highlight w:val="yellow"/>
        </w:rPr>
      </w:pPr>
    </w:p>
    <w:p w:rsidR="00D065F7" w:rsidRPr="00864CE8" w:rsidRDefault="00D065F7" w:rsidP="003352EF">
      <w:pPr>
        <w:ind w:firstLine="600"/>
        <w:rPr>
          <w:rFonts w:ascii="Arial" w:hAnsi="Arial" w:cs="Arial"/>
          <w:b/>
          <w:sz w:val="24"/>
          <w:szCs w:val="24"/>
        </w:rPr>
      </w:pPr>
      <w:r w:rsidRPr="00864CE8">
        <w:rPr>
          <w:rFonts w:ascii="Arial" w:hAnsi="Arial" w:cs="Arial"/>
          <w:b/>
          <w:sz w:val="24"/>
          <w:szCs w:val="24"/>
        </w:rPr>
        <w:t>Admitted bodies</w:t>
      </w:r>
    </w:p>
    <w:p w:rsidR="00D065F7" w:rsidRPr="00864CE8" w:rsidRDefault="00D065F7" w:rsidP="008878FC">
      <w:pPr>
        <w:ind w:firstLine="600"/>
        <w:rPr>
          <w:rFonts w:ascii="Arial" w:hAnsi="Arial" w:cs="Arial"/>
          <w:sz w:val="24"/>
          <w:szCs w:val="24"/>
        </w:rPr>
      </w:pPr>
      <w:r w:rsidRPr="00864CE8">
        <w:rPr>
          <w:rFonts w:ascii="Arial" w:hAnsi="Arial" w:cs="Arial"/>
          <w:sz w:val="24"/>
          <w:szCs w:val="24"/>
        </w:rPr>
        <w:t>Brent Association of Disabled People</w:t>
      </w:r>
    </w:p>
    <w:p w:rsidR="00D065F7" w:rsidRPr="004B5B8E" w:rsidRDefault="00D065F7" w:rsidP="008878FC">
      <w:pPr>
        <w:ind w:firstLine="600"/>
        <w:rPr>
          <w:rFonts w:ascii="Arial" w:hAnsi="Arial" w:cs="Arial"/>
          <w:sz w:val="24"/>
          <w:szCs w:val="24"/>
        </w:rPr>
      </w:pPr>
      <w:r w:rsidRPr="004B5B8E">
        <w:rPr>
          <w:rFonts w:ascii="Arial" w:hAnsi="Arial" w:cs="Arial"/>
          <w:sz w:val="24"/>
          <w:szCs w:val="24"/>
        </w:rPr>
        <w:t>Brent Society for Mentally Handicapped Children (Mencap)</w:t>
      </w:r>
    </w:p>
    <w:p w:rsidR="00D065F7" w:rsidRDefault="00D065F7" w:rsidP="008878FC">
      <w:pPr>
        <w:ind w:firstLine="600"/>
        <w:rPr>
          <w:rFonts w:ascii="Arial" w:hAnsi="Arial" w:cs="Arial"/>
          <w:sz w:val="24"/>
          <w:szCs w:val="24"/>
        </w:rPr>
      </w:pPr>
      <w:r w:rsidRPr="004B5B8E">
        <w:rPr>
          <w:rFonts w:ascii="Arial" w:hAnsi="Arial" w:cs="Arial"/>
          <w:sz w:val="24"/>
          <w:szCs w:val="24"/>
        </w:rPr>
        <w:t>Capita</w:t>
      </w:r>
      <w:r w:rsidR="008878FC">
        <w:rPr>
          <w:rFonts w:ascii="Arial" w:hAnsi="Arial" w:cs="Arial"/>
          <w:sz w:val="24"/>
          <w:szCs w:val="24"/>
        </w:rPr>
        <w:t xml:space="preserve"> Business Services Limited</w:t>
      </w:r>
    </w:p>
    <w:p w:rsidR="00D065F7" w:rsidRPr="004B5B8E" w:rsidRDefault="00D065F7" w:rsidP="008878FC">
      <w:pPr>
        <w:ind w:firstLine="600"/>
        <w:rPr>
          <w:rFonts w:ascii="Arial" w:hAnsi="Arial" w:cs="Arial"/>
          <w:sz w:val="24"/>
          <w:szCs w:val="24"/>
        </w:rPr>
      </w:pPr>
      <w:r>
        <w:rPr>
          <w:rFonts w:ascii="Arial" w:hAnsi="Arial" w:cs="Arial"/>
          <w:sz w:val="24"/>
          <w:szCs w:val="24"/>
        </w:rPr>
        <w:t>Europa</w:t>
      </w:r>
      <w:r w:rsidR="008878FC">
        <w:rPr>
          <w:rFonts w:ascii="Arial" w:hAnsi="Arial" w:cs="Arial"/>
          <w:sz w:val="24"/>
          <w:szCs w:val="24"/>
        </w:rPr>
        <w:t xml:space="preserve"> Facility Services Limited</w:t>
      </w:r>
    </w:p>
    <w:p w:rsidR="00D065F7" w:rsidRPr="004B5B8E" w:rsidRDefault="00D065F7" w:rsidP="008878FC">
      <w:pPr>
        <w:ind w:firstLine="600"/>
        <w:rPr>
          <w:rFonts w:ascii="Arial" w:hAnsi="Arial" w:cs="Arial"/>
          <w:sz w:val="24"/>
          <w:szCs w:val="24"/>
        </w:rPr>
      </w:pPr>
      <w:r w:rsidRPr="004B5B8E">
        <w:rPr>
          <w:rFonts w:ascii="Arial" w:hAnsi="Arial" w:cs="Arial"/>
          <w:sz w:val="24"/>
          <w:szCs w:val="24"/>
        </w:rPr>
        <w:t>National Autistic Society</w:t>
      </w:r>
    </w:p>
    <w:p w:rsidR="00D065F7" w:rsidRPr="004B5B8E" w:rsidRDefault="00D065F7" w:rsidP="008878FC">
      <w:pPr>
        <w:ind w:firstLine="600"/>
        <w:rPr>
          <w:rFonts w:ascii="Arial" w:hAnsi="Arial" w:cs="Arial"/>
          <w:sz w:val="24"/>
          <w:szCs w:val="24"/>
        </w:rPr>
      </w:pPr>
      <w:r w:rsidRPr="004B5B8E">
        <w:rPr>
          <w:rFonts w:ascii="Arial" w:hAnsi="Arial" w:cs="Arial"/>
          <w:sz w:val="24"/>
          <w:szCs w:val="24"/>
        </w:rPr>
        <w:t>Sudbury Neighbourhood Centre</w:t>
      </w:r>
    </w:p>
    <w:p w:rsidR="00D065F7" w:rsidRPr="004B5B8E" w:rsidRDefault="00D065F7" w:rsidP="008878FC">
      <w:pPr>
        <w:ind w:firstLine="600"/>
        <w:rPr>
          <w:rFonts w:ascii="Arial" w:hAnsi="Arial" w:cs="Arial"/>
          <w:sz w:val="24"/>
          <w:szCs w:val="24"/>
        </w:rPr>
      </w:pPr>
      <w:r>
        <w:rPr>
          <w:rFonts w:ascii="Arial" w:hAnsi="Arial" w:cs="Arial"/>
          <w:sz w:val="24"/>
          <w:szCs w:val="24"/>
        </w:rPr>
        <w:t>Wetton Clean</w:t>
      </w:r>
      <w:r w:rsidRPr="004B5B8E">
        <w:rPr>
          <w:rFonts w:ascii="Arial" w:hAnsi="Arial" w:cs="Arial"/>
          <w:sz w:val="24"/>
          <w:szCs w:val="24"/>
        </w:rPr>
        <w:t xml:space="preserve">ing </w:t>
      </w:r>
      <w:r>
        <w:rPr>
          <w:rFonts w:ascii="Arial" w:hAnsi="Arial" w:cs="Arial"/>
          <w:sz w:val="24"/>
          <w:szCs w:val="24"/>
        </w:rPr>
        <w:t xml:space="preserve">and North </w:t>
      </w:r>
      <w:r w:rsidRPr="004B5B8E">
        <w:rPr>
          <w:rFonts w:ascii="Arial" w:hAnsi="Arial" w:cs="Arial"/>
          <w:sz w:val="24"/>
          <w:szCs w:val="24"/>
        </w:rPr>
        <w:t>Grounds Maintenance</w:t>
      </w:r>
      <w:r>
        <w:rPr>
          <w:rFonts w:ascii="Arial" w:hAnsi="Arial" w:cs="Arial"/>
          <w:sz w:val="24"/>
          <w:szCs w:val="24"/>
        </w:rPr>
        <w:t xml:space="preserve"> Services</w:t>
      </w:r>
    </w:p>
    <w:p w:rsidR="00D065F7" w:rsidRPr="004B5B8E" w:rsidRDefault="00D065F7" w:rsidP="008878FC">
      <w:pPr>
        <w:ind w:firstLine="600"/>
        <w:rPr>
          <w:rFonts w:ascii="Arial" w:hAnsi="Arial" w:cs="Arial"/>
          <w:sz w:val="24"/>
          <w:szCs w:val="24"/>
        </w:rPr>
      </w:pPr>
      <w:r w:rsidRPr="004B5B8E">
        <w:rPr>
          <w:rFonts w:ascii="Arial" w:hAnsi="Arial" w:cs="Arial"/>
          <w:sz w:val="24"/>
          <w:szCs w:val="24"/>
        </w:rPr>
        <w:t xml:space="preserve">Wetton </w:t>
      </w:r>
      <w:r>
        <w:rPr>
          <w:rFonts w:ascii="Arial" w:hAnsi="Arial" w:cs="Arial"/>
          <w:sz w:val="24"/>
          <w:szCs w:val="24"/>
        </w:rPr>
        <w:t xml:space="preserve">South Grounds </w:t>
      </w:r>
      <w:r w:rsidRPr="004B5B8E">
        <w:rPr>
          <w:rFonts w:ascii="Arial" w:hAnsi="Arial" w:cs="Arial"/>
          <w:sz w:val="24"/>
          <w:szCs w:val="24"/>
        </w:rPr>
        <w:t>Maintenance Services</w:t>
      </w:r>
    </w:p>
    <w:p w:rsidR="00D065F7" w:rsidRPr="00F03A24" w:rsidRDefault="00D065F7" w:rsidP="008878FC">
      <w:pPr>
        <w:ind w:firstLine="600"/>
        <w:rPr>
          <w:rFonts w:ascii="Arial" w:hAnsi="Arial" w:cs="Arial"/>
          <w:sz w:val="24"/>
          <w:szCs w:val="24"/>
        </w:rPr>
      </w:pPr>
      <w:r w:rsidRPr="004B5B8E">
        <w:rPr>
          <w:rFonts w:ascii="Arial" w:hAnsi="Arial" w:cs="Arial"/>
          <w:sz w:val="24"/>
          <w:szCs w:val="24"/>
        </w:rPr>
        <w:t>Willow</w:t>
      </w:r>
      <w:r w:rsidR="008878FC">
        <w:rPr>
          <w:rFonts w:ascii="Arial" w:hAnsi="Arial" w:cs="Arial"/>
          <w:sz w:val="24"/>
          <w:szCs w:val="24"/>
        </w:rPr>
        <w:t xml:space="preserve"> Housing &amp; Care Limited</w:t>
      </w:r>
    </w:p>
    <w:p w:rsidR="00F263EE" w:rsidRDefault="008878FC" w:rsidP="00D065F7">
      <w:pPr>
        <w:widowControl w:val="0"/>
        <w:tabs>
          <w:tab w:val="left" w:pos="600"/>
          <w:tab w:val="right" w:pos="3060"/>
          <w:tab w:val="right" w:pos="4150"/>
        </w:tabs>
        <w:ind w:left="600" w:hanging="600"/>
        <w:rPr>
          <w:rFonts w:ascii="Arial" w:hAnsi="Arial" w:cs="Arial"/>
          <w:sz w:val="24"/>
          <w:szCs w:val="24"/>
        </w:rPr>
      </w:pPr>
      <w:r>
        <w:rPr>
          <w:rFonts w:ascii="Arial" w:hAnsi="Arial" w:cs="Arial"/>
          <w:sz w:val="24"/>
          <w:szCs w:val="24"/>
        </w:rPr>
        <w:tab/>
      </w:r>
      <w:r w:rsidR="00D065F7">
        <w:rPr>
          <w:rFonts w:ascii="Arial" w:hAnsi="Arial" w:cs="Arial"/>
          <w:sz w:val="24"/>
          <w:szCs w:val="24"/>
        </w:rPr>
        <w:t>Xerox</w:t>
      </w:r>
      <w:r>
        <w:rPr>
          <w:rFonts w:ascii="Arial" w:hAnsi="Arial" w:cs="Arial"/>
          <w:sz w:val="24"/>
          <w:szCs w:val="24"/>
        </w:rPr>
        <w:t xml:space="preserve"> (UK) Limited</w:t>
      </w: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p w:rsidR="00F263EE" w:rsidRDefault="00F263EE" w:rsidP="0015574E">
      <w:pPr>
        <w:widowControl w:val="0"/>
        <w:tabs>
          <w:tab w:val="left" w:pos="600"/>
          <w:tab w:val="right" w:pos="3060"/>
          <w:tab w:val="right" w:pos="4150"/>
        </w:tabs>
        <w:ind w:left="600" w:hanging="600"/>
        <w:rPr>
          <w:rFonts w:ascii="Arial" w:hAnsi="Arial" w:cs="Arial"/>
          <w:sz w:val="24"/>
          <w:szCs w:val="24"/>
        </w:rPr>
      </w:pPr>
    </w:p>
    <w:tbl>
      <w:tblPr>
        <w:tblW w:w="8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firstRow="0" w:lastRow="0" w:firstColumn="0" w:lastColumn="0" w:noHBand="0" w:noVBand="0"/>
      </w:tblPr>
      <w:tblGrid>
        <w:gridCol w:w="4790"/>
        <w:gridCol w:w="2160"/>
        <w:gridCol w:w="2040"/>
      </w:tblGrid>
      <w:tr w:rsidR="003D25B4" w:rsidRPr="003D2F7A" w:rsidTr="003D25B4">
        <w:tc>
          <w:tcPr>
            <w:tcW w:w="4790" w:type="dxa"/>
            <w:tcBorders>
              <w:top w:val="nil"/>
              <w:left w:val="nil"/>
              <w:bottom w:val="nil"/>
              <w:right w:val="nil"/>
            </w:tcBorders>
            <w:shd w:val="clear" w:color="auto" w:fill="auto"/>
            <w:vAlign w:val="bottom"/>
          </w:tcPr>
          <w:p w:rsidR="003D25B4" w:rsidRPr="00BD65D8" w:rsidRDefault="00BD65D8" w:rsidP="0065116C">
            <w:pPr>
              <w:pStyle w:val="PlainTableHead"/>
              <w:spacing w:before="0" w:after="0"/>
              <w:rPr>
                <w:rFonts w:cs="Arial"/>
                <w:color w:val="auto"/>
                <w:sz w:val="24"/>
                <w:szCs w:val="24"/>
              </w:rPr>
            </w:pPr>
            <w:r w:rsidRPr="00BD65D8">
              <w:rPr>
                <w:rFonts w:cs="Arial"/>
                <w:color w:val="auto"/>
                <w:sz w:val="24"/>
                <w:szCs w:val="24"/>
              </w:rPr>
              <w:lastRenderedPageBreak/>
              <w:t>Brent</w:t>
            </w:r>
            <w:r w:rsidR="003D25B4" w:rsidRPr="00BD65D8">
              <w:rPr>
                <w:rFonts w:cs="Arial"/>
                <w:color w:val="auto"/>
                <w:sz w:val="24"/>
                <w:szCs w:val="24"/>
              </w:rPr>
              <w:t xml:space="preserve"> Pension Fund</w:t>
            </w:r>
          </w:p>
        </w:tc>
        <w:tc>
          <w:tcPr>
            <w:tcW w:w="2160" w:type="dxa"/>
            <w:tcBorders>
              <w:top w:val="nil"/>
              <w:left w:val="nil"/>
              <w:bottom w:val="nil"/>
              <w:right w:val="nil"/>
            </w:tcBorders>
            <w:shd w:val="clear" w:color="auto" w:fill="auto"/>
            <w:vAlign w:val="bottom"/>
          </w:tcPr>
          <w:p w:rsidR="003D25B4" w:rsidRPr="00BD65D8" w:rsidRDefault="003D25B4" w:rsidP="003D25B4">
            <w:pPr>
              <w:pStyle w:val="PlainTableHead"/>
              <w:spacing w:before="0" w:after="0"/>
              <w:jc w:val="right"/>
              <w:rPr>
                <w:rFonts w:cs="Arial"/>
                <w:color w:val="auto"/>
                <w:sz w:val="24"/>
                <w:szCs w:val="24"/>
              </w:rPr>
            </w:pPr>
            <w:r w:rsidRPr="00BD65D8">
              <w:rPr>
                <w:rFonts w:cs="Arial"/>
                <w:color w:val="auto"/>
                <w:sz w:val="24"/>
                <w:szCs w:val="24"/>
              </w:rPr>
              <w:t>31 March 201</w:t>
            </w:r>
            <w:r w:rsidR="00772EF9">
              <w:rPr>
                <w:rFonts w:cs="Arial"/>
                <w:color w:val="auto"/>
                <w:sz w:val="24"/>
                <w:szCs w:val="24"/>
              </w:rPr>
              <w:t>2</w:t>
            </w:r>
          </w:p>
        </w:tc>
        <w:tc>
          <w:tcPr>
            <w:tcW w:w="2040" w:type="dxa"/>
            <w:tcBorders>
              <w:top w:val="nil"/>
              <w:left w:val="nil"/>
              <w:bottom w:val="nil"/>
              <w:right w:val="nil"/>
            </w:tcBorders>
            <w:shd w:val="clear" w:color="auto" w:fill="auto"/>
            <w:vAlign w:val="bottom"/>
          </w:tcPr>
          <w:p w:rsidR="003D25B4" w:rsidRPr="00BD65D8" w:rsidRDefault="00772EF9" w:rsidP="003D25B4">
            <w:pPr>
              <w:pStyle w:val="PlainTableHead"/>
              <w:spacing w:before="0" w:after="0"/>
              <w:jc w:val="right"/>
              <w:rPr>
                <w:rFonts w:cs="Arial"/>
                <w:color w:val="auto"/>
                <w:sz w:val="24"/>
                <w:szCs w:val="24"/>
              </w:rPr>
            </w:pPr>
            <w:r>
              <w:rPr>
                <w:rFonts w:cs="Arial"/>
                <w:color w:val="auto"/>
                <w:sz w:val="24"/>
                <w:szCs w:val="24"/>
              </w:rPr>
              <w:t>31 March 2013</w:t>
            </w:r>
          </w:p>
        </w:tc>
      </w:tr>
      <w:tr w:rsidR="003D25B4" w:rsidRPr="003D2F7A" w:rsidTr="003D25B4">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sz w:val="24"/>
                <w:szCs w:val="24"/>
              </w:rPr>
            </w:pPr>
          </w:p>
        </w:tc>
        <w:tc>
          <w:tcPr>
            <w:tcW w:w="2160" w:type="dxa"/>
            <w:tcBorders>
              <w:top w:val="nil"/>
              <w:left w:val="nil"/>
              <w:bottom w:val="nil"/>
              <w:right w:val="nil"/>
            </w:tcBorders>
            <w:shd w:val="clear" w:color="auto" w:fill="auto"/>
            <w:vAlign w:val="center"/>
          </w:tcPr>
          <w:p w:rsidR="003D25B4" w:rsidRPr="003D2F7A" w:rsidRDefault="003D25B4" w:rsidP="003D25B4">
            <w:pPr>
              <w:pStyle w:val="Table3Data"/>
              <w:jc w:val="right"/>
              <w:rPr>
                <w:rFonts w:cs="Arial"/>
                <w:sz w:val="24"/>
                <w:szCs w:val="24"/>
                <w:highlight w:val="yellow"/>
              </w:rPr>
            </w:pPr>
          </w:p>
        </w:tc>
        <w:tc>
          <w:tcPr>
            <w:tcW w:w="2040" w:type="dxa"/>
            <w:tcBorders>
              <w:top w:val="nil"/>
              <w:left w:val="nil"/>
              <w:bottom w:val="nil"/>
              <w:right w:val="nil"/>
            </w:tcBorders>
            <w:shd w:val="clear" w:color="auto" w:fill="auto"/>
            <w:vAlign w:val="center"/>
          </w:tcPr>
          <w:p w:rsidR="003D25B4" w:rsidRPr="003D2F7A" w:rsidRDefault="003D25B4" w:rsidP="003D25B4">
            <w:pPr>
              <w:pStyle w:val="Table3Data"/>
              <w:jc w:val="right"/>
              <w:rPr>
                <w:rFonts w:cs="Arial"/>
                <w:sz w:val="24"/>
                <w:szCs w:val="24"/>
                <w:highlight w:val="yellow"/>
              </w:rPr>
            </w:pPr>
          </w:p>
        </w:tc>
      </w:tr>
      <w:tr w:rsidR="003D25B4" w:rsidRPr="003D2F7A" w:rsidTr="003D25B4">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sz w:val="24"/>
                <w:szCs w:val="24"/>
              </w:rPr>
            </w:pPr>
            <w:r w:rsidRPr="005A16FD">
              <w:rPr>
                <w:rFonts w:cs="Arial"/>
                <w:sz w:val="24"/>
                <w:szCs w:val="24"/>
              </w:rPr>
              <w:t>Number of employers with active members</w:t>
            </w:r>
          </w:p>
        </w:tc>
        <w:tc>
          <w:tcPr>
            <w:tcW w:w="2160" w:type="dxa"/>
            <w:tcBorders>
              <w:top w:val="nil"/>
              <w:left w:val="nil"/>
              <w:bottom w:val="nil"/>
              <w:right w:val="nil"/>
            </w:tcBorders>
            <w:shd w:val="clear" w:color="auto" w:fill="auto"/>
            <w:vAlign w:val="center"/>
          </w:tcPr>
          <w:p w:rsidR="003D25B4" w:rsidRPr="00784800" w:rsidRDefault="00276150" w:rsidP="003D25B4">
            <w:pPr>
              <w:pStyle w:val="Table3Data"/>
              <w:jc w:val="right"/>
              <w:rPr>
                <w:rFonts w:cs="Arial"/>
                <w:sz w:val="24"/>
                <w:szCs w:val="24"/>
              </w:rPr>
            </w:pPr>
            <w:r>
              <w:rPr>
                <w:rFonts w:cs="Arial"/>
                <w:sz w:val="24"/>
                <w:szCs w:val="24"/>
              </w:rPr>
              <w:t>26</w:t>
            </w:r>
          </w:p>
        </w:tc>
        <w:tc>
          <w:tcPr>
            <w:tcW w:w="2040" w:type="dxa"/>
            <w:tcBorders>
              <w:top w:val="nil"/>
              <w:left w:val="nil"/>
              <w:bottom w:val="nil"/>
              <w:right w:val="nil"/>
            </w:tcBorders>
            <w:shd w:val="clear" w:color="auto" w:fill="auto"/>
            <w:vAlign w:val="center"/>
          </w:tcPr>
          <w:p w:rsidR="003D25B4" w:rsidRPr="00784800" w:rsidRDefault="00276150" w:rsidP="006C794E">
            <w:pPr>
              <w:pStyle w:val="Table3Data"/>
              <w:jc w:val="right"/>
              <w:rPr>
                <w:rFonts w:cs="Arial"/>
                <w:sz w:val="24"/>
                <w:szCs w:val="24"/>
              </w:rPr>
            </w:pPr>
            <w:r>
              <w:rPr>
                <w:rFonts w:cs="Arial"/>
                <w:sz w:val="24"/>
                <w:szCs w:val="24"/>
              </w:rPr>
              <w:t>3</w:t>
            </w:r>
            <w:r w:rsidR="006C794E">
              <w:rPr>
                <w:rFonts w:cs="Arial"/>
                <w:sz w:val="24"/>
                <w:szCs w:val="24"/>
              </w:rPr>
              <w:t>5</w:t>
            </w:r>
          </w:p>
        </w:tc>
      </w:tr>
      <w:tr w:rsidR="003D25B4" w:rsidRPr="003D2F7A" w:rsidTr="003D25B4">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sz w:val="24"/>
                <w:szCs w:val="24"/>
              </w:rPr>
            </w:pPr>
          </w:p>
        </w:tc>
        <w:tc>
          <w:tcPr>
            <w:tcW w:w="2160" w:type="dxa"/>
            <w:tcBorders>
              <w:top w:val="nil"/>
              <w:left w:val="nil"/>
              <w:bottom w:val="nil"/>
              <w:right w:val="nil"/>
            </w:tcBorders>
            <w:shd w:val="clear" w:color="auto" w:fill="auto"/>
            <w:vAlign w:val="center"/>
          </w:tcPr>
          <w:p w:rsidR="003D25B4" w:rsidRPr="003D2F7A" w:rsidRDefault="003D25B4" w:rsidP="003D25B4">
            <w:pPr>
              <w:pStyle w:val="Table3Data"/>
              <w:jc w:val="right"/>
              <w:rPr>
                <w:rFonts w:cs="Arial"/>
                <w:sz w:val="24"/>
                <w:szCs w:val="24"/>
                <w:highlight w:val="yellow"/>
              </w:rPr>
            </w:pPr>
          </w:p>
        </w:tc>
        <w:tc>
          <w:tcPr>
            <w:tcW w:w="2040" w:type="dxa"/>
            <w:tcBorders>
              <w:top w:val="nil"/>
              <w:left w:val="nil"/>
              <w:bottom w:val="nil"/>
              <w:right w:val="nil"/>
            </w:tcBorders>
            <w:shd w:val="clear" w:color="auto" w:fill="auto"/>
            <w:vAlign w:val="center"/>
          </w:tcPr>
          <w:p w:rsidR="003D25B4" w:rsidRPr="003D2F7A" w:rsidRDefault="003D25B4" w:rsidP="003D25B4">
            <w:pPr>
              <w:pStyle w:val="Table3Data"/>
              <w:jc w:val="right"/>
              <w:rPr>
                <w:rFonts w:cs="Arial"/>
                <w:sz w:val="24"/>
                <w:szCs w:val="24"/>
                <w:highlight w:val="yellow"/>
              </w:rPr>
            </w:pPr>
          </w:p>
        </w:tc>
      </w:tr>
      <w:tr w:rsidR="003D25B4" w:rsidRPr="003D2F7A" w:rsidTr="003D25B4">
        <w:tc>
          <w:tcPr>
            <w:tcW w:w="4790" w:type="dxa"/>
            <w:tcBorders>
              <w:top w:val="nil"/>
              <w:left w:val="nil"/>
              <w:bottom w:val="nil"/>
              <w:right w:val="nil"/>
            </w:tcBorders>
            <w:shd w:val="clear" w:color="auto" w:fill="auto"/>
          </w:tcPr>
          <w:p w:rsidR="003D25B4" w:rsidRPr="005A16FD" w:rsidRDefault="005A16FD" w:rsidP="0065116C">
            <w:pPr>
              <w:pStyle w:val="PlainTableText"/>
              <w:rPr>
                <w:rFonts w:cs="Arial"/>
                <w:b/>
                <w:sz w:val="24"/>
                <w:szCs w:val="24"/>
              </w:rPr>
            </w:pPr>
            <w:r w:rsidRPr="005A16FD">
              <w:rPr>
                <w:rFonts w:cs="Arial"/>
                <w:b/>
                <w:sz w:val="24"/>
                <w:szCs w:val="24"/>
              </w:rPr>
              <w:t>Number of employees in s</w:t>
            </w:r>
            <w:r w:rsidR="003D25B4" w:rsidRPr="005A16FD">
              <w:rPr>
                <w:rFonts w:cs="Arial"/>
                <w:b/>
                <w:sz w:val="24"/>
                <w:szCs w:val="24"/>
              </w:rPr>
              <w:t>cheme</w:t>
            </w:r>
          </w:p>
        </w:tc>
        <w:tc>
          <w:tcPr>
            <w:tcW w:w="2160" w:type="dxa"/>
            <w:tcBorders>
              <w:top w:val="nil"/>
              <w:left w:val="nil"/>
              <w:bottom w:val="nil"/>
              <w:right w:val="nil"/>
            </w:tcBorders>
            <w:shd w:val="clear" w:color="auto" w:fill="auto"/>
            <w:vAlign w:val="center"/>
          </w:tcPr>
          <w:p w:rsidR="003D25B4" w:rsidRPr="003D2F7A" w:rsidRDefault="003D25B4" w:rsidP="003D25B4">
            <w:pPr>
              <w:pStyle w:val="Table3Data"/>
              <w:jc w:val="right"/>
              <w:rPr>
                <w:rFonts w:cs="Arial"/>
                <w:sz w:val="24"/>
                <w:szCs w:val="24"/>
                <w:highlight w:val="yellow"/>
              </w:rPr>
            </w:pPr>
          </w:p>
        </w:tc>
        <w:tc>
          <w:tcPr>
            <w:tcW w:w="2040" w:type="dxa"/>
            <w:tcBorders>
              <w:top w:val="nil"/>
              <w:left w:val="nil"/>
              <w:bottom w:val="nil"/>
              <w:right w:val="nil"/>
            </w:tcBorders>
            <w:shd w:val="clear" w:color="auto" w:fill="auto"/>
            <w:vAlign w:val="center"/>
          </w:tcPr>
          <w:p w:rsidR="003D25B4" w:rsidRPr="003D2F7A" w:rsidRDefault="003D25B4" w:rsidP="003D25B4">
            <w:pPr>
              <w:pStyle w:val="Table3Data"/>
              <w:jc w:val="right"/>
              <w:rPr>
                <w:rFonts w:cs="Arial"/>
                <w:sz w:val="24"/>
                <w:szCs w:val="24"/>
                <w:highlight w:val="yellow"/>
              </w:rPr>
            </w:pPr>
          </w:p>
        </w:tc>
      </w:tr>
      <w:tr w:rsidR="003D25B4" w:rsidRPr="003D2F7A" w:rsidTr="00636BF9">
        <w:tc>
          <w:tcPr>
            <w:tcW w:w="4790" w:type="dxa"/>
            <w:tcBorders>
              <w:top w:val="nil"/>
              <w:left w:val="nil"/>
              <w:bottom w:val="nil"/>
              <w:right w:val="nil"/>
            </w:tcBorders>
            <w:shd w:val="clear" w:color="auto" w:fill="auto"/>
          </w:tcPr>
          <w:p w:rsidR="003D25B4" w:rsidRPr="005A16FD" w:rsidRDefault="005A16FD" w:rsidP="0065116C">
            <w:pPr>
              <w:pStyle w:val="PlainTableText"/>
              <w:rPr>
                <w:rFonts w:cs="Arial"/>
                <w:sz w:val="24"/>
                <w:szCs w:val="24"/>
              </w:rPr>
            </w:pPr>
            <w:r w:rsidRPr="005A16FD">
              <w:rPr>
                <w:rFonts w:cs="Arial"/>
                <w:sz w:val="24"/>
                <w:szCs w:val="24"/>
              </w:rPr>
              <w:t>Brent</w:t>
            </w:r>
            <w:r w:rsidR="003D25B4" w:rsidRPr="005A16FD">
              <w:rPr>
                <w:rFonts w:cs="Arial"/>
                <w:sz w:val="24"/>
                <w:szCs w:val="24"/>
              </w:rPr>
              <w:t xml:space="preserve"> Council</w:t>
            </w:r>
          </w:p>
        </w:tc>
        <w:tc>
          <w:tcPr>
            <w:tcW w:w="2160" w:type="dxa"/>
            <w:tcBorders>
              <w:top w:val="nil"/>
              <w:left w:val="nil"/>
              <w:bottom w:val="nil"/>
              <w:right w:val="nil"/>
            </w:tcBorders>
            <w:shd w:val="clear" w:color="auto" w:fill="auto"/>
            <w:vAlign w:val="center"/>
          </w:tcPr>
          <w:p w:rsidR="003D25B4" w:rsidRPr="002F1060" w:rsidRDefault="000236EE" w:rsidP="003D25B4">
            <w:pPr>
              <w:pStyle w:val="Table3Data"/>
              <w:jc w:val="right"/>
              <w:rPr>
                <w:rFonts w:cs="Arial"/>
                <w:sz w:val="24"/>
                <w:szCs w:val="24"/>
              </w:rPr>
            </w:pPr>
            <w:r w:rsidRPr="002F1060">
              <w:rPr>
                <w:rFonts w:cs="Arial"/>
                <w:sz w:val="24"/>
                <w:szCs w:val="24"/>
              </w:rPr>
              <w:t>4</w:t>
            </w:r>
            <w:r w:rsidR="008B628C" w:rsidRPr="002F1060">
              <w:rPr>
                <w:rFonts w:cs="Arial"/>
                <w:sz w:val="24"/>
                <w:szCs w:val="24"/>
              </w:rPr>
              <w:t>,</w:t>
            </w:r>
            <w:r w:rsidR="00AD7B08">
              <w:rPr>
                <w:rFonts w:cs="Arial"/>
                <w:sz w:val="24"/>
                <w:szCs w:val="24"/>
              </w:rPr>
              <w:t>467</w:t>
            </w:r>
          </w:p>
        </w:tc>
        <w:tc>
          <w:tcPr>
            <w:tcW w:w="2040" w:type="dxa"/>
            <w:tcBorders>
              <w:top w:val="nil"/>
              <w:left w:val="nil"/>
              <w:bottom w:val="nil"/>
              <w:right w:val="nil"/>
            </w:tcBorders>
            <w:shd w:val="clear" w:color="auto" w:fill="auto"/>
            <w:vAlign w:val="center"/>
          </w:tcPr>
          <w:p w:rsidR="003D25B4" w:rsidRPr="00A70346" w:rsidRDefault="00731689" w:rsidP="003D25B4">
            <w:pPr>
              <w:pStyle w:val="Table3Data"/>
              <w:jc w:val="right"/>
              <w:rPr>
                <w:rFonts w:cs="Arial"/>
                <w:sz w:val="24"/>
                <w:szCs w:val="24"/>
              </w:rPr>
            </w:pPr>
            <w:r w:rsidRPr="00A70346">
              <w:rPr>
                <w:rFonts w:cs="Arial"/>
                <w:sz w:val="24"/>
                <w:szCs w:val="24"/>
              </w:rPr>
              <w:t>4,</w:t>
            </w:r>
            <w:r w:rsidR="00772EF9">
              <w:rPr>
                <w:rFonts w:cs="Arial"/>
                <w:sz w:val="24"/>
                <w:szCs w:val="24"/>
              </w:rPr>
              <w:t>091</w:t>
            </w:r>
          </w:p>
        </w:tc>
      </w:tr>
      <w:tr w:rsidR="003D25B4" w:rsidRPr="003D2F7A" w:rsidTr="00636BF9">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sz w:val="24"/>
                <w:szCs w:val="24"/>
              </w:rPr>
            </w:pPr>
            <w:r w:rsidRPr="005A16FD">
              <w:rPr>
                <w:rFonts w:cs="Arial"/>
                <w:sz w:val="24"/>
                <w:szCs w:val="24"/>
              </w:rPr>
              <w:t>Other employers</w:t>
            </w:r>
          </w:p>
        </w:tc>
        <w:tc>
          <w:tcPr>
            <w:tcW w:w="2160" w:type="dxa"/>
            <w:tcBorders>
              <w:top w:val="nil"/>
              <w:left w:val="nil"/>
              <w:bottom w:val="single" w:sz="4" w:space="0" w:color="auto"/>
              <w:right w:val="nil"/>
            </w:tcBorders>
            <w:shd w:val="clear" w:color="auto" w:fill="auto"/>
            <w:vAlign w:val="center"/>
          </w:tcPr>
          <w:p w:rsidR="003D25B4" w:rsidRPr="002F1060" w:rsidRDefault="00AD7B08" w:rsidP="003D25B4">
            <w:pPr>
              <w:pStyle w:val="Table3Data"/>
              <w:jc w:val="right"/>
              <w:rPr>
                <w:rFonts w:cs="Arial"/>
                <w:sz w:val="24"/>
                <w:szCs w:val="24"/>
              </w:rPr>
            </w:pPr>
            <w:r>
              <w:rPr>
                <w:rFonts w:cs="Arial"/>
                <w:sz w:val="24"/>
                <w:szCs w:val="24"/>
              </w:rPr>
              <w:t>931</w:t>
            </w:r>
          </w:p>
        </w:tc>
        <w:tc>
          <w:tcPr>
            <w:tcW w:w="2040" w:type="dxa"/>
            <w:tcBorders>
              <w:top w:val="nil"/>
              <w:left w:val="nil"/>
              <w:bottom w:val="single" w:sz="4" w:space="0" w:color="auto"/>
              <w:right w:val="nil"/>
            </w:tcBorders>
            <w:shd w:val="clear" w:color="auto" w:fill="auto"/>
            <w:vAlign w:val="center"/>
          </w:tcPr>
          <w:p w:rsidR="003D25B4" w:rsidRPr="00A70346" w:rsidRDefault="00772EF9" w:rsidP="003D25B4">
            <w:pPr>
              <w:pStyle w:val="Table3Data"/>
              <w:jc w:val="right"/>
              <w:rPr>
                <w:rFonts w:cs="Arial"/>
                <w:sz w:val="24"/>
                <w:szCs w:val="24"/>
              </w:rPr>
            </w:pPr>
            <w:r>
              <w:rPr>
                <w:rFonts w:cs="Arial"/>
                <w:sz w:val="24"/>
                <w:szCs w:val="24"/>
              </w:rPr>
              <w:t>1,282</w:t>
            </w:r>
          </w:p>
        </w:tc>
      </w:tr>
      <w:tr w:rsidR="003D25B4" w:rsidRPr="005A16FD" w:rsidTr="00636BF9">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b/>
                <w:sz w:val="24"/>
                <w:szCs w:val="24"/>
              </w:rPr>
            </w:pPr>
            <w:r w:rsidRPr="005A16FD">
              <w:rPr>
                <w:rFonts w:cs="Arial"/>
                <w:b/>
                <w:sz w:val="24"/>
                <w:szCs w:val="24"/>
              </w:rPr>
              <w:t>Total</w:t>
            </w:r>
          </w:p>
        </w:tc>
        <w:tc>
          <w:tcPr>
            <w:tcW w:w="2160" w:type="dxa"/>
            <w:tcBorders>
              <w:top w:val="single" w:sz="4" w:space="0" w:color="auto"/>
              <w:left w:val="nil"/>
              <w:bottom w:val="nil"/>
              <w:right w:val="nil"/>
            </w:tcBorders>
            <w:shd w:val="clear" w:color="auto" w:fill="auto"/>
            <w:vAlign w:val="center"/>
          </w:tcPr>
          <w:p w:rsidR="003D25B4" w:rsidRPr="002F1060" w:rsidRDefault="00EF27DE" w:rsidP="003D25B4">
            <w:pPr>
              <w:pStyle w:val="Table3Data"/>
              <w:jc w:val="right"/>
              <w:rPr>
                <w:rFonts w:cs="Arial"/>
                <w:b/>
                <w:sz w:val="24"/>
                <w:szCs w:val="24"/>
              </w:rPr>
            </w:pPr>
            <w:r w:rsidRPr="002F1060">
              <w:rPr>
                <w:rFonts w:cs="Arial"/>
                <w:b/>
                <w:sz w:val="24"/>
                <w:szCs w:val="24"/>
              </w:rPr>
              <w:t>5</w:t>
            </w:r>
            <w:r w:rsidR="008E645A" w:rsidRPr="002F1060">
              <w:rPr>
                <w:rFonts w:cs="Arial"/>
                <w:b/>
                <w:sz w:val="24"/>
                <w:szCs w:val="24"/>
              </w:rPr>
              <w:t>,</w:t>
            </w:r>
            <w:r w:rsidRPr="002F1060">
              <w:rPr>
                <w:rFonts w:cs="Arial"/>
                <w:b/>
                <w:sz w:val="24"/>
                <w:szCs w:val="24"/>
              </w:rPr>
              <w:t>3</w:t>
            </w:r>
            <w:r w:rsidR="00AD7B08">
              <w:rPr>
                <w:rFonts w:cs="Arial"/>
                <w:b/>
                <w:sz w:val="24"/>
                <w:szCs w:val="24"/>
              </w:rPr>
              <w:t>98</w:t>
            </w:r>
          </w:p>
        </w:tc>
        <w:tc>
          <w:tcPr>
            <w:tcW w:w="2040" w:type="dxa"/>
            <w:tcBorders>
              <w:top w:val="single" w:sz="4" w:space="0" w:color="auto"/>
              <w:left w:val="nil"/>
              <w:bottom w:val="nil"/>
              <w:right w:val="nil"/>
            </w:tcBorders>
            <w:shd w:val="clear" w:color="auto" w:fill="auto"/>
            <w:vAlign w:val="center"/>
          </w:tcPr>
          <w:p w:rsidR="003D25B4" w:rsidRPr="00A70346" w:rsidRDefault="008B628C" w:rsidP="003D25B4">
            <w:pPr>
              <w:pStyle w:val="Table3Data"/>
              <w:jc w:val="right"/>
              <w:rPr>
                <w:rFonts w:cs="Arial"/>
                <w:b/>
                <w:sz w:val="24"/>
                <w:szCs w:val="24"/>
              </w:rPr>
            </w:pPr>
            <w:r w:rsidRPr="00A70346">
              <w:rPr>
                <w:rFonts w:cs="Arial"/>
                <w:b/>
                <w:sz w:val="24"/>
                <w:szCs w:val="24"/>
              </w:rPr>
              <w:t>5,3</w:t>
            </w:r>
            <w:r w:rsidR="00772EF9">
              <w:rPr>
                <w:rFonts w:cs="Arial"/>
                <w:b/>
                <w:sz w:val="24"/>
                <w:szCs w:val="24"/>
              </w:rPr>
              <w:t>73</w:t>
            </w:r>
          </w:p>
        </w:tc>
      </w:tr>
      <w:tr w:rsidR="003D25B4" w:rsidRPr="003D2F7A" w:rsidTr="003D25B4">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sz w:val="24"/>
                <w:szCs w:val="24"/>
              </w:rPr>
            </w:pPr>
          </w:p>
        </w:tc>
        <w:tc>
          <w:tcPr>
            <w:tcW w:w="2160" w:type="dxa"/>
            <w:tcBorders>
              <w:top w:val="nil"/>
              <w:left w:val="nil"/>
              <w:bottom w:val="nil"/>
              <w:right w:val="nil"/>
            </w:tcBorders>
            <w:shd w:val="clear" w:color="auto" w:fill="auto"/>
            <w:vAlign w:val="center"/>
          </w:tcPr>
          <w:p w:rsidR="003D25B4" w:rsidRPr="002F1060" w:rsidRDefault="003D25B4" w:rsidP="003D25B4">
            <w:pPr>
              <w:pStyle w:val="Table3Data"/>
              <w:jc w:val="right"/>
              <w:rPr>
                <w:rFonts w:cs="Arial"/>
                <w:sz w:val="24"/>
                <w:szCs w:val="24"/>
              </w:rPr>
            </w:pPr>
          </w:p>
        </w:tc>
        <w:tc>
          <w:tcPr>
            <w:tcW w:w="2040" w:type="dxa"/>
            <w:tcBorders>
              <w:top w:val="nil"/>
              <w:left w:val="nil"/>
              <w:bottom w:val="nil"/>
              <w:right w:val="nil"/>
            </w:tcBorders>
            <w:shd w:val="clear" w:color="auto" w:fill="auto"/>
            <w:vAlign w:val="center"/>
          </w:tcPr>
          <w:p w:rsidR="003D25B4" w:rsidRPr="00A70346" w:rsidRDefault="003D25B4" w:rsidP="003D25B4">
            <w:pPr>
              <w:pStyle w:val="Table3Data"/>
              <w:jc w:val="right"/>
              <w:rPr>
                <w:rFonts w:cs="Arial"/>
                <w:sz w:val="24"/>
                <w:szCs w:val="24"/>
              </w:rPr>
            </w:pPr>
          </w:p>
        </w:tc>
      </w:tr>
      <w:tr w:rsidR="003D25B4" w:rsidRPr="003D2F7A" w:rsidTr="003D25B4">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b/>
                <w:sz w:val="24"/>
                <w:szCs w:val="24"/>
              </w:rPr>
            </w:pPr>
            <w:r w:rsidRPr="005A16FD">
              <w:rPr>
                <w:rFonts w:cs="Arial"/>
                <w:b/>
                <w:sz w:val="24"/>
                <w:szCs w:val="24"/>
              </w:rPr>
              <w:t>Number of pensioners</w:t>
            </w:r>
          </w:p>
        </w:tc>
        <w:tc>
          <w:tcPr>
            <w:tcW w:w="2160" w:type="dxa"/>
            <w:tcBorders>
              <w:top w:val="nil"/>
              <w:left w:val="nil"/>
              <w:bottom w:val="nil"/>
              <w:right w:val="nil"/>
            </w:tcBorders>
            <w:shd w:val="clear" w:color="auto" w:fill="auto"/>
            <w:vAlign w:val="center"/>
          </w:tcPr>
          <w:p w:rsidR="003D25B4" w:rsidRPr="002F1060" w:rsidRDefault="003D25B4" w:rsidP="003D25B4">
            <w:pPr>
              <w:pStyle w:val="Table3Data"/>
              <w:jc w:val="right"/>
              <w:rPr>
                <w:rFonts w:cs="Arial"/>
                <w:sz w:val="24"/>
                <w:szCs w:val="24"/>
              </w:rPr>
            </w:pPr>
          </w:p>
        </w:tc>
        <w:tc>
          <w:tcPr>
            <w:tcW w:w="2040" w:type="dxa"/>
            <w:tcBorders>
              <w:top w:val="nil"/>
              <w:left w:val="nil"/>
              <w:bottom w:val="nil"/>
              <w:right w:val="nil"/>
            </w:tcBorders>
            <w:shd w:val="clear" w:color="auto" w:fill="auto"/>
            <w:vAlign w:val="center"/>
          </w:tcPr>
          <w:p w:rsidR="003D25B4" w:rsidRPr="00A70346" w:rsidRDefault="003D25B4" w:rsidP="003D25B4">
            <w:pPr>
              <w:pStyle w:val="Table3Data"/>
              <w:jc w:val="right"/>
              <w:rPr>
                <w:rFonts w:cs="Arial"/>
                <w:sz w:val="24"/>
                <w:szCs w:val="24"/>
              </w:rPr>
            </w:pPr>
          </w:p>
        </w:tc>
      </w:tr>
      <w:tr w:rsidR="007B0900" w:rsidRPr="003D2F7A" w:rsidTr="00636BF9">
        <w:tc>
          <w:tcPr>
            <w:tcW w:w="4790" w:type="dxa"/>
            <w:tcBorders>
              <w:top w:val="nil"/>
              <w:left w:val="nil"/>
              <w:bottom w:val="nil"/>
              <w:right w:val="nil"/>
            </w:tcBorders>
            <w:shd w:val="clear" w:color="auto" w:fill="auto"/>
          </w:tcPr>
          <w:p w:rsidR="007B0900" w:rsidRPr="005A16FD" w:rsidRDefault="005A16FD" w:rsidP="0065116C">
            <w:pPr>
              <w:pStyle w:val="PlainTableText"/>
              <w:rPr>
                <w:rFonts w:cs="Arial"/>
                <w:sz w:val="24"/>
                <w:szCs w:val="24"/>
              </w:rPr>
            </w:pPr>
            <w:r w:rsidRPr="005A16FD">
              <w:rPr>
                <w:rFonts w:cs="Arial"/>
                <w:sz w:val="24"/>
                <w:szCs w:val="24"/>
              </w:rPr>
              <w:t>Brent</w:t>
            </w:r>
            <w:r w:rsidR="007B0900" w:rsidRPr="005A16FD">
              <w:rPr>
                <w:rFonts w:cs="Arial"/>
                <w:sz w:val="24"/>
                <w:szCs w:val="24"/>
              </w:rPr>
              <w:t xml:space="preserve"> Council</w:t>
            </w:r>
          </w:p>
        </w:tc>
        <w:tc>
          <w:tcPr>
            <w:tcW w:w="2160" w:type="dxa"/>
            <w:tcBorders>
              <w:top w:val="nil"/>
              <w:left w:val="nil"/>
              <w:bottom w:val="nil"/>
              <w:right w:val="nil"/>
            </w:tcBorders>
            <w:shd w:val="clear" w:color="auto" w:fill="auto"/>
            <w:vAlign w:val="center"/>
          </w:tcPr>
          <w:p w:rsidR="007B0900" w:rsidRPr="002F1060" w:rsidRDefault="00216C65" w:rsidP="0065116C">
            <w:pPr>
              <w:pStyle w:val="Table3Data"/>
              <w:jc w:val="right"/>
              <w:rPr>
                <w:rFonts w:cs="Arial"/>
                <w:sz w:val="24"/>
                <w:szCs w:val="24"/>
              </w:rPr>
            </w:pPr>
            <w:r w:rsidRPr="002F1060">
              <w:rPr>
                <w:rFonts w:cs="Arial"/>
                <w:sz w:val="24"/>
                <w:szCs w:val="24"/>
              </w:rPr>
              <w:t>5</w:t>
            </w:r>
            <w:r w:rsidR="009E0945" w:rsidRPr="002F1060">
              <w:rPr>
                <w:rFonts w:cs="Arial"/>
                <w:sz w:val="24"/>
                <w:szCs w:val="24"/>
              </w:rPr>
              <w:t>,</w:t>
            </w:r>
            <w:r w:rsidR="00423C9D">
              <w:rPr>
                <w:rFonts w:cs="Arial"/>
                <w:sz w:val="24"/>
                <w:szCs w:val="24"/>
              </w:rPr>
              <w:t>402</w:t>
            </w:r>
          </w:p>
        </w:tc>
        <w:tc>
          <w:tcPr>
            <w:tcW w:w="2040" w:type="dxa"/>
            <w:tcBorders>
              <w:top w:val="nil"/>
              <w:left w:val="nil"/>
              <w:bottom w:val="nil"/>
              <w:right w:val="nil"/>
            </w:tcBorders>
            <w:shd w:val="clear" w:color="auto" w:fill="auto"/>
            <w:vAlign w:val="center"/>
          </w:tcPr>
          <w:p w:rsidR="007B0900" w:rsidRPr="00A70346" w:rsidRDefault="00731689" w:rsidP="0065116C">
            <w:pPr>
              <w:pStyle w:val="Table3Data"/>
              <w:jc w:val="right"/>
              <w:rPr>
                <w:rFonts w:cs="Arial"/>
                <w:sz w:val="24"/>
                <w:szCs w:val="24"/>
              </w:rPr>
            </w:pPr>
            <w:r w:rsidRPr="00A70346">
              <w:rPr>
                <w:rFonts w:cs="Arial"/>
                <w:sz w:val="24"/>
                <w:szCs w:val="24"/>
              </w:rPr>
              <w:t>5,</w:t>
            </w:r>
            <w:r w:rsidR="00772EF9">
              <w:rPr>
                <w:rFonts w:cs="Arial"/>
                <w:sz w:val="24"/>
                <w:szCs w:val="24"/>
              </w:rPr>
              <w:t>381</w:t>
            </w:r>
          </w:p>
        </w:tc>
      </w:tr>
      <w:tr w:rsidR="007B0900" w:rsidRPr="003D2F7A" w:rsidTr="00636BF9">
        <w:tc>
          <w:tcPr>
            <w:tcW w:w="4790" w:type="dxa"/>
            <w:tcBorders>
              <w:top w:val="nil"/>
              <w:left w:val="nil"/>
              <w:bottom w:val="nil"/>
              <w:right w:val="nil"/>
            </w:tcBorders>
            <w:shd w:val="clear" w:color="auto" w:fill="auto"/>
          </w:tcPr>
          <w:p w:rsidR="007B0900" w:rsidRPr="005A16FD" w:rsidRDefault="007B0900" w:rsidP="0065116C">
            <w:pPr>
              <w:pStyle w:val="PlainTableText"/>
              <w:rPr>
                <w:rFonts w:cs="Arial"/>
                <w:sz w:val="24"/>
                <w:szCs w:val="24"/>
              </w:rPr>
            </w:pPr>
            <w:r w:rsidRPr="005A16FD">
              <w:rPr>
                <w:rFonts w:cs="Arial"/>
                <w:sz w:val="24"/>
                <w:szCs w:val="24"/>
              </w:rPr>
              <w:t>Other employers</w:t>
            </w:r>
          </w:p>
        </w:tc>
        <w:tc>
          <w:tcPr>
            <w:tcW w:w="2160" w:type="dxa"/>
            <w:tcBorders>
              <w:top w:val="nil"/>
              <w:left w:val="nil"/>
              <w:bottom w:val="single" w:sz="4" w:space="0" w:color="auto"/>
              <w:right w:val="nil"/>
            </w:tcBorders>
            <w:shd w:val="clear" w:color="auto" w:fill="auto"/>
            <w:vAlign w:val="center"/>
          </w:tcPr>
          <w:p w:rsidR="007B0900" w:rsidRPr="002F1060" w:rsidRDefault="00423C9D" w:rsidP="0065116C">
            <w:pPr>
              <w:pStyle w:val="Table3Data"/>
              <w:jc w:val="right"/>
              <w:rPr>
                <w:rFonts w:cs="Arial"/>
                <w:sz w:val="24"/>
                <w:szCs w:val="24"/>
              </w:rPr>
            </w:pPr>
            <w:r>
              <w:rPr>
                <w:rFonts w:cs="Arial"/>
                <w:sz w:val="24"/>
                <w:szCs w:val="24"/>
              </w:rPr>
              <w:t>571</w:t>
            </w:r>
          </w:p>
        </w:tc>
        <w:tc>
          <w:tcPr>
            <w:tcW w:w="2040" w:type="dxa"/>
            <w:tcBorders>
              <w:top w:val="nil"/>
              <w:left w:val="nil"/>
              <w:bottom w:val="single" w:sz="4" w:space="0" w:color="auto"/>
              <w:right w:val="nil"/>
            </w:tcBorders>
            <w:shd w:val="clear" w:color="auto" w:fill="auto"/>
            <w:vAlign w:val="center"/>
          </w:tcPr>
          <w:p w:rsidR="007B0900" w:rsidRPr="00A70346" w:rsidRDefault="00AD7B08" w:rsidP="0065116C">
            <w:pPr>
              <w:pStyle w:val="Table3Data"/>
              <w:jc w:val="right"/>
              <w:rPr>
                <w:rFonts w:cs="Arial"/>
                <w:sz w:val="24"/>
                <w:szCs w:val="24"/>
              </w:rPr>
            </w:pPr>
            <w:r>
              <w:rPr>
                <w:rFonts w:cs="Arial"/>
                <w:sz w:val="24"/>
                <w:szCs w:val="24"/>
              </w:rPr>
              <w:t>669</w:t>
            </w:r>
          </w:p>
        </w:tc>
      </w:tr>
      <w:tr w:rsidR="007B0900" w:rsidRPr="003D2F7A" w:rsidTr="00636BF9">
        <w:tc>
          <w:tcPr>
            <w:tcW w:w="4790" w:type="dxa"/>
            <w:tcBorders>
              <w:top w:val="nil"/>
              <w:left w:val="nil"/>
              <w:bottom w:val="nil"/>
              <w:right w:val="nil"/>
            </w:tcBorders>
            <w:shd w:val="clear" w:color="auto" w:fill="auto"/>
          </w:tcPr>
          <w:p w:rsidR="007B0900" w:rsidRPr="005A16FD" w:rsidRDefault="007B0900" w:rsidP="0065116C">
            <w:pPr>
              <w:pStyle w:val="PlainTableText"/>
              <w:rPr>
                <w:rFonts w:cs="Arial"/>
                <w:b/>
                <w:sz w:val="24"/>
                <w:szCs w:val="24"/>
              </w:rPr>
            </w:pPr>
            <w:r w:rsidRPr="005A16FD">
              <w:rPr>
                <w:rFonts w:cs="Arial"/>
                <w:b/>
                <w:sz w:val="24"/>
                <w:szCs w:val="24"/>
              </w:rPr>
              <w:t>Total</w:t>
            </w:r>
          </w:p>
        </w:tc>
        <w:tc>
          <w:tcPr>
            <w:tcW w:w="2160" w:type="dxa"/>
            <w:tcBorders>
              <w:top w:val="single" w:sz="4" w:space="0" w:color="auto"/>
              <w:left w:val="nil"/>
              <w:bottom w:val="nil"/>
              <w:right w:val="nil"/>
            </w:tcBorders>
            <w:shd w:val="clear" w:color="auto" w:fill="auto"/>
            <w:vAlign w:val="center"/>
          </w:tcPr>
          <w:p w:rsidR="007B0900" w:rsidRPr="002F1060" w:rsidRDefault="00423C9D" w:rsidP="0065116C">
            <w:pPr>
              <w:pStyle w:val="Table3Data"/>
              <w:jc w:val="right"/>
              <w:rPr>
                <w:rFonts w:cs="Arial"/>
                <w:b/>
                <w:sz w:val="24"/>
                <w:szCs w:val="24"/>
              </w:rPr>
            </w:pPr>
            <w:r>
              <w:rPr>
                <w:rFonts w:cs="Arial"/>
                <w:b/>
                <w:sz w:val="24"/>
                <w:szCs w:val="24"/>
              </w:rPr>
              <w:t>5,973</w:t>
            </w:r>
          </w:p>
        </w:tc>
        <w:tc>
          <w:tcPr>
            <w:tcW w:w="2040" w:type="dxa"/>
            <w:tcBorders>
              <w:top w:val="single" w:sz="4" w:space="0" w:color="auto"/>
              <w:left w:val="nil"/>
              <w:bottom w:val="nil"/>
              <w:right w:val="nil"/>
            </w:tcBorders>
            <w:shd w:val="clear" w:color="auto" w:fill="auto"/>
            <w:vAlign w:val="center"/>
          </w:tcPr>
          <w:p w:rsidR="007B0900" w:rsidRPr="00A70346" w:rsidRDefault="00AD7B08" w:rsidP="0065116C">
            <w:pPr>
              <w:pStyle w:val="Table3Data"/>
              <w:jc w:val="right"/>
              <w:rPr>
                <w:rFonts w:cs="Arial"/>
                <w:b/>
                <w:sz w:val="24"/>
                <w:szCs w:val="24"/>
              </w:rPr>
            </w:pPr>
            <w:r>
              <w:rPr>
                <w:rFonts w:cs="Arial"/>
                <w:b/>
                <w:sz w:val="24"/>
                <w:szCs w:val="24"/>
              </w:rPr>
              <w:t>6,050</w:t>
            </w:r>
          </w:p>
        </w:tc>
      </w:tr>
      <w:tr w:rsidR="003D25B4" w:rsidRPr="003D2F7A" w:rsidTr="003D25B4">
        <w:tc>
          <w:tcPr>
            <w:tcW w:w="4790" w:type="dxa"/>
            <w:tcBorders>
              <w:top w:val="nil"/>
              <w:left w:val="nil"/>
              <w:bottom w:val="nil"/>
              <w:right w:val="nil"/>
            </w:tcBorders>
            <w:shd w:val="clear" w:color="auto" w:fill="auto"/>
          </w:tcPr>
          <w:p w:rsidR="003D25B4" w:rsidRPr="005A16FD" w:rsidRDefault="003D25B4" w:rsidP="0065116C">
            <w:pPr>
              <w:pStyle w:val="PlainTableText"/>
              <w:rPr>
                <w:rFonts w:cs="Arial"/>
                <w:sz w:val="24"/>
                <w:szCs w:val="24"/>
              </w:rPr>
            </w:pPr>
          </w:p>
        </w:tc>
        <w:tc>
          <w:tcPr>
            <w:tcW w:w="2160" w:type="dxa"/>
            <w:tcBorders>
              <w:top w:val="nil"/>
              <w:left w:val="nil"/>
              <w:bottom w:val="nil"/>
              <w:right w:val="nil"/>
            </w:tcBorders>
            <w:shd w:val="clear" w:color="auto" w:fill="auto"/>
            <w:vAlign w:val="center"/>
          </w:tcPr>
          <w:p w:rsidR="003D25B4" w:rsidRPr="002F1060" w:rsidRDefault="003D25B4" w:rsidP="003D25B4">
            <w:pPr>
              <w:pStyle w:val="Table3Data"/>
              <w:jc w:val="right"/>
              <w:rPr>
                <w:rFonts w:cs="Arial"/>
                <w:sz w:val="24"/>
                <w:szCs w:val="24"/>
              </w:rPr>
            </w:pPr>
          </w:p>
        </w:tc>
        <w:tc>
          <w:tcPr>
            <w:tcW w:w="2040" w:type="dxa"/>
            <w:tcBorders>
              <w:top w:val="nil"/>
              <w:left w:val="nil"/>
              <w:bottom w:val="nil"/>
              <w:right w:val="nil"/>
            </w:tcBorders>
            <w:shd w:val="clear" w:color="auto" w:fill="auto"/>
            <w:vAlign w:val="center"/>
          </w:tcPr>
          <w:p w:rsidR="003D25B4" w:rsidRPr="00A70346" w:rsidRDefault="003D25B4" w:rsidP="003D25B4">
            <w:pPr>
              <w:pStyle w:val="Table3Data"/>
              <w:jc w:val="right"/>
              <w:rPr>
                <w:rFonts w:cs="Arial"/>
                <w:sz w:val="24"/>
                <w:szCs w:val="24"/>
              </w:rPr>
            </w:pPr>
          </w:p>
        </w:tc>
      </w:tr>
      <w:tr w:rsidR="003D25B4" w:rsidRPr="003D2F7A" w:rsidTr="003D25B4">
        <w:tc>
          <w:tcPr>
            <w:tcW w:w="4790" w:type="dxa"/>
            <w:tcBorders>
              <w:top w:val="nil"/>
              <w:left w:val="nil"/>
              <w:bottom w:val="nil"/>
              <w:right w:val="nil"/>
            </w:tcBorders>
            <w:shd w:val="clear" w:color="auto" w:fill="auto"/>
          </w:tcPr>
          <w:p w:rsidR="003D25B4" w:rsidRPr="005A16FD" w:rsidRDefault="009D55FF" w:rsidP="0065116C">
            <w:pPr>
              <w:pStyle w:val="PlainTableText"/>
              <w:rPr>
                <w:rFonts w:cs="Arial"/>
                <w:b/>
                <w:sz w:val="24"/>
                <w:szCs w:val="24"/>
              </w:rPr>
            </w:pPr>
            <w:r w:rsidRPr="005A16FD">
              <w:rPr>
                <w:rFonts w:cs="Arial"/>
                <w:b/>
                <w:sz w:val="24"/>
                <w:szCs w:val="24"/>
              </w:rPr>
              <w:t>Deferred pensioners</w:t>
            </w:r>
          </w:p>
        </w:tc>
        <w:tc>
          <w:tcPr>
            <w:tcW w:w="2160" w:type="dxa"/>
            <w:tcBorders>
              <w:top w:val="nil"/>
              <w:left w:val="nil"/>
              <w:bottom w:val="nil"/>
              <w:right w:val="nil"/>
            </w:tcBorders>
            <w:shd w:val="clear" w:color="auto" w:fill="auto"/>
            <w:vAlign w:val="center"/>
          </w:tcPr>
          <w:p w:rsidR="003D25B4" w:rsidRPr="002F1060" w:rsidRDefault="003D25B4" w:rsidP="003D25B4">
            <w:pPr>
              <w:pStyle w:val="Table3Data"/>
              <w:jc w:val="right"/>
              <w:rPr>
                <w:rFonts w:cs="Arial"/>
                <w:sz w:val="24"/>
                <w:szCs w:val="24"/>
              </w:rPr>
            </w:pPr>
          </w:p>
        </w:tc>
        <w:tc>
          <w:tcPr>
            <w:tcW w:w="2040" w:type="dxa"/>
            <w:tcBorders>
              <w:top w:val="nil"/>
              <w:left w:val="nil"/>
              <w:bottom w:val="nil"/>
              <w:right w:val="nil"/>
            </w:tcBorders>
            <w:shd w:val="clear" w:color="auto" w:fill="auto"/>
            <w:vAlign w:val="center"/>
          </w:tcPr>
          <w:p w:rsidR="003D25B4" w:rsidRPr="00A70346" w:rsidRDefault="003D25B4" w:rsidP="003D25B4">
            <w:pPr>
              <w:pStyle w:val="Table3Data"/>
              <w:jc w:val="right"/>
              <w:rPr>
                <w:rFonts w:cs="Arial"/>
                <w:sz w:val="24"/>
                <w:szCs w:val="24"/>
              </w:rPr>
            </w:pPr>
          </w:p>
        </w:tc>
      </w:tr>
      <w:tr w:rsidR="007B0900" w:rsidRPr="003D2F7A" w:rsidTr="00636BF9">
        <w:tc>
          <w:tcPr>
            <w:tcW w:w="4790" w:type="dxa"/>
            <w:tcBorders>
              <w:top w:val="nil"/>
              <w:left w:val="nil"/>
              <w:bottom w:val="nil"/>
              <w:right w:val="nil"/>
            </w:tcBorders>
            <w:shd w:val="clear" w:color="auto" w:fill="auto"/>
          </w:tcPr>
          <w:p w:rsidR="007B0900" w:rsidRPr="005A16FD" w:rsidRDefault="005A16FD" w:rsidP="0065116C">
            <w:pPr>
              <w:pStyle w:val="PlainTableText"/>
              <w:rPr>
                <w:rFonts w:cs="Arial"/>
                <w:sz w:val="24"/>
                <w:szCs w:val="24"/>
              </w:rPr>
            </w:pPr>
            <w:r w:rsidRPr="005A16FD">
              <w:rPr>
                <w:rFonts w:cs="Arial"/>
                <w:sz w:val="24"/>
                <w:szCs w:val="24"/>
              </w:rPr>
              <w:t>Brent</w:t>
            </w:r>
            <w:r w:rsidR="007B0900" w:rsidRPr="005A16FD">
              <w:rPr>
                <w:rFonts w:cs="Arial"/>
                <w:sz w:val="24"/>
                <w:szCs w:val="24"/>
              </w:rPr>
              <w:t xml:space="preserve"> Council</w:t>
            </w:r>
          </w:p>
        </w:tc>
        <w:tc>
          <w:tcPr>
            <w:tcW w:w="2160" w:type="dxa"/>
            <w:tcBorders>
              <w:top w:val="nil"/>
              <w:left w:val="nil"/>
              <w:bottom w:val="nil"/>
              <w:right w:val="nil"/>
            </w:tcBorders>
            <w:shd w:val="clear" w:color="auto" w:fill="auto"/>
            <w:vAlign w:val="center"/>
          </w:tcPr>
          <w:p w:rsidR="007B0900" w:rsidRPr="002F1060" w:rsidRDefault="00216C65" w:rsidP="0065116C">
            <w:pPr>
              <w:pStyle w:val="Table3Data"/>
              <w:jc w:val="right"/>
              <w:rPr>
                <w:rFonts w:cs="Arial"/>
                <w:sz w:val="24"/>
                <w:szCs w:val="24"/>
              </w:rPr>
            </w:pPr>
            <w:r w:rsidRPr="002F1060">
              <w:rPr>
                <w:rFonts w:cs="Arial"/>
                <w:sz w:val="24"/>
                <w:szCs w:val="24"/>
              </w:rPr>
              <w:t>6</w:t>
            </w:r>
            <w:r w:rsidR="009E0945" w:rsidRPr="002F1060">
              <w:rPr>
                <w:rFonts w:cs="Arial"/>
                <w:sz w:val="24"/>
                <w:szCs w:val="24"/>
              </w:rPr>
              <w:t>,</w:t>
            </w:r>
            <w:r w:rsidR="00805246">
              <w:rPr>
                <w:rFonts w:cs="Arial"/>
                <w:sz w:val="24"/>
                <w:szCs w:val="24"/>
              </w:rPr>
              <w:t>187</w:t>
            </w:r>
          </w:p>
        </w:tc>
        <w:tc>
          <w:tcPr>
            <w:tcW w:w="2040" w:type="dxa"/>
            <w:tcBorders>
              <w:top w:val="nil"/>
              <w:left w:val="nil"/>
              <w:bottom w:val="nil"/>
              <w:right w:val="nil"/>
            </w:tcBorders>
            <w:shd w:val="clear" w:color="auto" w:fill="auto"/>
            <w:vAlign w:val="center"/>
          </w:tcPr>
          <w:p w:rsidR="007B0900" w:rsidRPr="00A70346" w:rsidRDefault="00A70346" w:rsidP="0065116C">
            <w:pPr>
              <w:pStyle w:val="Table3Data"/>
              <w:jc w:val="right"/>
              <w:rPr>
                <w:rFonts w:cs="Arial"/>
                <w:sz w:val="24"/>
                <w:szCs w:val="24"/>
              </w:rPr>
            </w:pPr>
            <w:r w:rsidRPr="00A70346">
              <w:rPr>
                <w:rFonts w:cs="Arial"/>
                <w:sz w:val="24"/>
                <w:szCs w:val="24"/>
              </w:rPr>
              <w:t>6,</w:t>
            </w:r>
            <w:r w:rsidR="00AD7B08">
              <w:rPr>
                <w:rFonts w:cs="Arial"/>
                <w:sz w:val="24"/>
                <w:szCs w:val="24"/>
              </w:rPr>
              <w:t>749</w:t>
            </w:r>
          </w:p>
        </w:tc>
      </w:tr>
      <w:tr w:rsidR="007B0900" w:rsidRPr="003D2F7A" w:rsidTr="00636BF9">
        <w:tc>
          <w:tcPr>
            <w:tcW w:w="4790" w:type="dxa"/>
            <w:tcBorders>
              <w:top w:val="nil"/>
              <w:left w:val="nil"/>
              <w:bottom w:val="nil"/>
              <w:right w:val="nil"/>
            </w:tcBorders>
            <w:shd w:val="clear" w:color="auto" w:fill="auto"/>
          </w:tcPr>
          <w:p w:rsidR="007B0900" w:rsidRPr="005A16FD" w:rsidRDefault="007B0900" w:rsidP="0065116C">
            <w:pPr>
              <w:pStyle w:val="PlainTableText"/>
              <w:rPr>
                <w:rFonts w:cs="Arial"/>
                <w:sz w:val="24"/>
                <w:szCs w:val="24"/>
              </w:rPr>
            </w:pPr>
            <w:r w:rsidRPr="005A16FD">
              <w:rPr>
                <w:rFonts w:cs="Arial"/>
                <w:sz w:val="24"/>
                <w:szCs w:val="24"/>
              </w:rPr>
              <w:t>Other employers</w:t>
            </w:r>
          </w:p>
        </w:tc>
        <w:tc>
          <w:tcPr>
            <w:tcW w:w="2160" w:type="dxa"/>
            <w:tcBorders>
              <w:top w:val="nil"/>
              <w:left w:val="nil"/>
              <w:bottom w:val="single" w:sz="4" w:space="0" w:color="auto"/>
              <w:right w:val="nil"/>
            </w:tcBorders>
            <w:shd w:val="clear" w:color="auto" w:fill="auto"/>
            <w:vAlign w:val="center"/>
          </w:tcPr>
          <w:p w:rsidR="007B0900" w:rsidRPr="002F1060" w:rsidRDefault="00805246" w:rsidP="0065116C">
            <w:pPr>
              <w:pStyle w:val="Table3Data"/>
              <w:jc w:val="right"/>
              <w:rPr>
                <w:rFonts w:cs="Arial"/>
                <w:sz w:val="24"/>
                <w:szCs w:val="24"/>
              </w:rPr>
            </w:pPr>
            <w:r>
              <w:rPr>
                <w:rFonts w:cs="Arial"/>
                <w:sz w:val="24"/>
                <w:szCs w:val="24"/>
              </w:rPr>
              <w:t>707</w:t>
            </w:r>
          </w:p>
        </w:tc>
        <w:tc>
          <w:tcPr>
            <w:tcW w:w="2040" w:type="dxa"/>
            <w:tcBorders>
              <w:top w:val="nil"/>
              <w:left w:val="nil"/>
              <w:bottom w:val="single" w:sz="4" w:space="0" w:color="auto"/>
              <w:right w:val="nil"/>
            </w:tcBorders>
            <w:shd w:val="clear" w:color="auto" w:fill="auto"/>
            <w:vAlign w:val="center"/>
          </w:tcPr>
          <w:p w:rsidR="007B0900" w:rsidRPr="00A70346" w:rsidRDefault="00AD7B08" w:rsidP="0065116C">
            <w:pPr>
              <w:pStyle w:val="Table3Data"/>
              <w:jc w:val="right"/>
              <w:rPr>
                <w:rFonts w:cs="Arial"/>
                <w:sz w:val="24"/>
                <w:szCs w:val="24"/>
              </w:rPr>
            </w:pPr>
            <w:r>
              <w:rPr>
                <w:rFonts w:cs="Arial"/>
                <w:sz w:val="24"/>
                <w:szCs w:val="24"/>
              </w:rPr>
              <w:t>374</w:t>
            </w:r>
          </w:p>
        </w:tc>
      </w:tr>
      <w:tr w:rsidR="007B0900" w:rsidRPr="003D2F7A" w:rsidTr="00636BF9">
        <w:tc>
          <w:tcPr>
            <w:tcW w:w="4790" w:type="dxa"/>
            <w:tcBorders>
              <w:top w:val="nil"/>
              <w:left w:val="nil"/>
              <w:bottom w:val="nil"/>
              <w:right w:val="nil"/>
            </w:tcBorders>
            <w:shd w:val="clear" w:color="auto" w:fill="auto"/>
          </w:tcPr>
          <w:p w:rsidR="007B0900" w:rsidRPr="005A16FD" w:rsidRDefault="007B0900" w:rsidP="0065116C">
            <w:pPr>
              <w:pStyle w:val="PlainTableText"/>
              <w:rPr>
                <w:rFonts w:cs="Arial"/>
                <w:b/>
                <w:sz w:val="24"/>
                <w:szCs w:val="24"/>
              </w:rPr>
            </w:pPr>
            <w:r w:rsidRPr="005A16FD">
              <w:rPr>
                <w:rFonts w:cs="Arial"/>
                <w:b/>
                <w:sz w:val="24"/>
                <w:szCs w:val="24"/>
              </w:rPr>
              <w:t>Total</w:t>
            </w:r>
          </w:p>
        </w:tc>
        <w:tc>
          <w:tcPr>
            <w:tcW w:w="2160" w:type="dxa"/>
            <w:tcBorders>
              <w:top w:val="single" w:sz="4" w:space="0" w:color="auto"/>
              <w:left w:val="nil"/>
              <w:bottom w:val="nil"/>
              <w:right w:val="nil"/>
            </w:tcBorders>
            <w:shd w:val="clear" w:color="auto" w:fill="auto"/>
            <w:vAlign w:val="center"/>
          </w:tcPr>
          <w:p w:rsidR="007B0900" w:rsidRPr="003D2F7A" w:rsidRDefault="00805246" w:rsidP="0065116C">
            <w:pPr>
              <w:pStyle w:val="Table3Data"/>
              <w:jc w:val="right"/>
              <w:rPr>
                <w:rFonts w:cs="Arial"/>
                <w:b/>
                <w:sz w:val="24"/>
                <w:szCs w:val="24"/>
                <w:highlight w:val="yellow"/>
              </w:rPr>
            </w:pPr>
            <w:r>
              <w:rPr>
                <w:rFonts w:cs="Arial"/>
                <w:b/>
                <w:sz w:val="24"/>
                <w:szCs w:val="24"/>
              </w:rPr>
              <w:t>6,894</w:t>
            </w:r>
          </w:p>
        </w:tc>
        <w:tc>
          <w:tcPr>
            <w:tcW w:w="2040" w:type="dxa"/>
            <w:tcBorders>
              <w:top w:val="single" w:sz="4" w:space="0" w:color="auto"/>
              <w:left w:val="nil"/>
              <w:bottom w:val="nil"/>
              <w:right w:val="nil"/>
            </w:tcBorders>
            <w:shd w:val="clear" w:color="auto" w:fill="auto"/>
            <w:vAlign w:val="center"/>
          </w:tcPr>
          <w:p w:rsidR="007B0900" w:rsidRPr="00A70346" w:rsidRDefault="00AD7B08" w:rsidP="0065116C">
            <w:pPr>
              <w:pStyle w:val="Table3Data"/>
              <w:jc w:val="right"/>
              <w:rPr>
                <w:rFonts w:cs="Arial"/>
                <w:b/>
                <w:sz w:val="24"/>
                <w:szCs w:val="24"/>
              </w:rPr>
            </w:pPr>
            <w:r>
              <w:rPr>
                <w:rFonts w:cs="Arial"/>
                <w:b/>
                <w:sz w:val="24"/>
                <w:szCs w:val="24"/>
              </w:rPr>
              <w:t>7,123</w:t>
            </w:r>
          </w:p>
        </w:tc>
      </w:tr>
    </w:tbl>
    <w:p w:rsidR="0015574E" w:rsidRPr="003D2F7A" w:rsidRDefault="0015574E" w:rsidP="0015574E">
      <w:pPr>
        <w:widowControl w:val="0"/>
        <w:tabs>
          <w:tab w:val="left" w:pos="600"/>
          <w:tab w:val="right" w:pos="3060"/>
          <w:tab w:val="right" w:pos="4150"/>
        </w:tabs>
        <w:ind w:left="600" w:hanging="600"/>
        <w:rPr>
          <w:rFonts w:ascii="Arial" w:hAnsi="Arial" w:cs="Arial"/>
          <w:sz w:val="24"/>
          <w:szCs w:val="24"/>
          <w:highlight w:val="yellow"/>
        </w:rPr>
      </w:pPr>
    </w:p>
    <w:p w:rsidR="005A16FD" w:rsidRPr="005A16FD" w:rsidRDefault="005A16FD" w:rsidP="009D55FF">
      <w:pPr>
        <w:widowControl w:val="0"/>
        <w:tabs>
          <w:tab w:val="left" w:pos="600"/>
          <w:tab w:val="right" w:pos="3060"/>
          <w:tab w:val="right" w:pos="4150"/>
        </w:tabs>
        <w:rPr>
          <w:rFonts w:ascii="Arial" w:hAnsi="Arial" w:cs="Arial"/>
          <w:b/>
          <w:sz w:val="24"/>
          <w:szCs w:val="24"/>
        </w:rPr>
      </w:pPr>
    </w:p>
    <w:p w:rsidR="009D55FF" w:rsidRPr="005A16FD" w:rsidRDefault="009D55FF" w:rsidP="009D55FF">
      <w:pPr>
        <w:widowControl w:val="0"/>
        <w:tabs>
          <w:tab w:val="left" w:pos="600"/>
          <w:tab w:val="right" w:pos="3060"/>
          <w:tab w:val="right" w:pos="4150"/>
        </w:tabs>
        <w:rPr>
          <w:rFonts w:ascii="Arial" w:hAnsi="Arial" w:cs="Arial"/>
          <w:b/>
          <w:sz w:val="24"/>
          <w:szCs w:val="24"/>
        </w:rPr>
      </w:pPr>
      <w:r w:rsidRPr="005A16FD">
        <w:rPr>
          <w:rFonts w:ascii="Arial" w:hAnsi="Arial" w:cs="Arial"/>
          <w:b/>
          <w:sz w:val="24"/>
          <w:szCs w:val="24"/>
        </w:rPr>
        <w:t>c)</w:t>
      </w:r>
      <w:r w:rsidRPr="005A16FD">
        <w:rPr>
          <w:rFonts w:ascii="Arial" w:hAnsi="Arial" w:cs="Arial"/>
          <w:b/>
          <w:sz w:val="24"/>
          <w:szCs w:val="24"/>
        </w:rPr>
        <w:tab/>
        <w:t>Funding</w:t>
      </w:r>
    </w:p>
    <w:p w:rsidR="009D55FF" w:rsidRPr="005A16FD" w:rsidRDefault="009D55FF" w:rsidP="009D55FF">
      <w:pPr>
        <w:widowControl w:val="0"/>
        <w:tabs>
          <w:tab w:val="left" w:pos="600"/>
          <w:tab w:val="right" w:pos="3060"/>
          <w:tab w:val="right" w:pos="4150"/>
        </w:tabs>
        <w:rPr>
          <w:rFonts w:ascii="Arial" w:hAnsi="Arial" w:cs="Arial"/>
          <w:sz w:val="24"/>
          <w:szCs w:val="24"/>
        </w:rPr>
      </w:pPr>
    </w:p>
    <w:p w:rsidR="009D55FF" w:rsidRPr="003D2F7A" w:rsidRDefault="009D55FF" w:rsidP="009D55FF">
      <w:pPr>
        <w:widowControl w:val="0"/>
        <w:tabs>
          <w:tab w:val="left" w:pos="600"/>
          <w:tab w:val="right" w:pos="3060"/>
          <w:tab w:val="right" w:pos="4150"/>
        </w:tabs>
        <w:ind w:left="600" w:hanging="600"/>
        <w:rPr>
          <w:rFonts w:ascii="Arial" w:hAnsi="Arial" w:cs="Arial"/>
          <w:sz w:val="24"/>
          <w:szCs w:val="24"/>
          <w:highlight w:val="yellow"/>
        </w:rPr>
      </w:pPr>
      <w:r w:rsidRPr="005A16FD">
        <w:rPr>
          <w:rFonts w:ascii="Arial" w:hAnsi="Arial" w:cs="Arial"/>
          <w:sz w:val="24"/>
          <w:szCs w:val="24"/>
        </w:rPr>
        <w:tab/>
        <w:t>Benefits are funded by contributions and investment earnings. Contributions are</w:t>
      </w:r>
      <w:r w:rsidR="00B341A6">
        <w:rPr>
          <w:rFonts w:ascii="Arial" w:hAnsi="Arial" w:cs="Arial"/>
          <w:sz w:val="24"/>
          <w:szCs w:val="24"/>
        </w:rPr>
        <w:t xml:space="preserve"> made by active members of the F</w:t>
      </w:r>
      <w:r w:rsidR="00AF1AA5">
        <w:rPr>
          <w:rFonts w:ascii="Arial" w:hAnsi="Arial" w:cs="Arial"/>
          <w:sz w:val="24"/>
          <w:szCs w:val="24"/>
        </w:rPr>
        <w:t xml:space="preserve">und in </w:t>
      </w:r>
      <w:r w:rsidRPr="005A16FD">
        <w:rPr>
          <w:rFonts w:ascii="Arial" w:hAnsi="Arial" w:cs="Arial"/>
          <w:sz w:val="24"/>
          <w:szCs w:val="24"/>
        </w:rPr>
        <w:t>accordance with the LGPS (Benefits, Membership and Contributions) Regulations 2007 and range from 5.5% to 7.5% of pensionable pay for the fin</w:t>
      </w:r>
      <w:r w:rsidR="005A16FD" w:rsidRPr="005A16FD">
        <w:rPr>
          <w:rFonts w:ascii="Arial" w:hAnsi="Arial" w:cs="Arial"/>
          <w:sz w:val="24"/>
          <w:szCs w:val="24"/>
        </w:rPr>
        <w:t>ancial year ending 31 March 2013</w:t>
      </w:r>
      <w:r w:rsidRPr="005A16FD">
        <w:rPr>
          <w:rFonts w:ascii="Arial" w:hAnsi="Arial" w:cs="Arial"/>
          <w:sz w:val="24"/>
          <w:szCs w:val="24"/>
        </w:rPr>
        <w:t xml:space="preserve">. Employee contributions are matched by employers’ contributions which are set based on triennial actuarial funding valuations. The last such valuation was at 31 March 2010. </w:t>
      </w:r>
      <w:r w:rsidR="00420F56">
        <w:rPr>
          <w:rFonts w:ascii="Arial" w:hAnsi="Arial" w:cs="Arial"/>
          <w:sz w:val="24"/>
          <w:szCs w:val="24"/>
        </w:rPr>
        <w:t>During 2012/13</w:t>
      </w:r>
      <w:r w:rsidRPr="005A16FD">
        <w:rPr>
          <w:rFonts w:ascii="Arial" w:hAnsi="Arial" w:cs="Arial"/>
          <w:sz w:val="24"/>
          <w:szCs w:val="24"/>
        </w:rPr>
        <w:t xml:space="preserve">, </w:t>
      </w:r>
      <w:r w:rsidR="00420F56">
        <w:rPr>
          <w:rFonts w:ascii="Arial" w:hAnsi="Arial" w:cs="Arial"/>
          <w:sz w:val="24"/>
          <w:szCs w:val="24"/>
        </w:rPr>
        <w:t>the most com</w:t>
      </w:r>
      <w:r w:rsidR="00420F56" w:rsidRPr="00420F56">
        <w:rPr>
          <w:rFonts w:ascii="Arial" w:hAnsi="Arial" w:cs="Arial"/>
          <w:sz w:val="24"/>
          <w:szCs w:val="24"/>
        </w:rPr>
        <w:t xml:space="preserve">monly applied </w:t>
      </w:r>
      <w:r w:rsidRPr="00420F56">
        <w:rPr>
          <w:rFonts w:ascii="Arial" w:hAnsi="Arial" w:cs="Arial"/>
          <w:sz w:val="24"/>
          <w:szCs w:val="24"/>
        </w:rPr>
        <w:t>employer contribution rate</w:t>
      </w:r>
      <w:r w:rsidR="00420F56" w:rsidRPr="00420F56">
        <w:rPr>
          <w:rFonts w:ascii="Arial" w:hAnsi="Arial" w:cs="Arial"/>
          <w:sz w:val="24"/>
          <w:szCs w:val="24"/>
        </w:rPr>
        <w:t xml:space="preserve"> within the Brent Pension Fund was 26</w:t>
      </w:r>
      <w:r w:rsidR="00F26F4D" w:rsidRPr="00420F56">
        <w:rPr>
          <w:rFonts w:ascii="Arial" w:hAnsi="Arial" w:cs="Arial"/>
          <w:sz w:val="24"/>
          <w:szCs w:val="24"/>
        </w:rPr>
        <w:t>.</w:t>
      </w:r>
      <w:r w:rsidR="00420F56" w:rsidRPr="00420F56">
        <w:rPr>
          <w:rFonts w:ascii="Arial" w:hAnsi="Arial" w:cs="Arial"/>
          <w:sz w:val="24"/>
          <w:szCs w:val="24"/>
        </w:rPr>
        <w:t>9</w:t>
      </w:r>
      <w:r w:rsidRPr="00420F56">
        <w:rPr>
          <w:rFonts w:ascii="Arial" w:hAnsi="Arial" w:cs="Arial"/>
          <w:sz w:val="24"/>
          <w:szCs w:val="24"/>
        </w:rPr>
        <w:t>% of pensionable</w:t>
      </w:r>
      <w:r w:rsidRPr="005A16FD">
        <w:rPr>
          <w:rFonts w:ascii="Arial" w:hAnsi="Arial" w:cs="Arial"/>
          <w:sz w:val="24"/>
          <w:szCs w:val="24"/>
        </w:rPr>
        <w:t xml:space="preserve"> pay.</w:t>
      </w:r>
    </w:p>
    <w:p w:rsidR="009D55FF" w:rsidRPr="00CB6429" w:rsidRDefault="009D55FF" w:rsidP="009D55FF">
      <w:pPr>
        <w:widowControl w:val="0"/>
        <w:tabs>
          <w:tab w:val="left" w:pos="180"/>
          <w:tab w:val="right" w:pos="3060"/>
          <w:tab w:val="right" w:pos="4150"/>
        </w:tabs>
        <w:rPr>
          <w:rFonts w:ascii="Arial" w:hAnsi="Arial" w:cs="Arial"/>
          <w:sz w:val="24"/>
          <w:szCs w:val="24"/>
        </w:rPr>
      </w:pPr>
    </w:p>
    <w:p w:rsidR="009D55FF" w:rsidRPr="00CB6429" w:rsidRDefault="007A41F4" w:rsidP="009D55FF">
      <w:pPr>
        <w:widowControl w:val="0"/>
        <w:tabs>
          <w:tab w:val="left" w:pos="600"/>
          <w:tab w:val="right" w:pos="3060"/>
          <w:tab w:val="right" w:pos="4150"/>
        </w:tabs>
        <w:rPr>
          <w:rFonts w:ascii="Arial" w:hAnsi="Arial" w:cs="Arial"/>
          <w:b/>
          <w:sz w:val="24"/>
          <w:szCs w:val="24"/>
        </w:rPr>
      </w:pPr>
      <w:r w:rsidRPr="00CB6429">
        <w:rPr>
          <w:rFonts w:ascii="Arial" w:hAnsi="Arial" w:cs="Arial"/>
          <w:sz w:val="24"/>
          <w:szCs w:val="24"/>
        </w:rPr>
        <w:br w:type="page"/>
      </w:r>
      <w:r w:rsidR="00CF71E4" w:rsidRPr="00CB6429">
        <w:rPr>
          <w:rFonts w:ascii="Arial" w:hAnsi="Arial" w:cs="Arial"/>
          <w:b/>
          <w:sz w:val="24"/>
          <w:szCs w:val="24"/>
        </w:rPr>
        <w:lastRenderedPageBreak/>
        <w:t>d)</w:t>
      </w:r>
      <w:r w:rsidR="00CF71E4" w:rsidRPr="00CB6429">
        <w:rPr>
          <w:rFonts w:ascii="Arial" w:hAnsi="Arial" w:cs="Arial"/>
          <w:b/>
          <w:sz w:val="24"/>
          <w:szCs w:val="24"/>
        </w:rPr>
        <w:tab/>
        <w:t>Benefits</w:t>
      </w:r>
    </w:p>
    <w:p w:rsidR="009D55FF" w:rsidRPr="00CB6429" w:rsidRDefault="009D55FF" w:rsidP="009D55FF">
      <w:pPr>
        <w:widowControl w:val="0"/>
        <w:tabs>
          <w:tab w:val="left" w:pos="600"/>
          <w:tab w:val="right" w:pos="3060"/>
          <w:tab w:val="right" w:pos="4150"/>
        </w:tabs>
        <w:rPr>
          <w:rFonts w:ascii="Arial" w:hAnsi="Arial" w:cs="Arial"/>
          <w:sz w:val="24"/>
          <w:szCs w:val="24"/>
        </w:rPr>
      </w:pPr>
    </w:p>
    <w:p w:rsidR="009D55FF" w:rsidRPr="00CB6429" w:rsidRDefault="009D55FF" w:rsidP="009D55FF">
      <w:pPr>
        <w:widowControl w:val="0"/>
        <w:tabs>
          <w:tab w:val="left" w:pos="600"/>
          <w:tab w:val="right" w:pos="3060"/>
          <w:tab w:val="right" w:pos="4150"/>
        </w:tabs>
        <w:ind w:left="600" w:hanging="600"/>
        <w:rPr>
          <w:rFonts w:ascii="Arial" w:hAnsi="Arial" w:cs="Arial"/>
          <w:sz w:val="24"/>
          <w:szCs w:val="24"/>
        </w:rPr>
      </w:pPr>
      <w:r w:rsidRPr="00CB6429">
        <w:rPr>
          <w:rFonts w:ascii="Arial" w:hAnsi="Arial" w:cs="Arial"/>
          <w:sz w:val="24"/>
          <w:szCs w:val="24"/>
        </w:rPr>
        <w:tab/>
      </w:r>
      <w:r w:rsidR="000E3E64" w:rsidRPr="00CB6429">
        <w:rPr>
          <w:rFonts w:ascii="Arial" w:hAnsi="Arial" w:cs="Arial"/>
          <w:sz w:val="24"/>
          <w:szCs w:val="24"/>
        </w:rPr>
        <w:t>Pension benefits under the LGPS are based on final pensionable pay and length of pensionable service, summarised below:</w:t>
      </w:r>
    </w:p>
    <w:p w:rsidR="0015574E" w:rsidRPr="00CB6429" w:rsidRDefault="0015574E" w:rsidP="0015574E">
      <w:pPr>
        <w:widowControl w:val="0"/>
        <w:tabs>
          <w:tab w:val="left" w:pos="600"/>
          <w:tab w:val="right" w:pos="3060"/>
          <w:tab w:val="right" w:pos="4150"/>
        </w:tabs>
        <w:ind w:left="600" w:hanging="600"/>
        <w:rPr>
          <w:rFonts w:ascii="Arial" w:hAnsi="Arial" w:cs="Arial"/>
          <w:sz w:val="24"/>
          <w:szCs w:val="24"/>
        </w:rPr>
      </w:pPr>
    </w:p>
    <w:p w:rsidR="0015574E" w:rsidRPr="00CB6429" w:rsidRDefault="0015574E" w:rsidP="0015574E">
      <w:pPr>
        <w:widowControl w:val="0"/>
        <w:tabs>
          <w:tab w:val="left" w:pos="600"/>
          <w:tab w:val="right" w:pos="3060"/>
          <w:tab w:val="right" w:pos="4150"/>
        </w:tabs>
        <w:ind w:left="600" w:hanging="600"/>
        <w:rPr>
          <w:rFonts w:ascii="Arial" w:hAnsi="Arial" w:cs="Arial"/>
          <w:sz w:val="24"/>
          <w:szCs w:val="24"/>
        </w:rPr>
      </w:pPr>
    </w:p>
    <w:tbl>
      <w:tblPr>
        <w:tblW w:w="92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firstRow="0" w:lastRow="0" w:firstColumn="0" w:lastColumn="0" w:noHBand="0" w:noVBand="0"/>
      </w:tblPr>
      <w:tblGrid>
        <w:gridCol w:w="1550"/>
        <w:gridCol w:w="3840"/>
        <w:gridCol w:w="3600"/>
        <w:gridCol w:w="240"/>
      </w:tblGrid>
      <w:tr w:rsidR="009C1C8A" w:rsidRPr="00CB6429" w:rsidTr="004F2B00">
        <w:trPr>
          <w:gridAfter w:val="1"/>
          <w:wAfter w:w="240" w:type="dxa"/>
        </w:trPr>
        <w:tc>
          <w:tcPr>
            <w:tcW w:w="1550" w:type="dxa"/>
            <w:tcBorders>
              <w:top w:val="nil"/>
              <w:left w:val="nil"/>
              <w:bottom w:val="nil"/>
              <w:right w:val="nil"/>
            </w:tcBorders>
            <w:shd w:val="clear" w:color="auto" w:fill="auto"/>
            <w:vAlign w:val="bottom"/>
          </w:tcPr>
          <w:p w:rsidR="009C1C8A" w:rsidRPr="00CB6429" w:rsidRDefault="009C1C8A" w:rsidP="004F3B5F">
            <w:pPr>
              <w:pStyle w:val="PlainTableHead"/>
              <w:spacing w:before="0" w:after="0"/>
              <w:jc w:val="both"/>
              <w:rPr>
                <w:rFonts w:cs="Arial"/>
                <w:color w:val="auto"/>
                <w:sz w:val="24"/>
                <w:szCs w:val="24"/>
              </w:rPr>
            </w:pPr>
          </w:p>
        </w:tc>
        <w:tc>
          <w:tcPr>
            <w:tcW w:w="3840" w:type="dxa"/>
            <w:tcBorders>
              <w:top w:val="nil"/>
              <w:left w:val="nil"/>
              <w:bottom w:val="nil"/>
              <w:right w:val="nil"/>
            </w:tcBorders>
            <w:shd w:val="clear" w:color="auto" w:fill="auto"/>
            <w:vAlign w:val="bottom"/>
          </w:tcPr>
          <w:p w:rsidR="009C1C8A" w:rsidRPr="00CB6429" w:rsidRDefault="00432AAF" w:rsidP="004F3B5F">
            <w:pPr>
              <w:pStyle w:val="PlainTableHead"/>
              <w:spacing w:before="0" w:after="0"/>
              <w:jc w:val="both"/>
              <w:rPr>
                <w:rFonts w:cs="Arial"/>
                <w:color w:val="auto"/>
                <w:sz w:val="24"/>
                <w:szCs w:val="24"/>
              </w:rPr>
            </w:pPr>
            <w:r w:rsidRPr="00CB6429">
              <w:rPr>
                <w:rFonts w:cs="Arial"/>
                <w:color w:val="auto"/>
                <w:sz w:val="24"/>
                <w:szCs w:val="24"/>
              </w:rPr>
              <w:t>Service pre 1 April 2008</w:t>
            </w:r>
          </w:p>
        </w:tc>
        <w:tc>
          <w:tcPr>
            <w:tcW w:w="3600" w:type="dxa"/>
            <w:tcBorders>
              <w:top w:val="nil"/>
              <w:left w:val="nil"/>
              <w:bottom w:val="nil"/>
              <w:right w:val="nil"/>
            </w:tcBorders>
            <w:shd w:val="clear" w:color="auto" w:fill="auto"/>
            <w:vAlign w:val="bottom"/>
          </w:tcPr>
          <w:p w:rsidR="009C1C8A" w:rsidRPr="00CB6429" w:rsidRDefault="00432AAF" w:rsidP="004F3B5F">
            <w:pPr>
              <w:pStyle w:val="PlainTableHead"/>
              <w:spacing w:before="0" w:after="0"/>
              <w:jc w:val="both"/>
              <w:rPr>
                <w:rFonts w:cs="Arial"/>
                <w:color w:val="auto"/>
                <w:sz w:val="24"/>
                <w:szCs w:val="24"/>
              </w:rPr>
            </w:pPr>
            <w:r w:rsidRPr="00CB6429">
              <w:rPr>
                <w:rFonts w:cs="Arial"/>
                <w:color w:val="auto"/>
                <w:sz w:val="24"/>
                <w:szCs w:val="24"/>
              </w:rPr>
              <w:t>Service post 31 March 2008</w:t>
            </w:r>
          </w:p>
        </w:tc>
      </w:tr>
      <w:tr w:rsidR="009C1C8A" w:rsidRPr="00CB6429" w:rsidTr="004F2B00">
        <w:trPr>
          <w:gridAfter w:val="1"/>
          <w:wAfter w:w="240" w:type="dxa"/>
        </w:trPr>
        <w:tc>
          <w:tcPr>
            <w:tcW w:w="1550" w:type="dxa"/>
            <w:tcBorders>
              <w:top w:val="nil"/>
              <w:left w:val="nil"/>
              <w:bottom w:val="nil"/>
              <w:right w:val="nil"/>
            </w:tcBorders>
            <w:shd w:val="clear" w:color="auto" w:fill="auto"/>
          </w:tcPr>
          <w:p w:rsidR="009C1C8A" w:rsidRPr="00CB6429" w:rsidRDefault="009C1C8A" w:rsidP="00432AAF">
            <w:pPr>
              <w:pStyle w:val="PlainTableText"/>
              <w:rPr>
                <w:rFonts w:cs="Arial"/>
                <w:sz w:val="24"/>
                <w:szCs w:val="24"/>
              </w:rPr>
            </w:pPr>
          </w:p>
        </w:tc>
        <w:tc>
          <w:tcPr>
            <w:tcW w:w="3840" w:type="dxa"/>
            <w:tcBorders>
              <w:top w:val="nil"/>
              <w:left w:val="nil"/>
              <w:bottom w:val="nil"/>
              <w:right w:val="nil"/>
            </w:tcBorders>
            <w:shd w:val="clear" w:color="auto" w:fill="auto"/>
            <w:vAlign w:val="center"/>
          </w:tcPr>
          <w:p w:rsidR="009C1C8A" w:rsidRPr="00CB6429" w:rsidRDefault="009C1C8A" w:rsidP="00432AAF">
            <w:pPr>
              <w:pStyle w:val="Table3Data"/>
              <w:rPr>
                <w:rFonts w:cs="Arial"/>
                <w:sz w:val="24"/>
                <w:szCs w:val="24"/>
              </w:rPr>
            </w:pPr>
          </w:p>
        </w:tc>
        <w:tc>
          <w:tcPr>
            <w:tcW w:w="3600" w:type="dxa"/>
            <w:tcBorders>
              <w:top w:val="nil"/>
              <w:left w:val="nil"/>
              <w:bottom w:val="nil"/>
              <w:right w:val="nil"/>
            </w:tcBorders>
            <w:shd w:val="clear" w:color="auto" w:fill="auto"/>
            <w:vAlign w:val="center"/>
          </w:tcPr>
          <w:p w:rsidR="009C1C8A" w:rsidRPr="00CB6429" w:rsidRDefault="009C1C8A" w:rsidP="00432AAF">
            <w:pPr>
              <w:pStyle w:val="Table3Data"/>
              <w:rPr>
                <w:rFonts w:cs="Arial"/>
                <w:sz w:val="24"/>
                <w:szCs w:val="24"/>
              </w:rPr>
            </w:pPr>
          </w:p>
        </w:tc>
      </w:tr>
      <w:tr w:rsidR="009C1C8A" w:rsidRPr="00CB6429" w:rsidTr="004F2B00">
        <w:tc>
          <w:tcPr>
            <w:tcW w:w="1550" w:type="dxa"/>
            <w:tcBorders>
              <w:top w:val="nil"/>
              <w:left w:val="nil"/>
              <w:bottom w:val="nil"/>
              <w:right w:val="nil"/>
            </w:tcBorders>
            <w:shd w:val="clear" w:color="auto" w:fill="auto"/>
          </w:tcPr>
          <w:p w:rsidR="009C1C8A" w:rsidRPr="00CB6429" w:rsidRDefault="00432AAF" w:rsidP="00432AAF">
            <w:pPr>
              <w:pStyle w:val="PlainTableText"/>
              <w:rPr>
                <w:rFonts w:cs="Arial"/>
                <w:b/>
                <w:sz w:val="24"/>
                <w:szCs w:val="24"/>
              </w:rPr>
            </w:pPr>
            <w:r w:rsidRPr="00CB6429">
              <w:rPr>
                <w:rFonts w:cs="Arial"/>
                <w:b/>
                <w:sz w:val="24"/>
                <w:szCs w:val="24"/>
              </w:rPr>
              <w:t>Pension</w:t>
            </w:r>
          </w:p>
        </w:tc>
        <w:tc>
          <w:tcPr>
            <w:tcW w:w="3840" w:type="dxa"/>
            <w:tcBorders>
              <w:top w:val="nil"/>
              <w:left w:val="nil"/>
              <w:bottom w:val="nil"/>
              <w:right w:val="nil"/>
            </w:tcBorders>
            <w:shd w:val="clear" w:color="auto" w:fill="auto"/>
            <w:vAlign w:val="center"/>
          </w:tcPr>
          <w:p w:rsidR="009C1C8A" w:rsidRPr="00CB6429" w:rsidRDefault="00432AAF" w:rsidP="00432AAF">
            <w:pPr>
              <w:pStyle w:val="Table3Data"/>
              <w:rPr>
                <w:rFonts w:cs="Arial"/>
                <w:sz w:val="24"/>
                <w:szCs w:val="24"/>
              </w:rPr>
            </w:pPr>
            <w:r w:rsidRPr="00CB6429">
              <w:rPr>
                <w:rFonts w:cs="Arial"/>
                <w:sz w:val="24"/>
                <w:szCs w:val="24"/>
              </w:rPr>
              <w:t>Each year worked is worth 1/80 x final pensionable salary.</w:t>
            </w:r>
          </w:p>
        </w:tc>
        <w:tc>
          <w:tcPr>
            <w:tcW w:w="3840" w:type="dxa"/>
            <w:gridSpan w:val="2"/>
            <w:tcBorders>
              <w:top w:val="nil"/>
              <w:left w:val="nil"/>
              <w:bottom w:val="nil"/>
              <w:right w:val="nil"/>
            </w:tcBorders>
            <w:shd w:val="clear" w:color="auto" w:fill="auto"/>
            <w:vAlign w:val="center"/>
          </w:tcPr>
          <w:p w:rsidR="009C1C8A" w:rsidRPr="00CB6429" w:rsidRDefault="00432AAF" w:rsidP="00432AAF">
            <w:pPr>
              <w:pStyle w:val="Table3Data"/>
              <w:rPr>
                <w:rFonts w:cs="Arial"/>
                <w:sz w:val="24"/>
                <w:szCs w:val="24"/>
              </w:rPr>
            </w:pPr>
            <w:r w:rsidRPr="00CB6429">
              <w:rPr>
                <w:rFonts w:cs="Arial"/>
                <w:sz w:val="24"/>
                <w:szCs w:val="24"/>
              </w:rPr>
              <w:t>Each year worked is worth 1/60 x final pensionable salary.</w:t>
            </w:r>
          </w:p>
        </w:tc>
      </w:tr>
      <w:tr w:rsidR="004F3B5F" w:rsidRPr="00CB6429" w:rsidTr="004F2B00">
        <w:tc>
          <w:tcPr>
            <w:tcW w:w="1550" w:type="dxa"/>
            <w:tcBorders>
              <w:top w:val="nil"/>
              <w:left w:val="nil"/>
              <w:bottom w:val="nil"/>
              <w:right w:val="nil"/>
            </w:tcBorders>
            <w:shd w:val="clear" w:color="auto" w:fill="auto"/>
          </w:tcPr>
          <w:p w:rsidR="004F3B5F" w:rsidRPr="00CB6429" w:rsidRDefault="004F3B5F" w:rsidP="0065116C">
            <w:pPr>
              <w:pStyle w:val="PlainTableText"/>
              <w:rPr>
                <w:rFonts w:cs="Arial"/>
                <w:b/>
                <w:sz w:val="24"/>
                <w:szCs w:val="24"/>
              </w:rPr>
            </w:pPr>
          </w:p>
        </w:tc>
        <w:tc>
          <w:tcPr>
            <w:tcW w:w="3840" w:type="dxa"/>
            <w:tcBorders>
              <w:top w:val="nil"/>
              <w:left w:val="nil"/>
              <w:bottom w:val="nil"/>
              <w:right w:val="nil"/>
            </w:tcBorders>
            <w:shd w:val="clear" w:color="auto" w:fill="auto"/>
            <w:vAlign w:val="center"/>
          </w:tcPr>
          <w:p w:rsidR="004F3B5F" w:rsidRPr="00CB6429" w:rsidRDefault="004F3B5F" w:rsidP="0065116C">
            <w:pPr>
              <w:pStyle w:val="Table3Data"/>
              <w:rPr>
                <w:rFonts w:cs="Arial"/>
                <w:sz w:val="24"/>
                <w:szCs w:val="24"/>
              </w:rPr>
            </w:pPr>
          </w:p>
        </w:tc>
        <w:tc>
          <w:tcPr>
            <w:tcW w:w="3840" w:type="dxa"/>
            <w:gridSpan w:val="2"/>
            <w:tcBorders>
              <w:top w:val="nil"/>
              <w:left w:val="nil"/>
              <w:bottom w:val="nil"/>
              <w:right w:val="nil"/>
            </w:tcBorders>
            <w:shd w:val="clear" w:color="auto" w:fill="auto"/>
            <w:vAlign w:val="center"/>
          </w:tcPr>
          <w:p w:rsidR="004F3B5F" w:rsidRPr="00CB6429" w:rsidRDefault="004F3B5F" w:rsidP="0065116C">
            <w:pPr>
              <w:pStyle w:val="Table3Data"/>
              <w:rPr>
                <w:rFonts w:cs="Arial"/>
                <w:sz w:val="24"/>
                <w:szCs w:val="24"/>
              </w:rPr>
            </w:pPr>
          </w:p>
        </w:tc>
      </w:tr>
      <w:tr w:rsidR="004F3B5F" w:rsidRPr="003D2F7A" w:rsidTr="004F2B00">
        <w:tc>
          <w:tcPr>
            <w:tcW w:w="1550" w:type="dxa"/>
            <w:tcBorders>
              <w:top w:val="nil"/>
              <w:left w:val="nil"/>
              <w:bottom w:val="nil"/>
              <w:right w:val="nil"/>
            </w:tcBorders>
            <w:shd w:val="clear" w:color="auto" w:fill="auto"/>
          </w:tcPr>
          <w:p w:rsidR="004F3B5F" w:rsidRPr="00CB6429" w:rsidRDefault="004F3B5F" w:rsidP="0065116C">
            <w:pPr>
              <w:pStyle w:val="PlainTableText"/>
              <w:rPr>
                <w:rFonts w:cs="Arial"/>
                <w:b/>
                <w:sz w:val="24"/>
                <w:szCs w:val="24"/>
              </w:rPr>
            </w:pPr>
            <w:r w:rsidRPr="00CB6429">
              <w:rPr>
                <w:rFonts w:cs="Arial"/>
                <w:b/>
                <w:sz w:val="24"/>
                <w:szCs w:val="24"/>
              </w:rPr>
              <w:t>Lump sum</w:t>
            </w:r>
          </w:p>
        </w:tc>
        <w:tc>
          <w:tcPr>
            <w:tcW w:w="3840" w:type="dxa"/>
            <w:tcBorders>
              <w:top w:val="nil"/>
              <w:left w:val="nil"/>
              <w:bottom w:val="nil"/>
              <w:right w:val="nil"/>
            </w:tcBorders>
            <w:shd w:val="clear" w:color="auto" w:fill="auto"/>
            <w:vAlign w:val="center"/>
          </w:tcPr>
          <w:p w:rsidR="004F3B5F" w:rsidRPr="00CB6429" w:rsidRDefault="004F3B5F" w:rsidP="0065116C">
            <w:pPr>
              <w:pStyle w:val="Table3Data"/>
              <w:rPr>
                <w:rFonts w:cs="Arial"/>
                <w:sz w:val="24"/>
                <w:szCs w:val="24"/>
              </w:rPr>
            </w:pPr>
            <w:r w:rsidRPr="00CB6429">
              <w:rPr>
                <w:rFonts w:cs="Arial"/>
                <w:sz w:val="24"/>
                <w:szCs w:val="24"/>
              </w:rPr>
              <w:t>Automatic lump sum of 3 x salary.</w:t>
            </w:r>
          </w:p>
          <w:p w:rsidR="004F3B5F" w:rsidRPr="00CB6429" w:rsidRDefault="004F3B5F" w:rsidP="0065116C">
            <w:pPr>
              <w:pStyle w:val="Table3Data"/>
              <w:rPr>
                <w:rFonts w:cs="Arial"/>
                <w:sz w:val="24"/>
                <w:szCs w:val="24"/>
              </w:rPr>
            </w:pPr>
            <w:r w:rsidRPr="00CB6429">
              <w:rPr>
                <w:rFonts w:cs="Arial"/>
                <w:sz w:val="24"/>
                <w:szCs w:val="24"/>
              </w:rPr>
              <w:t>In addition, part of the annual pension can be exchanged for a one-off tax-free cash payment. A lump sum of £12 is paid for each £1 of pension given up.</w:t>
            </w:r>
          </w:p>
        </w:tc>
        <w:tc>
          <w:tcPr>
            <w:tcW w:w="3840" w:type="dxa"/>
            <w:gridSpan w:val="2"/>
            <w:tcBorders>
              <w:top w:val="nil"/>
              <w:left w:val="nil"/>
              <w:bottom w:val="nil"/>
              <w:right w:val="nil"/>
            </w:tcBorders>
            <w:shd w:val="clear" w:color="auto" w:fill="auto"/>
            <w:vAlign w:val="center"/>
          </w:tcPr>
          <w:p w:rsidR="004F3B5F" w:rsidRPr="00CB6429" w:rsidRDefault="004F3B5F" w:rsidP="0065116C">
            <w:pPr>
              <w:pStyle w:val="Table3Data"/>
              <w:rPr>
                <w:rFonts w:cs="Arial"/>
                <w:sz w:val="24"/>
                <w:szCs w:val="24"/>
              </w:rPr>
            </w:pPr>
            <w:r w:rsidRPr="00CB6429">
              <w:rPr>
                <w:rFonts w:cs="Arial"/>
                <w:sz w:val="24"/>
                <w:szCs w:val="24"/>
              </w:rPr>
              <w:t>No automatic lump sum.</w:t>
            </w:r>
          </w:p>
          <w:p w:rsidR="004F3B5F" w:rsidRPr="00CB6429" w:rsidRDefault="004F3B5F" w:rsidP="0065116C">
            <w:pPr>
              <w:pStyle w:val="Table3Data"/>
              <w:rPr>
                <w:rFonts w:cs="Arial"/>
                <w:sz w:val="24"/>
                <w:szCs w:val="24"/>
              </w:rPr>
            </w:pPr>
            <w:r w:rsidRPr="00CB6429">
              <w:rPr>
                <w:rFonts w:cs="Arial"/>
                <w:sz w:val="24"/>
                <w:szCs w:val="24"/>
              </w:rPr>
              <w:t>Part of the annual pension can be exchanged for a one-off tax-free cash payment. A lump sum of £12 is paid for each £1 of pension given up.</w:t>
            </w:r>
          </w:p>
        </w:tc>
      </w:tr>
    </w:tbl>
    <w:p w:rsidR="004F3B5F" w:rsidRPr="007C675C" w:rsidRDefault="004F3B5F" w:rsidP="004F3B5F">
      <w:pPr>
        <w:widowControl w:val="0"/>
        <w:tabs>
          <w:tab w:val="left" w:pos="600"/>
          <w:tab w:val="right" w:pos="3060"/>
          <w:tab w:val="right" w:pos="4150"/>
        </w:tabs>
        <w:rPr>
          <w:rFonts w:ascii="Arial" w:hAnsi="Arial" w:cs="Arial"/>
          <w:sz w:val="24"/>
          <w:szCs w:val="24"/>
        </w:rPr>
      </w:pPr>
    </w:p>
    <w:p w:rsidR="00D41F2F" w:rsidRPr="00097606" w:rsidRDefault="004F3B5F" w:rsidP="004F3B5F">
      <w:pPr>
        <w:widowControl w:val="0"/>
        <w:tabs>
          <w:tab w:val="left" w:pos="600"/>
          <w:tab w:val="right" w:pos="3060"/>
          <w:tab w:val="right" w:pos="4150"/>
        </w:tabs>
        <w:ind w:left="600" w:hanging="600"/>
        <w:rPr>
          <w:rFonts w:ascii="Arial" w:hAnsi="Arial" w:cs="Arial"/>
          <w:sz w:val="24"/>
          <w:szCs w:val="24"/>
        </w:rPr>
      </w:pPr>
      <w:r w:rsidRPr="007C675C">
        <w:rPr>
          <w:rFonts w:ascii="Arial" w:hAnsi="Arial" w:cs="Arial"/>
          <w:sz w:val="24"/>
          <w:szCs w:val="24"/>
        </w:rPr>
        <w:tab/>
        <w:t>There are a range of oth</w:t>
      </w:r>
      <w:r w:rsidR="007C675C" w:rsidRPr="007C675C">
        <w:rPr>
          <w:rFonts w:ascii="Arial" w:hAnsi="Arial" w:cs="Arial"/>
          <w:sz w:val="24"/>
          <w:szCs w:val="24"/>
        </w:rPr>
        <w:t>er benefits provided under the s</w:t>
      </w:r>
      <w:r w:rsidRPr="007C675C">
        <w:rPr>
          <w:rFonts w:ascii="Arial" w:hAnsi="Arial" w:cs="Arial"/>
          <w:sz w:val="24"/>
          <w:szCs w:val="24"/>
        </w:rPr>
        <w:t>cheme including early retirement, disability pensions and death benefits. For more details, please refer</w:t>
      </w:r>
      <w:r w:rsidR="007C675C" w:rsidRPr="007C675C">
        <w:rPr>
          <w:rFonts w:ascii="Arial" w:hAnsi="Arial" w:cs="Arial"/>
          <w:sz w:val="24"/>
          <w:szCs w:val="24"/>
        </w:rPr>
        <w:t xml:space="preserve"> to the </w:t>
      </w:r>
      <w:r w:rsidR="007C675C" w:rsidRPr="00097606">
        <w:rPr>
          <w:rFonts w:ascii="Arial" w:hAnsi="Arial" w:cs="Arial"/>
          <w:sz w:val="24"/>
          <w:szCs w:val="24"/>
        </w:rPr>
        <w:t>Brent</w:t>
      </w:r>
      <w:r w:rsidR="00806CC4" w:rsidRPr="00097606">
        <w:rPr>
          <w:rFonts w:ascii="Arial" w:hAnsi="Arial" w:cs="Arial"/>
          <w:sz w:val="24"/>
          <w:szCs w:val="24"/>
        </w:rPr>
        <w:t xml:space="preserve"> Pension Fund’s website</w:t>
      </w:r>
      <w:r w:rsidR="00D41F2F" w:rsidRPr="00097606">
        <w:rPr>
          <w:rFonts w:ascii="Arial" w:hAnsi="Arial" w:cs="Arial"/>
          <w:sz w:val="24"/>
          <w:szCs w:val="24"/>
        </w:rPr>
        <w:t>:</w:t>
      </w:r>
      <w:r w:rsidR="00806CC4" w:rsidRPr="00097606">
        <w:rPr>
          <w:rFonts w:ascii="Arial" w:hAnsi="Arial" w:cs="Arial"/>
          <w:sz w:val="24"/>
          <w:szCs w:val="24"/>
        </w:rPr>
        <w:t xml:space="preserve"> </w:t>
      </w:r>
    </w:p>
    <w:p w:rsidR="00D41F2F" w:rsidRPr="00097606" w:rsidRDefault="00EB5966" w:rsidP="004F3B5F">
      <w:pPr>
        <w:widowControl w:val="0"/>
        <w:tabs>
          <w:tab w:val="left" w:pos="600"/>
          <w:tab w:val="right" w:pos="3060"/>
          <w:tab w:val="right" w:pos="4150"/>
        </w:tabs>
        <w:ind w:left="600" w:hanging="600"/>
        <w:rPr>
          <w:rFonts w:ascii="Arial" w:hAnsi="Arial" w:cs="Arial"/>
          <w:sz w:val="24"/>
          <w:szCs w:val="24"/>
        </w:rPr>
      </w:pPr>
      <w:r w:rsidRPr="00097606">
        <w:rPr>
          <w:rFonts w:ascii="Arial" w:hAnsi="Arial" w:cs="Arial"/>
          <w:sz w:val="24"/>
          <w:szCs w:val="24"/>
        </w:rPr>
        <w:tab/>
        <w:t>http</w:t>
      </w:r>
      <w:r w:rsidR="00097606" w:rsidRPr="00097606">
        <w:rPr>
          <w:rFonts w:ascii="Arial" w:hAnsi="Arial" w:cs="Arial"/>
          <w:sz w:val="24"/>
          <w:szCs w:val="24"/>
        </w:rPr>
        <w:t>s</w:t>
      </w:r>
      <w:r w:rsidRPr="00097606">
        <w:rPr>
          <w:rFonts w:ascii="Arial" w:hAnsi="Arial" w:cs="Arial"/>
          <w:sz w:val="24"/>
          <w:szCs w:val="24"/>
        </w:rPr>
        <w:t>://</w:t>
      </w:r>
      <w:r w:rsidR="00097606" w:rsidRPr="00097606">
        <w:rPr>
          <w:rFonts w:ascii="Arial" w:hAnsi="Arial" w:cs="Arial"/>
          <w:sz w:val="24"/>
          <w:szCs w:val="24"/>
        </w:rPr>
        <w:t>www.mylgpspension.co.uk/</w:t>
      </w:r>
    </w:p>
    <w:p w:rsidR="00D41F2F" w:rsidRPr="007C675C" w:rsidRDefault="00D41F2F" w:rsidP="004F3B5F">
      <w:pPr>
        <w:widowControl w:val="0"/>
        <w:tabs>
          <w:tab w:val="left" w:pos="600"/>
          <w:tab w:val="right" w:pos="3060"/>
          <w:tab w:val="right" w:pos="4150"/>
        </w:tabs>
        <w:ind w:left="600" w:hanging="600"/>
        <w:rPr>
          <w:rFonts w:ascii="Arial" w:hAnsi="Arial" w:cs="Arial"/>
          <w:sz w:val="24"/>
          <w:szCs w:val="24"/>
        </w:rPr>
      </w:pPr>
    </w:p>
    <w:p w:rsidR="006941CF" w:rsidRPr="007C675C" w:rsidRDefault="006941CF" w:rsidP="006941CF">
      <w:pPr>
        <w:widowControl w:val="0"/>
        <w:tabs>
          <w:tab w:val="left" w:pos="600"/>
          <w:tab w:val="right" w:pos="3060"/>
          <w:tab w:val="right" w:pos="4150"/>
        </w:tabs>
        <w:ind w:left="600" w:hanging="600"/>
        <w:rPr>
          <w:rFonts w:ascii="Arial" w:hAnsi="Arial" w:cs="Arial"/>
          <w:sz w:val="24"/>
          <w:szCs w:val="24"/>
        </w:rPr>
      </w:pPr>
      <w:r w:rsidRPr="007C675C">
        <w:rPr>
          <w:rFonts w:ascii="Arial" w:hAnsi="Arial" w:cs="Arial"/>
          <w:sz w:val="24"/>
          <w:szCs w:val="24"/>
        </w:rPr>
        <w:tab/>
        <w:t xml:space="preserve">Benefits are index-linked in order to keep pace with inflation. In June 2010, the Government announced that the method of </w:t>
      </w:r>
      <w:r w:rsidR="00B55565" w:rsidRPr="007C675C">
        <w:rPr>
          <w:rFonts w:ascii="Arial" w:hAnsi="Arial" w:cs="Arial"/>
          <w:sz w:val="24"/>
          <w:szCs w:val="24"/>
        </w:rPr>
        <w:t xml:space="preserve">indexation would change from the Retail Prices Index </w:t>
      </w:r>
      <w:r w:rsidR="00F70625" w:rsidRPr="007C675C">
        <w:rPr>
          <w:rFonts w:ascii="Arial" w:hAnsi="Arial" w:cs="Arial"/>
          <w:sz w:val="24"/>
          <w:szCs w:val="24"/>
        </w:rPr>
        <w:t xml:space="preserve">(RPI) </w:t>
      </w:r>
      <w:r w:rsidR="00B55565" w:rsidRPr="007C675C">
        <w:rPr>
          <w:rFonts w:ascii="Arial" w:hAnsi="Arial" w:cs="Arial"/>
          <w:sz w:val="24"/>
          <w:szCs w:val="24"/>
        </w:rPr>
        <w:t>to the Consumer Prices Index</w:t>
      </w:r>
      <w:r w:rsidR="00F70625" w:rsidRPr="007C675C">
        <w:rPr>
          <w:rFonts w:ascii="Arial" w:hAnsi="Arial" w:cs="Arial"/>
          <w:sz w:val="24"/>
          <w:szCs w:val="24"/>
        </w:rPr>
        <w:t xml:space="preserve"> (CPI)</w:t>
      </w:r>
      <w:r w:rsidR="00B55565" w:rsidRPr="007C675C">
        <w:rPr>
          <w:rFonts w:ascii="Arial" w:hAnsi="Arial" w:cs="Arial"/>
          <w:sz w:val="24"/>
          <w:szCs w:val="24"/>
        </w:rPr>
        <w:t>. This change took effect from 1 April 2011.</w:t>
      </w:r>
    </w:p>
    <w:p w:rsidR="006941CF" w:rsidRPr="007C675C" w:rsidRDefault="006941CF" w:rsidP="006941CF">
      <w:pPr>
        <w:widowControl w:val="0"/>
        <w:tabs>
          <w:tab w:val="left" w:pos="180"/>
          <w:tab w:val="right" w:pos="3060"/>
          <w:tab w:val="right" w:pos="4150"/>
        </w:tabs>
        <w:rPr>
          <w:rFonts w:ascii="Arial" w:hAnsi="Arial" w:cs="Arial"/>
          <w:snapToGrid w:val="0"/>
          <w:color w:val="000000"/>
          <w:sz w:val="24"/>
          <w:highlight w:val="yellow"/>
        </w:rPr>
      </w:pPr>
    </w:p>
    <w:p w:rsidR="007C675C" w:rsidRPr="007C675C" w:rsidRDefault="007C675C" w:rsidP="006941CF">
      <w:pPr>
        <w:widowControl w:val="0"/>
        <w:tabs>
          <w:tab w:val="left" w:pos="180"/>
          <w:tab w:val="right" w:pos="3060"/>
          <w:tab w:val="right" w:pos="4150"/>
        </w:tabs>
        <w:rPr>
          <w:rFonts w:ascii="Arial" w:hAnsi="Arial" w:cs="Arial"/>
          <w:b/>
          <w:snapToGrid w:val="0"/>
          <w:color w:val="000000"/>
          <w:sz w:val="24"/>
        </w:rPr>
      </w:pPr>
      <w:r w:rsidRPr="007C675C">
        <w:rPr>
          <w:rFonts w:ascii="Arial" w:hAnsi="Arial" w:cs="Arial"/>
          <w:b/>
          <w:snapToGrid w:val="0"/>
          <w:color w:val="000000"/>
          <w:sz w:val="24"/>
        </w:rPr>
        <w:t>LGPS 2014</w:t>
      </w:r>
    </w:p>
    <w:p w:rsidR="007C675C" w:rsidRDefault="007C675C" w:rsidP="006941CF">
      <w:pPr>
        <w:widowControl w:val="0"/>
        <w:tabs>
          <w:tab w:val="left" w:pos="180"/>
          <w:tab w:val="right" w:pos="3060"/>
          <w:tab w:val="right" w:pos="4150"/>
        </w:tabs>
        <w:rPr>
          <w:rFonts w:ascii="Arial" w:hAnsi="Arial" w:cs="Arial"/>
          <w:snapToGrid w:val="0"/>
          <w:color w:val="000000"/>
          <w:sz w:val="24"/>
          <w:highlight w:val="yellow"/>
        </w:rPr>
      </w:pPr>
    </w:p>
    <w:p w:rsidR="00794399" w:rsidRDefault="007C675C" w:rsidP="00794399">
      <w:pPr>
        <w:widowControl w:val="0"/>
        <w:tabs>
          <w:tab w:val="left" w:pos="180"/>
          <w:tab w:val="right" w:pos="3060"/>
          <w:tab w:val="right" w:pos="4150"/>
        </w:tabs>
        <w:ind w:left="567"/>
        <w:rPr>
          <w:rFonts w:ascii="Arial" w:hAnsi="Arial" w:cs="Arial"/>
          <w:sz w:val="24"/>
          <w:szCs w:val="24"/>
        </w:rPr>
      </w:pPr>
      <w:r w:rsidRPr="007C675C">
        <w:rPr>
          <w:rFonts w:ascii="Arial" w:hAnsi="Arial" w:cs="Arial"/>
          <w:sz w:val="24"/>
          <w:szCs w:val="24"/>
        </w:rPr>
        <w:tab/>
      </w:r>
      <w:r w:rsidR="002639F2">
        <w:rPr>
          <w:rFonts w:ascii="Arial" w:hAnsi="Arial" w:cs="Arial"/>
          <w:sz w:val="24"/>
          <w:szCs w:val="24"/>
        </w:rPr>
        <w:t>A reformed</w:t>
      </w:r>
      <w:r w:rsidR="00C5583A">
        <w:rPr>
          <w:rFonts w:ascii="Arial" w:hAnsi="Arial" w:cs="Arial"/>
          <w:sz w:val="24"/>
          <w:szCs w:val="24"/>
        </w:rPr>
        <w:t xml:space="preserve"> Local Government Pension Scheme (LGPS) will be introduced from April 2014.</w:t>
      </w:r>
      <w:r w:rsidR="002639F2">
        <w:rPr>
          <w:rFonts w:ascii="Arial" w:hAnsi="Arial" w:cs="Arial"/>
          <w:sz w:val="24"/>
          <w:szCs w:val="24"/>
        </w:rPr>
        <w:t xml:space="preserve"> The main elements of the new scheme </w:t>
      </w:r>
      <w:r w:rsidR="003169E5">
        <w:rPr>
          <w:rFonts w:ascii="Arial" w:hAnsi="Arial" w:cs="Arial"/>
          <w:sz w:val="24"/>
          <w:szCs w:val="24"/>
        </w:rPr>
        <w:t>ar</w:t>
      </w:r>
      <w:r w:rsidR="00794399">
        <w:rPr>
          <w:rFonts w:ascii="Arial" w:hAnsi="Arial" w:cs="Arial"/>
          <w:sz w:val="24"/>
          <w:szCs w:val="24"/>
        </w:rPr>
        <w:t>e:</w:t>
      </w:r>
    </w:p>
    <w:p w:rsidR="00794399" w:rsidRDefault="00794399"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t>a</w:t>
      </w:r>
      <w:r w:rsidR="003169E5" w:rsidRPr="00794399">
        <w:rPr>
          <w:rFonts w:ascii="Arial" w:hAnsi="Arial" w:cs="Arial"/>
          <w:sz w:val="24"/>
          <w:szCs w:val="24"/>
        </w:rPr>
        <w:t xml:space="preserve"> pension scheme des</w:t>
      </w:r>
      <w:r w:rsidRPr="00794399">
        <w:rPr>
          <w:rFonts w:ascii="Arial" w:hAnsi="Arial" w:cs="Arial"/>
          <w:sz w:val="24"/>
          <w:szCs w:val="24"/>
        </w:rPr>
        <w:t>ign based on career average;</w:t>
      </w:r>
    </w:p>
    <w:p w:rsidR="00794399" w:rsidRDefault="004575D3"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t>1/49</w:t>
      </w:r>
      <w:r w:rsidRPr="004575D3">
        <w:rPr>
          <w:rFonts w:ascii="Arial" w:hAnsi="Arial" w:cs="Arial"/>
          <w:sz w:val="24"/>
          <w:szCs w:val="24"/>
          <w:vertAlign w:val="superscript"/>
        </w:rPr>
        <w:t>th</w:t>
      </w:r>
      <w:r>
        <w:rPr>
          <w:rFonts w:ascii="Arial" w:hAnsi="Arial" w:cs="Arial"/>
          <w:sz w:val="24"/>
          <w:szCs w:val="24"/>
        </w:rPr>
        <w:t xml:space="preserve"> accrual rate with revaluation </w:t>
      </w:r>
      <w:r w:rsidR="00DE4C11">
        <w:rPr>
          <w:rFonts w:ascii="Arial" w:hAnsi="Arial" w:cs="Arial"/>
          <w:sz w:val="24"/>
          <w:szCs w:val="24"/>
        </w:rPr>
        <w:t xml:space="preserve">of </w:t>
      </w:r>
      <w:r w:rsidR="00C3118E">
        <w:rPr>
          <w:rFonts w:ascii="Arial" w:hAnsi="Arial" w:cs="Arial"/>
          <w:sz w:val="24"/>
          <w:szCs w:val="24"/>
        </w:rPr>
        <w:t xml:space="preserve">active </w:t>
      </w:r>
      <w:r w:rsidR="00DE4C11">
        <w:rPr>
          <w:rFonts w:ascii="Arial" w:hAnsi="Arial" w:cs="Arial"/>
          <w:sz w:val="24"/>
          <w:szCs w:val="24"/>
        </w:rPr>
        <w:t xml:space="preserve">members’ benefits </w:t>
      </w:r>
      <w:r>
        <w:rPr>
          <w:rFonts w:ascii="Arial" w:hAnsi="Arial" w:cs="Arial"/>
          <w:sz w:val="24"/>
          <w:szCs w:val="24"/>
        </w:rPr>
        <w:t>based on Consumer Prices Index (CPI);</w:t>
      </w:r>
    </w:p>
    <w:p w:rsidR="004575D3" w:rsidRDefault="00801DBC"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t>s</w:t>
      </w:r>
      <w:r w:rsidR="00DC79A6">
        <w:rPr>
          <w:rFonts w:ascii="Arial" w:hAnsi="Arial" w:cs="Arial"/>
          <w:sz w:val="24"/>
          <w:szCs w:val="24"/>
        </w:rPr>
        <w:t>cheme</w:t>
      </w:r>
      <w:r>
        <w:rPr>
          <w:rFonts w:ascii="Arial" w:hAnsi="Arial" w:cs="Arial"/>
          <w:sz w:val="24"/>
          <w:szCs w:val="24"/>
        </w:rPr>
        <w:t xml:space="preserve"> normal pension age to be equal </w:t>
      </w:r>
      <w:r w:rsidR="007574A7">
        <w:rPr>
          <w:rFonts w:ascii="Arial" w:hAnsi="Arial" w:cs="Arial"/>
          <w:sz w:val="24"/>
          <w:szCs w:val="24"/>
        </w:rPr>
        <w:t>to the state pension age for both active members and deferred members</w:t>
      </w:r>
      <w:r w:rsidR="000F52B1">
        <w:rPr>
          <w:rFonts w:ascii="Arial" w:hAnsi="Arial" w:cs="Arial"/>
          <w:sz w:val="24"/>
          <w:szCs w:val="24"/>
        </w:rPr>
        <w:t>;</w:t>
      </w:r>
    </w:p>
    <w:p w:rsidR="00191046" w:rsidRDefault="00191046"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t>the earliest point at which retirement benefits can be taken is age 55;</w:t>
      </w:r>
    </w:p>
    <w:p w:rsidR="00456CF2" w:rsidRDefault="0029370B"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t xml:space="preserve">contributions based on actual pay (including part time employees) with </w:t>
      </w:r>
      <w:r w:rsidR="00B70972">
        <w:rPr>
          <w:rFonts w:ascii="Arial" w:hAnsi="Arial" w:cs="Arial"/>
          <w:sz w:val="24"/>
          <w:szCs w:val="24"/>
        </w:rPr>
        <w:t xml:space="preserve">an </w:t>
      </w:r>
      <w:r w:rsidR="007900F3">
        <w:rPr>
          <w:rFonts w:ascii="Arial" w:hAnsi="Arial" w:cs="Arial"/>
          <w:sz w:val="24"/>
          <w:szCs w:val="24"/>
        </w:rPr>
        <w:t>average member</w:t>
      </w:r>
      <w:r w:rsidR="005F73AD">
        <w:rPr>
          <w:rFonts w:ascii="Arial" w:hAnsi="Arial" w:cs="Arial"/>
          <w:sz w:val="24"/>
          <w:szCs w:val="24"/>
        </w:rPr>
        <w:t xml:space="preserve"> contribution yield of 6.5%, as now, with tier</w:t>
      </w:r>
      <w:r w:rsidR="00CA5363">
        <w:rPr>
          <w:rFonts w:ascii="Arial" w:hAnsi="Arial" w:cs="Arial"/>
          <w:sz w:val="24"/>
          <w:szCs w:val="24"/>
        </w:rPr>
        <w:t>ed contributions. Higher earners paying a higher proportion of their earnings in contribution</w:t>
      </w:r>
      <w:r w:rsidR="00F70473">
        <w:rPr>
          <w:rFonts w:ascii="Arial" w:hAnsi="Arial" w:cs="Arial"/>
          <w:sz w:val="24"/>
          <w:szCs w:val="24"/>
        </w:rPr>
        <w:t>s than lower earning colleagues;</w:t>
      </w:r>
    </w:p>
    <w:p w:rsidR="00BD6F89" w:rsidRDefault="00034767"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t xml:space="preserve">a low cost option allowing members to pay 50% contributions for </w:t>
      </w:r>
      <w:r w:rsidR="005F7B9C">
        <w:rPr>
          <w:rFonts w:ascii="Arial" w:hAnsi="Arial" w:cs="Arial"/>
          <w:sz w:val="24"/>
          <w:szCs w:val="24"/>
        </w:rPr>
        <w:t>half the main benefits;</w:t>
      </w:r>
    </w:p>
    <w:p w:rsidR="00563E59" w:rsidRPr="00563E59" w:rsidRDefault="00563E59" w:rsidP="00907AD2">
      <w:pPr>
        <w:pStyle w:val="ListParagraph"/>
        <w:widowControl w:val="0"/>
        <w:numPr>
          <w:ilvl w:val="0"/>
          <w:numId w:val="2"/>
        </w:numPr>
        <w:tabs>
          <w:tab w:val="left" w:pos="180"/>
          <w:tab w:val="right" w:pos="3060"/>
          <w:tab w:val="right" w:pos="4150"/>
        </w:tabs>
        <w:rPr>
          <w:rFonts w:ascii="Arial" w:hAnsi="Arial" w:cs="Arial"/>
          <w:sz w:val="24"/>
          <w:szCs w:val="24"/>
        </w:rPr>
      </w:pPr>
      <w:r w:rsidRPr="00563E59">
        <w:rPr>
          <w:rFonts w:ascii="Arial" w:hAnsi="Arial" w:cs="Arial"/>
          <w:sz w:val="24"/>
          <w:szCs w:val="24"/>
        </w:rPr>
        <w:t xml:space="preserve">all accrued rights are protected and benefits built up to April 2014 will be </w:t>
      </w:r>
      <w:r>
        <w:rPr>
          <w:rFonts w:ascii="Arial" w:hAnsi="Arial" w:cs="Arial"/>
          <w:sz w:val="24"/>
          <w:szCs w:val="24"/>
        </w:rPr>
        <w:t>linked to final salary when members leave the scheme;</w:t>
      </w:r>
    </w:p>
    <w:p w:rsidR="00F30790" w:rsidRDefault="00F30790">
      <w:pPr>
        <w:rPr>
          <w:rFonts w:ascii="Arial" w:hAnsi="Arial" w:cs="Arial"/>
          <w:sz w:val="24"/>
          <w:szCs w:val="24"/>
        </w:rPr>
      </w:pPr>
      <w:r>
        <w:rPr>
          <w:rFonts w:ascii="Arial" w:hAnsi="Arial" w:cs="Arial"/>
          <w:sz w:val="24"/>
          <w:szCs w:val="24"/>
        </w:rPr>
        <w:br w:type="page"/>
      </w:r>
    </w:p>
    <w:p w:rsidR="00DB25CF" w:rsidRPr="00794399" w:rsidRDefault="00E94844" w:rsidP="00907AD2">
      <w:pPr>
        <w:pStyle w:val="ListParagraph"/>
        <w:widowControl w:val="0"/>
        <w:numPr>
          <w:ilvl w:val="0"/>
          <w:numId w:val="2"/>
        </w:numPr>
        <w:tabs>
          <w:tab w:val="left" w:pos="180"/>
          <w:tab w:val="right" w:pos="3060"/>
          <w:tab w:val="right" w:pos="4150"/>
        </w:tabs>
        <w:rPr>
          <w:rFonts w:ascii="Arial" w:hAnsi="Arial" w:cs="Arial"/>
          <w:sz w:val="24"/>
          <w:szCs w:val="24"/>
        </w:rPr>
      </w:pPr>
      <w:r>
        <w:rPr>
          <w:rFonts w:ascii="Arial" w:hAnsi="Arial" w:cs="Arial"/>
          <w:sz w:val="24"/>
          <w:szCs w:val="24"/>
        </w:rPr>
        <w:lastRenderedPageBreak/>
        <w:t>vesting period when members can get a refund on their contributions if they leave the scheme will be increased from three months to two years.</w:t>
      </w:r>
    </w:p>
    <w:p w:rsidR="002B1EF7" w:rsidRDefault="002B1EF7" w:rsidP="006941CF">
      <w:pPr>
        <w:widowControl w:val="0"/>
        <w:tabs>
          <w:tab w:val="left" w:pos="180"/>
          <w:tab w:val="right" w:pos="3060"/>
          <w:tab w:val="right" w:pos="4150"/>
        </w:tabs>
        <w:rPr>
          <w:rFonts w:ascii="Arial" w:hAnsi="Arial" w:cs="Arial"/>
          <w:snapToGrid w:val="0"/>
          <w:color w:val="000000"/>
          <w:sz w:val="24"/>
          <w:highlight w:val="yellow"/>
        </w:rPr>
      </w:pPr>
    </w:p>
    <w:p w:rsidR="007C675C" w:rsidRPr="00E679A6" w:rsidRDefault="007C675C" w:rsidP="006941CF">
      <w:pPr>
        <w:widowControl w:val="0"/>
        <w:tabs>
          <w:tab w:val="left" w:pos="180"/>
          <w:tab w:val="right" w:pos="3060"/>
          <w:tab w:val="right" w:pos="4150"/>
        </w:tabs>
        <w:rPr>
          <w:rFonts w:ascii="Arial" w:hAnsi="Arial" w:cs="Arial"/>
          <w:snapToGrid w:val="0"/>
          <w:color w:val="000000"/>
          <w:sz w:val="24"/>
        </w:rPr>
      </w:pPr>
    </w:p>
    <w:p w:rsidR="006941CF" w:rsidRPr="00E679A6" w:rsidRDefault="00A46AE4" w:rsidP="006941CF">
      <w:pPr>
        <w:widowControl w:val="0"/>
        <w:tabs>
          <w:tab w:val="right" w:pos="7200"/>
        </w:tabs>
        <w:rPr>
          <w:rFonts w:ascii="Arial" w:hAnsi="Arial" w:cs="Arial"/>
          <w:snapToGrid w:val="0"/>
          <w:color w:val="000000"/>
          <w:sz w:val="24"/>
        </w:rPr>
      </w:pPr>
      <w:r w:rsidRPr="00E679A6">
        <w:rPr>
          <w:rFonts w:ascii="Arial" w:hAnsi="Arial" w:cs="Arial"/>
          <w:b/>
          <w:snapToGrid w:val="0"/>
          <w:color w:val="000000"/>
          <w:sz w:val="24"/>
        </w:rPr>
        <w:t>2</w:t>
      </w:r>
      <w:r w:rsidR="00A455F3" w:rsidRPr="00E679A6">
        <w:rPr>
          <w:rFonts w:ascii="Arial" w:hAnsi="Arial" w:cs="Arial"/>
          <w:b/>
          <w:snapToGrid w:val="0"/>
          <w:color w:val="000000"/>
          <w:sz w:val="24"/>
        </w:rPr>
        <w:t>.</w:t>
      </w:r>
      <w:r w:rsidR="006941CF" w:rsidRPr="00E679A6">
        <w:rPr>
          <w:rFonts w:ascii="Arial" w:hAnsi="Arial" w:cs="Arial"/>
          <w:b/>
          <w:snapToGrid w:val="0"/>
          <w:color w:val="000000"/>
          <w:sz w:val="24"/>
        </w:rPr>
        <w:t xml:space="preserve"> </w:t>
      </w:r>
      <w:r w:rsidR="005A19EE" w:rsidRPr="00E679A6">
        <w:rPr>
          <w:rFonts w:ascii="Arial" w:hAnsi="Arial" w:cs="Arial"/>
          <w:b/>
          <w:snapToGrid w:val="0"/>
          <w:color w:val="000000"/>
          <w:sz w:val="24"/>
        </w:rPr>
        <w:t xml:space="preserve"> </w:t>
      </w:r>
      <w:r w:rsidR="006941CF" w:rsidRPr="00E679A6">
        <w:rPr>
          <w:rFonts w:ascii="Arial" w:hAnsi="Arial" w:cs="Arial"/>
          <w:b/>
          <w:snapToGrid w:val="0"/>
          <w:color w:val="000000"/>
          <w:sz w:val="24"/>
        </w:rPr>
        <w:t>B</w:t>
      </w:r>
      <w:r w:rsidR="00A455F3" w:rsidRPr="00E679A6">
        <w:rPr>
          <w:rFonts w:ascii="Arial" w:hAnsi="Arial" w:cs="Arial"/>
          <w:b/>
          <w:snapToGrid w:val="0"/>
          <w:color w:val="000000"/>
          <w:sz w:val="24"/>
        </w:rPr>
        <w:t>asis of preparation</w:t>
      </w:r>
    </w:p>
    <w:p w:rsidR="006941CF" w:rsidRPr="00E679A6" w:rsidRDefault="006941CF" w:rsidP="006941CF">
      <w:pPr>
        <w:widowControl w:val="0"/>
        <w:tabs>
          <w:tab w:val="right" w:pos="0"/>
        </w:tabs>
        <w:rPr>
          <w:rFonts w:ascii="Arial" w:hAnsi="Arial" w:cs="Arial"/>
          <w:snapToGrid w:val="0"/>
          <w:color w:val="000000"/>
          <w:sz w:val="24"/>
          <w:szCs w:val="24"/>
        </w:rPr>
      </w:pPr>
    </w:p>
    <w:p w:rsidR="00A46AE4" w:rsidRPr="00E679A6" w:rsidRDefault="00925ED9" w:rsidP="00925ED9">
      <w:pPr>
        <w:widowControl w:val="0"/>
        <w:tabs>
          <w:tab w:val="left" w:pos="180"/>
          <w:tab w:val="right" w:pos="3060"/>
          <w:tab w:val="right" w:pos="4150"/>
        </w:tabs>
        <w:rPr>
          <w:rFonts w:ascii="Arial" w:hAnsi="Arial" w:cs="Arial"/>
          <w:snapToGrid w:val="0"/>
          <w:color w:val="000000"/>
          <w:sz w:val="24"/>
        </w:rPr>
      </w:pPr>
      <w:r w:rsidRPr="00E679A6">
        <w:rPr>
          <w:rFonts w:ascii="Arial" w:hAnsi="Arial" w:cs="Arial"/>
          <w:snapToGrid w:val="0"/>
          <w:color w:val="000000"/>
          <w:sz w:val="24"/>
        </w:rPr>
        <w:t xml:space="preserve">The </w:t>
      </w:r>
      <w:r w:rsidR="00A46AE4" w:rsidRPr="00E679A6">
        <w:rPr>
          <w:rFonts w:ascii="Arial" w:hAnsi="Arial" w:cs="Arial"/>
          <w:snapToGrid w:val="0"/>
          <w:color w:val="000000"/>
          <w:sz w:val="24"/>
        </w:rPr>
        <w:t>Statem</w:t>
      </w:r>
      <w:r w:rsidR="00D04A2C">
        <w:rPr>
          <w:rFonts w:ascii="Arial" w:hAnsi="Arial" w:cs="Arial"/>
          <w:snapToGrid w:val="0"/>
          <w:color w:val="000000"/>
          <w:sz w:val="24"/>
        </w:rPr>
        <w:t>ent of Accounts summarises the F</w:t>
      </w:r>
      <w:r w:rsidR="00E679A6" w:rsidRPr="00E679A6">
        <w:rPr>
          <w:rFonts w:ascii="Arial" w:hAnsi="Arial" w:cs="Arial"/>
          <w:snapToGrid w:val="0"/>
          <w:color w:val="000000"/>
          <w:sz w:val="24"/>
        </w:rPr>
        <w:t>und’s transactions for the 2012/13</w:t>
      </w:r>
      <w:r w:rsidR="00A46AE4" w:rsidRPr="00E679A6">
        <w:rPr>
          <w:rFonts w:ascii="Arial" w:hAnsi="Arial" w:cs="Arial"/>
          <w:snapToGrid w:val="0"/>
          <w:color w:val="000000"/>
          <w:sz w:val="24"/>
        </w:rPr>
        <w:t xml:space="preserve"> financial year and its position</w:t>
      </w:r>
      <w:r w:rsidR="00E679A6" w:rsidRPr="00E679A6">
        <w:rPr>
          <w:rFonts w:ascii="Arial" w:hAnsi="Arial" w:cs="Arial"/>
          <w:snapToGrid w:val="0"/>
          <w:color w:val="000000"/>
          <w:sz w:val="24"/>
        </w:rPr>
        <w:t xml:space="preserve"> at year-end as at 31 March 2013</w:t>
      </w:r>
      <w:r w:rsidR="00A46AE4" w:rsidRPr="00E679A6">
        <w:rPr>
          <w:rFonts w:ascii="Arial" w:hAnsi="Arial" w:cs="Arial"/>
          <w:snapToGrid w:val="0"/>
          <w:color w:val="000000"/>
          <w:sz w:val="24"/>
        </w:rPr>
        <w:t xml:space="preserve">. The </w:t>
      </w:r>
      <w:r w:rsidR="007037F5" w:rsidRPr="00E679A6">
        <w:rPr>
          <w:rFonts w:ascii="Arial" w:hAnsi="Arial" w:cs="Arial"/>
          <w:snapToGrid w:val="0"/>
          <w:color w:val="000000"/>
          <w:sz w:val="24"/>
        </w:rPr>
        <w:t xml:space="preserve">accounts have been prepared </w:t>
      </w:r>
      <w:r w:rsidR="00A46AE4" w:rsidRPr="00E679A6">
        <w:rPr>
          <w:rFonts w:ascii="Arial" w:hAnsi="Arial" w:cs="Arial"/>
          <w:snapToGrid w:val="0"/>
          <w:color w:val="000000"/>
          <w:sz w:val="24"/>
        </w:rPr>
        <w:t xml:space="preserve">in accordance with the </w:t>
      </w:r>
      <w:r w:rsidR="00A46AE4" w:rsidRPr="00E679A6">
        <w:rPr>
          <w:rFonts w:ascii="Arial" w:hAnsi="Arial" w:cs="Arial"/>
          <w:i/>
          <w:snapToGrid w:val="0"/>
          <w:color w:val="000000"/>
          <w:sz w:val="24"/>
        </w:rPr>
        <w:t>Code of Practice on Local Authority Accou</w:t>
      </w:r>
      <w:r w:rsidR="00E679A6" w:rsidRPr="00E679A6">
        <w:rPr>
          <w:rFonts w:ascii="Arial" w:hAnsi="Arial" w:cs="Arial"/>
          <w:i/>
          <w:snapToGrid w:val="0"/>
          <w:color w:val="000000"/>
          <w:sz w:val="24"/>
        </w:rPr>
        <w:t>nting in the United Kingdom 2012</w:t>
      </w:r>
      <w:r w:rsidR="00A46AE4" w:rsidRPr="00E679A6">
        <w:rPr>
          <w:rFonts w:ascii="Arial" w:hAnsi="Arial" w:cs="Arial"/>
          <w:i/>
          <w:snapToGrid w:val="0"/>
          <w:color w:val="000000"/>
          <w:sz w:val="24"/>
        </w:rPr>
        <w:t>/1</w:t>
      </w:r>
      <w:r w:rsidR="00E679A6" w:rsidRPr="00E679A6">
        <w:rPr>
          <w:rFonts w:ascii="Arial" w:hAnsi="Arial" w:cs="Arial"/>
          <w:i/>
          <w:snapToGrid w:val="0"/>
          <w:color w:val="000000"/>
          <w:sz w:val="24"/>
        </w:rPr>
        <w:t>3</w:t>
      </w:r>
      <w:r w:rsidR="00A46AE4" w:rsidRPr="00E679A6">
        <w:rPr>
          <w:rFonts w:ascii="Arial" w:hAnsi="Arial" w:cs="Arial"/>
          <w:snapToGrid w:val="0"/>
          <w:color w:val="000000"/>
          <w:sz w:val="24"/>
        </w:rPr>
        <w:t xml:space="preserve"> which is based upon International Financial Reporting Standards (IFRS), as amended for the UK public sector.</w:t>
      </w:r>
    </w:p>
    <w:p w:rsidR="00A46AE4" w:rsidRPr="00DD76B5" w:rsidRDefault="00A46AE4" w:rsidP="00925ED9">
      <w:pPr>
        <w:widowControl w:val="0"/>
        <w:tabs>
          <w:tab w:val="left" w:pos="180"/>
          <w:tab w:val="right" w:pos="3060"/>
          <w:tab w:val="right" w:pos="4150"/>
        </w:tabs>
        <w:rPr>
          <w:rFonts w:ascii="Arial" w:hAnsi="Arial" w:cs="Arial"/>
          <w:snapToGrid w:val="0"/>
          <w:color w:val="000000"/>
          <w:sz w:val="24"/>
        </w:rPr>
      </w:pPr>
    </w:p>
    <w:p w:rsidR="0085383D" w:rsidRPr="003D2F7A" w:rsidRDefault="00A46AE4" w:rsidP="0085383D">
      <w:pPr>
        <w:widowControl w:val="0"/>
        <w:tabs>
          <w:tab w:val="left" w:pos="180"/>
          <w:tab w:val="right" w:pos="3060"/>
          <w:tab w:val="right" w:pos="4150"/>
        </w:tabs>
        <w:rPr>
          <w:snapToGrid w:val="0"/>
          <w:color w:val="000000"/>
          <w:sz w:val="24"/>
          <w:highlight w:val="yellow"/>
        </w:rPr>
      </w:pPr>
      <w:r w:rsidRPr="00DD76B5">
        <w:rPr>
          <w:rFonts w:ascii="Arial" w:hAnsi="Arial" w:cs="Arial"/>
          <w:snapToGrid w:val="0"/>
          <w:color w:val="000000"/>
          <w:sz w:val="24"/>
        </w:rPr>
        <w:t xml:space="preserve">The accounts summarise the transactions of the Fund and report on the net assets available to pay pension benefits. The accounts do not take account of obligations to pay pensions and benefits which fall due after the end of the financial year. The actuarial present value of promised retirement benefits, valued on an International Accounting Standard (IAS) 19 basis, is disclosed at </w:t>
      </w:r>
      <w:r w:rsidR="00765489" w:rsidRPr="004064FF">
        <w:rPr>
          <w:rFonts w:ascii="Arial" w:hAnsi="Arial" w:cs="Arial"/>
          <w:snapToGrid w:val="0"/>
          <w:color w:val="000000"/>
          <w:sz w:val="24"/>
        </w:rPr>
        <w:t>N</w:t>
      </w:r>
      <w:r w:rsidR="007F26B2">
        <w:rPr>
          <w:rFonts w:ascii="Arial" w:hAnsi="Arial" w:cs="Arial"/>
          <w:snapToGrid w:val="0"/>
          <w:color w:val="000000"/>
          <w:sz w:val="24"/>
        </w:rPr>
        <w:t>ote 18</w:t>
      </w:r>
      <w:r w:rsidRPr="00DD76B5">
        <w:rPr>
          <w:rFonts w:ascii="Arial" w:hAnsi="Arial" w:cs="Arial"/>
          <w:snapToGrid w:val="0"/>
          <w:color w:val="000000"/>
          <w:sz w:val="24"/>
        </w:rPr>
        <w:t xml:space="preserve"> of these accounts.</w:t>
      </w:r>
    </w:p>
    <w:p w:rsidR="00F30790" w:rsidRDefault="00F30790" w:rsidP="0085383D">
      <w:pPr>
        <w:widowControl w:val="0"/>
        <w:tabs>
          <w:tab w:val="right" w:pos="7200"/>
        </w:tabs>
        <w:rPr>
          <w:rFonts w:ascii="Arial" w:hAnsi="Arial" w:cs="Arial"/>
          <w:b/>
          <w:snapToGrid w:val="0"/>
          <w:color w:val="000000"/>
          <w:sz w:val="24"/>
        </w:rPr>
      </w:pPr>
    </w:p>
    <w:p w:rsidR="00F30790" w:rsidRDefault="00F30790" w:rsidP="0085383D">
      <w:pPr>
        <w:widowControl w:val="0"/>
        <w:tabs>
          <w:tab w:val="right" w:pos="7200"/>
        </w:tabs>
        <w:rPr>
          <w:rFonts w:ascii="Arial" w:hAnsi="Arial" w:cs="Arial"/>
          <w:b/>
          <w:snapToGrid w:val="0"/>
          <w:color w:val="000000"/>
          <w:sz w:val="24"/>
        </w:rPr>
      </w:pPr>
    </w:p>
    <w:p w:rsidR="0085383D" w:rsidRPr="00DD76B5" w:rsidRDefault="0085383D" w:rsidP="0085383D">
      <w:pPr>
        <w:widowControl w:val="0"/>
        <w:tabs>
          <w:tab w:val="right" w:pos="7200"/>
        </w:tabs>
        <w:rPr>
          <w:rFonts w:ascii="Arial" w:hAnsi="Arial" w:cs="Arial"/>
          <w:snapToGrid w:val="0"/>
          <w:color w:val="000000"/>
          <w:sz w:val="24"/>
        </w:rPr>
      </w:pPr>
      <w:r w:rsidRPr="00DD76B5">
        <w:rPr>
          <w:rFonts w:ascii="Arial" w:hAnsi="Arial" w:cs="Arial"/>
          <w:b/>
          <w:snapToGrid w:val="0"/>
          <w:color w:val="000000"/>
          <w:sz w:val="24"/>
        </w:rPr>
        <w:t>3</w:t>
      </w:r>
      <w:r w:rsidR="00A455F3" w:rsidRPr="00DD76B5">
        <w:rPr>
          <w:rFonts w:ascii="Arial" w:hAnsi="Arial" w:cs="Arial"/>
          <w:b/>
          <w:snapToGrid w:val="0"/>
          <w:color w:val="000000"/>
          <w:sz w:val="24"/>
        </w:rPr>
        <w:t>.</w:t>
      </w:r>
      <w:r w:rsidRPr="00DD76B5">
        <w:rPr>
          <w:rFonts w:ascii="Arial" w:hAnsi="Arial" w:cs="Arial"/>
          <w:b/>
          <w:snapToGrid w:val="0"/>
          <w:color w:val="000000"/>
          <w:sz w:val="24"/>
        </w:rPr>
        <w:t xml:space="preserve"> </w:t>
      </w:r>
      <w:r w:rsidR="005A19EE" w:rsidRPr="00DD76B5">
        <w:rPr>
          <w:rFonts w:ascii="Arial" w:hAnsi="Arial" w:cs="Arial"/>
          <w:b/>
          <w:snapToGrid w:val="0"/>
          <w:color w:val="000000"/>
          <w:sz w:val="24"/>
        </w:rPr>
        <w:t xml:space="preserve"> </w:t>
      </w:r>
      <w:r w:rsidRPr="00DD76B5">
        <w:rPr>
          <w:rFonts w:ascii="Arial" w:hAnsi="Arial" w:cs="Arial"/>
          <w:b/>
          <w:snapToGrid w:val="0"/>
          <w:color w:val="000000"/>
          <w:sz w:val="24"/>
        </w:rPr>
        <w:t>S</w:t>
      </w:r>
      <w:r w:rsidR="00A455F3" w:rsidRPr="00DD76B5">
        <w:rPr>
          <w:rFonts w:ascii="Arial" w:hAnsi="Arial" w:cs="Arial"/>
          <w:b/>
          <w:snapToGrid w:val="0"/>
          <w:color w:val="000000"/>
          <w:sz w:val="24"/>
        </w:rPr>
        <w:t>ummary of significant accounting policies</w:t>
      </w:r>
    </w:p>
    <w:p w:rsidR="0085383D" w:rsidRPr="00DD76B5" w:rsidRDefault="0085383D" w:rsidP="0085383D">
      <w:pPr>
        <w:widowControl w:val="0"/>
        <w:tabs>
          <w:tab w:val="right" w:pos="0"/>
        </w:tabs>
        <w:rPr>
          <w:rFonts w:ascii="Arial" w:hAnsi="Arial" w:cs="Arial"/>
          <w:snapToGrid w:val="0"/>
          <w:color w:val="000000"/>
          <w:sz w:val="24"/>
          <w:szCs w:val="24"/>
        </w:rPr>
      </w:pPr>
    </w:p>
    <w:p w:rsidR="00A46AE4" w:rsidRPr="00DD76B5" w:rsidRDefault="00913296" w:rsidP="0085383D">
      <w:pPr>
        <w:widowControl w:val="0"/>
        <w:tabs>
          <w:tab w:val="left" w:pos="180"/>
          <w:tab w:val="right" w:pos="3060"/>
          <w:tab w:val="right" w:pos="4150"/>
        </w:tabs>
        <w:rPr>
          <w:rFonts w:ascii="Arial" w:hAnsi="Arial" w:cs="Arial"/>
          <w:b/>
          <w:snapToGrid w:val="0"/>
          <w:color w:val="000000"/>
          <w:sz w:val="24"/>
        </w:rPr>
      </w:pPr>
      <w:r w:rsidRPr="00DD76B5">
        <w:rPr>
          <w:rFonts w:ascii="Arial" w:hAnsi="Arial" w:cs="Arial"/>
          <w:b/>
          <w:snapToGrid w:val="0"/>
          <w:color w:val="000000"/>
          <w:sz w:val="24"/>
        </w:rPr>
        <w:t>Fund A</w:t>
      </w:r>
      <w:r w:rsidR="0085383D" w:rsidRPr="00DD76B5">
        <w:rPr>
          <w:rFonts w:ascii="Arial" w:hAnsi="Arial" w:cs="Arial"/>
          <w:b/>
          <w:snapToGrid w:val="0"/>
          <w:color w:val="000000"/>
          <w:sz w:val="24"/>
        </w:rPr>
        <w:t>ccount – revenue recognition</w:t>
      </w:r>
    </w:p>
    <w:p w:rsidR="00A46AE4" w:rsidRPr="00DD76B5" w:rsidRDefault="00A46AE4" w:rsidP="00925ED9">
      <w:pPr>
        <w:widowControl w:val="0"/>
        <w:tabs>
          <w:tab w:val="left" w:pos="180"/>
          <w:tab w:val="right" w:pos="3060"/>
          <w:tab w:val="right" w:pos="4150"/>
        </w:tabs>
        <w:rPr>
          <w:rFonts w:ascii="Arial" w:hAnsi="Arial" w:cs="Arial"/>
          <w:b/>
          <w:snapToGrid w:val="0"/>
          <w:color w:val="000000"/>
          <w:sz w:val="24"/>
        </w:rPr>
      </w:pPr>
    </w:p>
    <w:p w:rsidR="0085383D" w:rsidRPr="00DD76B5" w:rsidRDefault="0085383D" w:rsidP="0085383D">
      <w:pPr>
        <w:widowControl w:val="0"/>
        <w:tabs>
          <w:tab w:val="left" w:pos="600"/>
          <w:tab w:val="right" w:pos="3060"/>
          <w:tab w:val="right" w:pos="4150"/>
        </w:tabs>
        <w:rPr>
          <w:rFonts w:ascii="Arial" w:hAnsi="Arial" w:cs="Arial"/>
          <w:b/>
          <w:sz w:val="24"/>
          <w:szCs w:val="24"/>
        </w:rPr>
      </w:pPr>
      <w:r w:rsidRPr="00DD76B5">
        <w:rPr>
          <w:rFonts w:ascii="Arial" w:hAnsi="Arial" w:cs="Arial"/>
          <w:b/>
          <w:sz w:val="24"/>
          <w:szCs w:val="24"/>
        </w:rPr>
        <w:t>a)</w:t>
      </w:r>
      <w:r w:rsidRPr="00DD76B5">
        <w:rPr>
          <w:rFonts w:ascii="Arial" w:hAnsi="Arial" w:cs="Arial"/>
          <w:b/>
          <w:sz w:val="24"/>
          <w:szCs w:val="24"/>
        </w:rPr>
        <w:tab/>
        <w:t>Contribution income</w:t>
      </w:r>
    </w:p>
    <w:p w:rsidR="00A46AE4" w:rsidRPr="00DD76B5" w:rsidRDefault="00A46AE4" w:rsidP="00925ED9">
      <w:pPr>
        <w:widowControl w:val="0"/>
        <w:tabs>
          <w:tab w:val="left" w:pos="180"/>
          <w:tab w:val="right" w:pos="3060"/>
          <w:tab w:val="right" w:pos="4150"/>
        </w:tabs>
        <w:rPr>
          <w:rFonts w:ascii="Arial" w:hAnsi="Arial" w:cs="Arial"/>
          <w:snapToGrid w:val="0"/>
          <w:color w:val="000000"/>
          <w:sz w:val="24"/>
        </w:rPr>
      </w:pPr>
    </w:p>
    <w:p w:rsidR="0085383D" w:rsidRPr="00DD76B5" w:rsidRDefault="0085383D" w:rsidP="00925ED9">
      <w:pPr>
        <w:widowControl w:val="0"/>
        <w:tabs>
          <w:tab w:val="left" w:pos="180"/>
          <w:tab w:val="right" w:pos="3060"/>
          <w:tab w:val="right" w:pos="4150"/>
        </w:tabs>
        <w:rPr>
          <w:rFonts w:ascii="Arial" w:hAnsi="Arial" w:cs="Arial"/>
          <w:snapToGrid w:val="0"/>
          <w:color w:val="000000"/>
          <w:sz w:val="24"/>
        </w:rPr>
      </w:pPr>
      <w:r w:rsidRPr="00DD76B5">
        <w:rPr>
          <w:rFonts w:ascii="Arial" w:hAnsi="Arial" w:cs="Arial"/>
          <w:snapToGrid w:val="0"/>
          <w:color w:val="000000"/>
          <w:sz w:val="24"/>
        </w:rPr>
        <w:t>Normal contributions, both from the members and from the employer, are accounted for on an accruals basis at the percentage rate recommended by the Fund actuary in the payroll period to which they relate.</w:t>
      </w:r>
    </w:p>
    <w:p w:rsidR="0085383D" w:rsidRPr="00DD76B5" w:rsidRDefault="0085383D" w:rsidP="00925ED9">
      <w:pPr>
        <w:widowControl w:val="0"/>
        <w:tabs>
          <w:tab w:val="left" w:pos="180"/>
          <w:tab w:val="right" w:pos="3060"/>
          <w:tab w:val="right" w:pos="4150"/>
        </w:tabs>
        <w:rPr>
          <w:rFonts w:ascii="Arial" w:hAnsi="Arial" w:cs="Arial"/>
          <w:snapToGrid w:val="0"/>
          <w:color w:val="000000"/>
          <w:sz w:val="24"/>
        </w:rPr>
      </w:pPr>
    </w:p>
    <w:p w:rsidR="0085383D" w:rsidRPr="00DD76B5" w:rsidRDefault="0085383D" w:rsidP="00925ED9">
      <w:pPr>
        <w:widowControl w:val="0"/>
        <w:tabs>
          <w:tab w:val="left" w:pos="180"/>
          <w:tab w:val="right" w:pos="3060"/>
          <w:tab w:val="right" w:pos="4150"/>
        </w:tabs>
        <w:rPr>
          <w:rFonts w:ascii="Arial" w:hAnsi="Arial" w:cs="Arial"/>
          <w:snapToGrid w:val="0"/>
          <w:color w:val="000000"/>
          <w:sz w:val="24"/>
        </w:rPr>
      </w:pPr>
      <w:r w:rsidRPr="00DD76B5">
        <w:rPr>
          <w:rFonts w:ascii="Arial" w:hAnsi="Arial" w:cs="Arial"/>
          <w:snapToGrid w:val="0"/>
          <w:color w:val="000000"/>
          <w:sz w:val="24"/>
        </w:rPr>
        <w:t>Employers’ augmentation contributions and pensions strain contributions are accounted for in the period in which the liability arises. Any amount due in year but unpaid will be classed as a current financial asset. Amounts not due until future years are classed as long-term financial assets.</w:t>
      </w:r>
    </w:p>
    <w:p w:rsidR="0085383D" w:rsidRPr="007760C5" w:rsidRDefault="0085383D" w:rsidP="0085383D">
      <w:pPr>
        <w:widowControl w:val="0"/>
        <w:tabs>
          <w:tab w:val="left" w:pos="180"/>
          <w:tab w:val="right" w:pos="3060"/>
          <w:tab w:val="right" w:pos="4150"/>
        </w:tabs>
        <w:rPr>
          <w:rFonts w:ascii="Arial" w:hAnsi="Arial" w:cs="Arial"/>
          <w:snapToGrid w:val="0"/>
          <w:color w:val="000000"/>
          <w:sz w:val="24"/>
        </w:rPr>
      </w:pPr>
    </w:p>
    <w:p w:rsidR="0085383D" w:rsidRPr="007760C5" w:rsidRDefault="0085383D" w:rsidP="0085383D">
      <w:pPr>
        <w:widowControl w:val="0"/>
        <w:tabs>
          <w:tab w:val="left" w:pos="600"/>
          <w:tab w:val="right" w:pos="3060"/>
          <w:tab w:val="right" w:pos="4150"/>
        </w:tabs>
        <w:rPr>
          <w:rFonts w:ascii="Arial" w:hAnsi="Arial" w:cs="Arial"/>
          <w:b/>
          <w:sz w:val="24"/>
          <w:szCs w:val="24"/>
        </w:rPr>
      </w:pPr>
      <w:r w:rsidRPr="007760C5">
        <w:rPr>
          <w:rFonts w:ascii="Arial" w:hAnsi="Arial" w:cs="Arial"/>
          <w:b/>
          <w:sz w:val="24"/>
          <w:szCs w:val="24"/>
        </w:rPr>
        <w:t>b)</w:t>
      </w:r>
      <w:r w:rsidRPr="007760C5">
        <w:rPr>
          <w:rFonts w:ascii="Arial" w:hAnsi="Arial" w:cs="Arial"/>
          <w:b/>
          <w:sz w:val="24"/>
          <w:szCs w:val="24"/>
        </w:rPr>
        <w:tab/>
        <w:t>Transfers to and from other schemes</w:t>
      </w:r>
    </w:p>
    <w:p w:rsidR="0085383D" w:rsidRPr="007760C5" w:rsidRDefault="0085383D" w:rsidP="0085383D">
      <w:pPr>
        <w:widowControl w:val="0"/>
        <w:tabs>
          <w:tab w:val="left" w:pos="180"/>
          <w:tab w:val="right" w:pos="3060"/>
          <w:tab w:val="right" w:pos="4150"/>
        </w:tabs>
        <w:rPr>
          <w:rFonts w:ascii="Arial" w:hAnsi="Arial" w:cs="Arial"/>
          <w:snapToGrid w:val="0"/>
          <w:color w:val="000000"/>
          <w:sz w:val="24"/>
        </w:rPr>
      </w:pPr>
    </w:p>
    <w:p w:rsidR="002856AB" w:rsidRPr="00AE31FE" w:rsidRDefault="002856AB" w:rsidP="0085383D">
      <w:pPr>
        <w:widowControl w:val="0"/>
        <w:tabs>
          <w:tab w:val="left" w:pos="180"/>
          <w:tab w:val="right" w:pos="3060"/>
          <w:tab w:val="right" w:pos="4150"/>
        </w:tabs>
        <w:rPr>
          <w:rFonts w:ascii="Arial" w:hAnsi="Arial" w:cs="Arial"/>
          <w:snapToGrid w:val="0"/>
          <w:color w:val="000000"/>
          <w:sz w:val="24"/>
        </w:rPr>
      </w:pPr>
      <w:r w:rsidRPr="007760C5">
        <w:rPr>
          <w:rFonts w:ascii="Arial" w:hAnsi="Arial" w:cs="Arial"/>
          <w:snapToGrid w:val="0"/>
          <w:color w:val="000000"/>
          <w:sz w:val="24"/>
        </w:rPr>
        <w:t xml:space="preserve">Transfer values represent the amounts received and paid during the year </w:t>
      </w:r>
      <w:r w:rsidR="00765489" w:rsidRPr="007760C5">
        <w:rPr>
          <w:rFonts w:ascii="Arial" w:hAnsi="Arial" w:cs="Arial"/>
          <w:snapToGrid w:val="0"/>
          <w:color w:val="000000"/>
          <w:sz w:val="24"/>
        </w:rPr>
        <w:t xml:space="preserve">for members who have either joined or left the Fund during the financial year and are calculated in accordance with the Local Government Pension </w:t>
      </w:r>
      <w:r w:rsidR="00765489" w:rsidRPr="00AE31FE">
        <w:rPr>
          <w:rFonts w:ascii="Arial" w:hAnsi="Arial" w:cs="Arial"/>
          <w:snapToGrid w:val="0"/>
          <w:color w:val="000000"/>
          <w:sz w:val="24"/>
        </w:rPr>
        <w:t>Scheme Regulations (see Notes 8 and 10).</w:t>
      </w:r>
    </w:p>
    <w:p w:rsidR="00765489" w:rsidRPr="00AE31FE" w:rsidRDefault="00765489" w:rsidP="0085383D">
      <w:pPr>
        <w:widowControl w:val="0"/>
        <w:tabs>
          <w:tab w:val="left" w:pos="180"/>
          <w:tab w:val="right" w:pos="3060"/>
          <w:tab w:val="right" w:pos="4150"/>
        </w:tabs>
        <w:rPr>
          <w:rFonts w:ascii="Arial" w:hAnsi="Arial" w:cs="Arial"/>
          <w:snapToGrid w:val="0"/>
          <w:color w:val="000000"/>
          <w:sz w:val="24"/>
        </w:rPr>
      </w:pPr>
    </w:p>
    <w:p w:rsidR="00765489" w:rsidRPr="00AE31FE" w:rsidRDefault="00765489" w:rsidP="0085383D">
      <w:pPr>
        <w:widowControl w:val="0"/>
        <w:tabs>
          <w:tab w:val="left" w:pos="180"/>
          <w:tab w:val="right" w:pos="3060"/>
          <w:tab w:val="right" w:pos="4150"/>
        </w:tabs>
        <w:rPr>
          <w:rFonts w:ascii="Arial" w:hAnsi="Arial" w:cs="Arial"/>
          <w:snapToGrid w:val="0"/>
          <w:color w:val="000000"/>
          <w:sz w:val="24"/>
        </w:rPr>
      </w:pPr>
      <w:r w:rsidRPr="00AE31FE">
        <w:rPr>
          <w:rFonts w:ascii="Arial" w:hAnsi="Arial" w:cs="Arial"/>
          <w:snapToGrid w:val="0"/>
          <w:color w:val="000000"/>
          <w:sz w:val="24"/>
        </w:rPr>
        <w:t>Individual transfers in/out are accounted for when received/paid, which is normally when the member liability is accepted or discharged.</w:t>
      </w:r>
    </w:p>
    <w:p w:rsidR="002856AB" w:rsidRPr="00AE31FE" w:rsidRDefault="002856AB" w:rsidP="0085383D">
      <w:pPr>
        <w:widowControl w:val="0"/>
        <w:tabs>
          <w:tab w:val="left" w:pos="180"/>
          <w:tab w:val="right" w:pos="3060"/>
          <w:tab w:val="right" w:pos="4150"/>
        </w:tabs>
        <w:rPr>
          <w:rFonts w:ascii="Arial" w:hAnsi="Arial" w:cs="Arial"/>
          <w:snapToGrid w:val="0"/>
          <w:color w:val="000000"/>
          <w:sz w:val="24"/>
        </w:rPr>
      </w:pPr>
    </w:p>
    <w:p w:rsidR="00096DFF" w:rsidRDefault="00096DFF">
      <w:pPr>
        <w:rPr>
          <w:rFonts w:ascii="Arial" w:hAnsi="Arial" w:cs="Arial"/>
          <w:snapToGrid w:val="0"/>
          <w:color w:val="000000"/>
          <w:sz w:val="24"/>
        </w:rPr>
      </w:pPr>
      <w:r>
        <w:rPr>
          <w:rFonts w:ascii="Arial" w:hAnsi="Arial" w:cs="Arial"/>
          <w:snapToGrid w:val="0"/>
          <w:color w:val="000000"/>
          <w:sz w:val="24"/>
        </w:rPr>
        <w:br w:type="page"/>
      </w:r>
    </w:p>
    <w:p w:rsidR="002856AB" w:rsidRPr="00AE31FE" w:rsidRDefault="00765489" w:rsidP="0085383D">
      <w:pPr>
        <w:widowControl w:val="0"/>
        <w:tabs>
          <w:tab w:val="left" w:pos="180"/>
          <w:tab w:val="right" w:pos="3060"/>
          <w:tab w:val="right" w:pos="4150"/>
        </w:tabs>
        <w:rPr>
          <w:rFonts w:ascii="Arial" w:hAnsi="Arial" w:cs="Arial"/>
          <w:snapToGrid w:val="0"/>
          <w:color w:val="000000"/>
          <w:sz w:val="24"/>
        </w:rPr>
      </w:pPr>
      <w:r w:rsidRPr="00AE31FE">
        <w:rPr>
          <w:rFonts w:ascii="Arial" w:hAnsi="Arial" w:cs="Arial"/>
          <w:snapToGrid w:val="0"/>
          <w:color w:val="000000"/>
          <w:sz w:val="24"/>
        </w:rPr>
        <w:lastRenderedPageBreak/>
        <w:t xml:space="preserve">Transfers in from members wishing to use the proceeds of their additional voluntary contributions (see </w:t>
      </w:r>
      <w:r w:rsidR="00FD5438" w:rsidRPr="00AE31FE">
        <w:rPr>
          <w:rFonts w:ascii="Arial" w:hAnsi="Arial" w:cs="Arial"/>
          <w:snapToGrid w:val="0"/>
          <w:color w:val="000000"/>
          <w:sz w:val="24"/>
        </w:rPr>
        <w:t>section n</w:t>
      </w:r>
      <w:r w:rsidR="00F70625" w:rsidRPr="00AE31FE">
        <w:rPr>
          <w:rFonts w:ascii="Arial" w:hAnsi="Arial" w:cs="Arial"/>
          <w:snapToGrid w:val="0"/>
          <w:color w:val="000000"/>
          <w:sz w:val="24"/>
        </w:rPr>
        <w:t xml:space="preserve"> </w:t>
      </w:r>
      <w:r w:rsidR="00137C77" w:rsidRPr="00AE31FE">
        <w:rPr>
          <w:rFonts w:ascii="Arial" w:hAnsi="Arial" w:cs="Arial"/>
          <w:snapToGrid w:val="0"/>
          <w:color w:val="000000"/>
          <w:sz w:val="24"/>
        </w:rPr>
        <w:t>below) to purchase s</w:t>
      </w:r>
      <w:r w:rsidRPr="00AE31FE">
        <w:rPr>
          <w:rFonts w:ascii="Arial" w:hAnsi="Arial" w:cs="Arial"/>
          <w:snapToGrid w:val="0"/>
          <w:color w:val="000000"/>
          <w:sz w:val="24"/>
        </w:rPr>
        <w:t>cheme benefits are accounted for on a receipts basis and are included in Transfers In (see Note 8).</w:t>
      </w:r>
    </w:p>
    <w:p w:rsidR="00765489" w:rsidRPr="00982136" w:rsidRDefault="00765489" w:rsidP="0085383D">
      <w:pPr>
        <w:widowControl w:val="0"/>
        <w:tabs>
          <w:tab w:val="left" w:pos="180"/>
          <w:tab w:val="right" w:pos="3060"/>
          <w:tab w:val="right" w:pos="4150"/>
        </w:tabs>
        <w:rPr>
          <w:rFonts w:ascii="Arial" w:hAnsi="Arial" w:cs="Arial"/>
          <w:snapToGrid w:val="0"/>
          <w:color w:val="000000"/>
          <w:sz w:val="24"/>
        </w:rPr>
      </w:pPr>
    </w:p>
    <w:p w:rsidR="00765489" w:rsidRPr="00982136" w:rsidRDefault="00765489" w:rsidP="0085383D">
      <w:pPr>
        <w:widowControl w:val="0"/>
        <w:tabs>
          <w:tab w:val="left" w:pos="180"/>
          <w:tab w:val="right" w:pos="3060"/>
          <w:tab w:val="right" w:pos="4150"/>
        </w:tabs>
        <w:rPr>
          <w:rFonts w:ascii="Arial" w:hAnsi="Arial" w:cs="Arial"/>
          <w:snapToGrid w:val="0"/>
          <w:color w:val="000000"/>
          <w:sz w:val="24"/>
        </w:rPr>
      </w:pPr>
      <w:r w:rsidRPr="00982136">
        <w:rPr>
          <w:rFonts w:ascii="Arial" w:hAnsi="Arial" w:cs="Arial"/>
          <w:snapToGrid w:val="0"/>
          <w:color w:val="000000"/>
          <w:sz w:val="24"/>
        </w:rPr>
        <w:t>Bulk (group) transfers are accounted for on an accruals basis in accordance with the terms of the transfer agreement.</w:t>
      </w:r>
    </w:p>
    <w:p w:rsidR="00765489" w:rsidRPr="0075595C" w:rsidRDefault="00765489" w:rsidP="0085383D">
      <w:pPr>
        <w:widowControl w:val="0"/>
        <w:tabs>
          <w:tab w:val="left" w:pos="180"/>
          <w:tab w:val="right" w:pos="3060"/>
          <w:tab w:val="right" w:pos="4150"/>
        </w:tabs>
        <w:rPr>
          <w:rFonts w:ascii="Arial" w:hAnsi="Arial" w:cs="Arial"/>
          <w:snapToGrid w:val="0"/>
          <w:color w:val="000000"/>
          <w:sz w:val="24"/>
        </w:rPr>
      </w:pPr>
    </w:p>
    <w:p w:rsidR="000D3651" w:rsidRPr="0075595C" w:rsidRDefault="00765489" w:rsidP="00765489">
      <w:pPr>
        <w:widowControl w:val="0"/>
        <w:tabs>
          <w:tab w:val="left" w:pos="600"/>
          <w:tab w:val="right" w:pos="3060"/>
          <w:tab w:val="right" w:pos="4150"/>
        </w:tabs>
        <w:rPr>
          <w:rFonts w:ascii="Arial" w:hAnsi="Arial" w:cs="Arial"/>
          <w:b/>
          <w:sz w:val="24"/>
          <w:szCs w:val="24"/>
        </w:rPr>
      </w:pPr>
      <w:r w:rsidRPr="0075595C">
        <w:rPr>
          <w:rFonts w:ascii="Arial" w:hAnsi="Arial" w:cs="Arial"/>
          <w:b/>
          <w:sz w:val="24"/>
          <w:szCs w:val="24"/>
        </w:rPr>
        <w:t>c)</w:t>
      </w:r>
      <w:r w:rsidRPr="0075595C">
        <w:rPr>
          <w:rFonts w:ascii="Arial" w:hAnsi="Arial" w:cs="Arial"/>
          <w:b/>
          <w:sz w:val="24"/>
          <w:szCs w:val="24"/>
        </w:rPr>
        <w:tab/>
        <w:t>Investment income</w:t>
      </w:r>
    </w:p>
    <w:p w:rsidR="00765489" w:rsidRPr="0075595C" w:rsidRDefault="000D3651" w:rsidP="00765489">
      <w:pPr>
        <w:widowControl w:val="0"/>
        <w:tabs>
          <w:tab w:val="left" w:pos="600"/>
          <w:tab w:val="right" w:pos="3060"/>
          <w:tab w:val="right" w:pos="4150"/>
        </w:tabs>
        <w:rPr>
          <w:rFonts w:ascii="Arial" w:hAnsi="Arial" w:cs="Arial"/>
          <w:sz w:val="24"/>
          <w:szCs w:val="24"/>
        </w:rPr>
      </w:pPr>
      <w:r w:rsidRPr="0075595C">
        <w:rPr>
          <w:rFonts w:ascii="Arial" w:hAnsi="Arial" w:cs="Arial"/>
          <w:sz w:val="24"/>
          <w:szCs w:val="24"/>
        </w:rPr>
        <w:t>i)</w:t>
      </w:r>
      <w:r w:rsidRPr="0075595C">
        <w:rPr>
          <w:rFonts w:ascii="Arial" w:hAnsi="Arial" w:cs="Arial"/>
          <w:sz w:val="24"/>
          <w:szCs w:val="24"/>
        </w:rPr>
        <w:tab/>
      </w:r>
      <w:r w:rsidR="00241729" w:rsidRPr="0075595C">
        <w:rPr>
          <w:rFonts w:ascii="Arial" w:hAnsi="Arial" w:cs="Arial"/>
          <w:sz w:val="24"/>
          <w:szCs w:val="24"/>
        </w:rPr>
        <w:t>Interest income</w:t>
      </w:r>
    </w:p>
    <w:p w:rsidR="000D3651" w:rsidRPr="0075595C" w:rsidRDefault="000D3651" w:rsidP="000D3651">
      <w:pPr>
        <w:widowControl w:val="0"/>
        <w:tabs>
          <w:tab w:val="left" w:pos="600"/>
          <w:tab w:val="right" w:pos="3060"/>
          <w:tab w:val="right" w:pos="4150"/>
        </w:tabs>
        <w:ind w:left="600" w:hanging="600"/>
        <w:rPr>
          <w:rFonts w:ascii="Arial" w:hAnsi="Arial" w:cs="Arial"/>
          <w:sz w:val="24"/>
          <w:szCs w:val="24"/>
        </w:rPr>
      </w:pPr>
      <w:r w:rsidRPr="0075595C">
        <w:rPr>
          <w:rFonts w:ascii="Arial" w:hAnsi="Arial" w:cs="Arial"/>
          <w:sz w:val="24"/>
          <w:szCs w:val="24"/>
        </w:rPr>
        <w:tab/>
        <w:t>Interest income is recognised in the Fund Account as it accrues, using the effective interest rate of the financial instrument as at the da</w:t>
      </w:r>
      <w:r w:rsidR="00CF02D4" w:rsidRPr="0075595C">
        <w:rPr>
          <w:rFonts w:ascii="Arial" w:hAnsi="Arial" w:cs="Arial"/>
          <w:sz w:val="24"/>
          <w:szCs w:val="24"/>
        </w:rPr>
        <w:t>te of acquisition</w:t>
      </w:r>
      <w:r w:rsidR="0075595C" w:rsidRPr="0075595C">
        <w:rPr>
          <w:rFonts w:ascii="Arial" w:hAnsi="Arial" w:cs="Arial"/>
          <w:sz w:val="24"/>
          <w:szCs w:val="24"/>
        </w:rPr>
        <w:t xml:space="preserve"> or origination</w:t>
      </w:r>
      <w:r w:rsidRPr="0075595C">
        <w:rPr>
          <w:rFonts w:ascii="Arial" w:hAnsi="Arial" w:cs="Arial"/>
          <w:sz w:val="24"/>
          <w:szCs w:val="24"/>
        </w:rPr>
        <w:t>. Income includes the amortisation of any discount or premium, transaction costs or other differences between the initial carrying amount of the instrument and its amount at maturity calculated on an effective interest rate basis.</w:t>
      </w:r>
    </w:p>
    <w:p w:rsidR="006E1A5C" w:rsidRPr="0075595C" w:rsidRDefault="006E1A5C" w:rsidP="006E1A5C">
      <w:pPr>
        <w:widowControl w:val="0"/>
        <w:tabs>
          <w:tab w:val="left" w:pos="600"/>
          <w:tab w:val="right" w:pos="3060"/>
          <w:tab w:val="right" w:pos="4150"/>
        </w:tabs>
        <w:rPr>
          <w:rFonts w:ascii="Arial" w:hAnsi="Arial" w:cs="Arial"/>
          <w:sz w:val="24"/>
          <w:szCs w:val="24"/>
        </w:rPr>
      </w:pPr>
      <w:r w:rsidRPr="0075595C">
        <w:rPr>
          <w:rFonts w:ascii="Arial" w:hAnsi="Arial" w:cs="Arial"/>
          <w:sz w:val="24"/>
          <w:szCs w:val="24"/>
        </w:rPr>
        <w:t>ii)</w:t>
      </w:r>
      <w:r w:rsidRPr="0075595C">
        <w:rPr>
          <w:rFonts w:ascii="Arial" w:hAnsi="Arial" w:cs="Arial"/>
          <w:sz w:val="24"/>
          <w:szCs w:val="24"/>
        </w:rPr>
        <w:tab/>
        <w:t>Dividend income</w:t>
      </w:r>
    </w:p>
    <w:p w:rsidR="006E1A5C" w:rsidRPr="0075595C" w:rsidRDefault="006E1A5C" w:rsidP="006E1A5C">
      <w:pPr>
        <w:widowControl w:val="0"/>
        <w:tabs>
          <w:tab w:val="left" w:pos="600"/>
          <w:tab w:val="right" w:pos="3060"/>
          <w:tab w:val="right" w:pos="4150"/>
        </w:tabs>
        <w:ind w:left="600" w:hanging="600"/>
        <w:rPr>
          <w:rFonts w:ascii="Arial" w:hAnsi="Arial" w:cs="Arial"/>
          <w:sz w:val="24"/>
          <w:szCs w:val="24"/>
        </w:rPr>
      </w:pPr>
      <w:r w:rsidRPr="0075595C">
        <w:rPr>
          <w:rFonts w:ascii="Arial" w:hAnsi="Arial" w:cs="Arial"/>
          <w:sz w:val="24"/>
          <w:szCs w:val="24"/>
        </w:rPr>
        <w:tab/>
        <w:t>Dividend income is recognised on the date the shares are quoted ex-dividend. Any amount not received by the end of the reporting pe</w:t>
      </w:r>
      <w:r w:rsidR="00C64990" w:rsidRPr="0075595C">
        <w:rPr>
          <w:rFonts w:ascii="Arial" w:hAnsi="Arial" w:cs="Arial"/>
          <w:sz w:val="24"/>
          <w:szCs w:val="24"/>
        </w:rPr>
        <w:t>riod is disclosed in the Net Assets S</w:t>
      </w:r>
      <w:r w:rsidRPr="0075595C">
        <w:rPr>
          <w:rFonts w:ascii="Arial" w:hAnsi="Arial" w:cs="Arial"/>
          <w:sz w:val="24"/>
          <w:szCs w:val="24"/>
        </w:rPr>
        <w:t>tatement as a current financial asset.</w:t>
      </w:r>
    </w:p>
    <w:p w:rsidR="006E1A5C" w:rsidRPr="0075595C" w:rsidRDefault="006E1A5C" w:rsidP="006E1A5C">
      <w:pPr>
        <w:widowControl w:val="0"/>
        <w:tabs>
          <w:tab w:val="left" w:pos="600"/>
          <w:tab w:val="right" w:pos="3060"/>
          <w:tab w:val="right" w:pos="4150"/>
        </w:tabs>
        <w:rPr>
          <w:rFonts w:ascii="Arial" w:hAnsi="Arial" w:cs="Arial"/>
          <w:sz w:val="24"/>
          <w:szCs w:val="24"/>
        </w:rPr>
      </w:pPr>
      <w:r w:rsidRPr="0075595C">
        <w:rPr>
          <w:rFonts w:ascii="Arial" w:hAnsi="Arial" w:cs="Arial"/>
          <w:sz w:val="24"/>
          <w:szCs w:val="24"/>
        </w:rPr>
        <w:t>iii)</w:t>
      </w:r>
      <w:r w:rsidRPr="0075595C">
        <w:rPr>
          <w:rFonts w:ascii="Arial" w:hAnsi="Arial" w:cs="Arial"/>
          <w:sz w:val="24"/>
          <w:szCs w:val="24"/>
        </w:rPr>
        <w:tab/>
        <w:t>Distributions from pooled funds</w:t>
      </w:r>
    </w:p>
    <w:p w:rsidR="006E1A5C" w:rsidRPr="0075595C" w:rsidRDefault="006E1A5C" w:rsidP="006E1A5C">
      <w:pPr>
        <w:widowControl w:val="0"/>
        <w:tabs>
          <w:tab w:val="left" w:pos="600"/>
          <w:tab w:val="right" w:pos="3060"/>
          <w:tab w:val="right" w:pos="4150"/>
        </w:tabs>
        <w:ind w:left="600" w:hanging="600"/>
        <w:rPr>
          <w:rFonts w:ascii="Arial" w:hAnsi="Arial" w:cs="Arial"/>
          <w:sz w:val="24"/>
          <w:szCs w:val="24"/>
        </w:rPr>
      </w:pPr>
      <w:r w:rsidRPr="0075595C">
        <w:rPr>
          <w:rFonts w:ascii="Arial" w:hAnsi="Arial" w:cs="Arial"/>
          <w:sz w:val="24"/>
          <w:szCs w:val="24"/>
        </w:rPr>
        <w:tab/>
        <w:t>Distributions from pooled funds are recognised at the date of issue. Any amount not received by the end of the reporting period is disclosed i</w:t>
      </w:r>
      <w:r w:rsidR="00C64990" w:rsidRPr="0075595C">
        <w:rPr>
          <w:rFonts w:ascii="Arial" w:hAnsi="Arial" w:cs="Arial"/>
          <w:sz w:val="24"/>
          <w:szCs w:val="24"/>
        </w:rPr>
        <w:t>n the Net Assets S</w:t>
      </w:r>
      <w:r w:rsidRPr="0075595C">
        <w:rPr>
          <w:rFonts w:ascii="Arial" w:hAnsi="Arial" w:cs="Arial"/>
          <w:sz w:val="24"/>
          <w:szCs w:val="24"/>
        </w:rPr>
        <w:t>tatement as a current financial asset.</w:t>
      </w:r>
    </w:p>
    <w:p w:rsidR="006E1A5C" w:rsidRPr="0075595C" w:rsidRDefault="00906ACA" w:rsidP="006E1A5C">
      <w:pPr>
        <w:widowControl w:val="0"/>
        <w:tabs>
          <w:tab w:val="left" w:pos="600"/>
          <w:tab w:val="right" w:pos="3060"/>
          <w:tab w:val="right" w:pos="4150"/>
        </w:tabs>
        <w:rPr>
          <w:rFonts w:ascii="Arial" w:hAnsi="Arial" w:cs="Arial"/>
          <w:sz w:val="24"/>
          <w:szCs w:val="24"/>
        </w:rPr>
      </w:pPr>
      <w:r>
        <w:rPr>
          <w:rFonts w:ascii="Arial" w:hAnsi="Arial" w:cs="Arial"/>
          <w:sz w:val="24"/>
          <w:szCs w:val="24"/>
        </w:rPr>
        <w:t>i</w:t>
      </w:r>
      <w:r w:rsidR="006E1A5C" w:rsidRPr="0075595C">
        <w:rPr>
          <w:rFonts w:ascii="Arial" w:hAnsi="Arial" w:cs="Arial"/>
          <w:sz w:val="24"/>
          <w:szCs w:val="24"/>
        </w:rPr>
        <w:t>v</w:t>
      </w:r>
      <w:r w:rsidR="009B7A9C" w:rsidRPr="0075595C">
        <w:rPr>
          <w:rFonts w:ascii="Arial" w:hAnsi="Arial" w:cs="Arial"/>
          <w:sz w:val="24"/>
          <w:szCs w:val="24"/>
        </w:rPr>
        <w:t>)</w:t>
      </w:r>
      <w:r w:rsidR="009B7A9C" w:rsidRPr="0075595C">
        <w:rPr>
          <w:rFonts w:ascii="Arial" w:hAnsi="Arial" w:cs="Arial"/>
          <w:sz w:val="24"/>
          <w:szCs w:val="24"/>
        </w:rPr>
        <w:tab/>
        <w:t>Movement in the net market value of investments</w:t>
      </w:r>
    </w:p>
    <w:p w:rsidR="006E1A5C" w:rsidRPr="0075595C" w:rsidRDefault="006E1A5C" w:rsidP="006E1A5C">
      <w:pPr>
        <w:widowControl w:val="0"/>
        <w:tabs>
          <w:tab w:val="left" w:pos="600"/>
          <w:tab w:val="right" w:pos="3060"/>
          <w:tab w:val="right" w:pos="4150"/>
        </w:tabs>
        <w:ind w:left="600" w:hanging="600"/>
        <w:rPr>
          <w:rFonts w:ascii="Arial" w:hAnsi="Arial" w:cs="Arial"/>
          <w:sz w:val="24"/>
          <w:szCs w:val="24"/>
        </w:rPr>
      </w:pPr>
      <w:r w:rsidRPr="0075595C">
        <w:rPr>
          <w:rFonts w:ascii="Arial" w:hAnsi="Arial" w:cs="Arial"/>
          <w:sz w:val="24"/>
          <w:szCs w:val="24"/>
        </w:rPr>
        <w:tab/>
      </w:r>
      <w:r w:rsidR="009B7A9C" w:rsidRPr="0075595C">
        <w:rPr>
          <w:rFonts w:ascii="Arial" w:hAnsi="Arial" w:cs="Arial"/>
          <w:sz w:val="24"/>
          <w:szCs w:val="24"/>
        </w:rPr>
        <w:t>Changes in the n</w:t>
      </w:r>
      <w:r w:rsidR="00906ACA">
        <w:rPr>
          <w:rFonts w:ascii="Arial" w:hAnsi="Arial" w:cs="Arial"/>
          <w:sz w:val="24"/>
          <w:szCs w:val="24"/>
        </w:rPr>
        <w:t>et market value of investments</w:t>
      </w:r>
      <w:r w:rsidR="009B7A9C" w:rsidRPr="0075595C">
        <w:rPr>
          <w:rFonts w:ascii="Arial" w:hAnsi="Arial" w:cs="Arial"/>
          <w:sz w:val="24"/>
          <w:szCs w:val="24"/>
        </w:rPr>
        <w:t xml:space="preserve"> are recognised as income and comprise all realised and unrealised profits/losses during the year.</w:t>
      </w:r>
    </w:p>
    <w:p w:rsidR="006E1A5C" w:rsidRPr="0075595C" w:rsidRDefault="006E1A5C" w:rsidP="006E1A5C">
      <w:pPr>
        <w:widowControl w:val="0"/>
        <w:tabs>
          <w:tab w:val="left" w:pos="600"/>
          <w:tab w:val="right" w:pos="3060"/>
          <w:tab w:val="right" w:pos="4150"/>
        </w:tabs>
        <w:rPr>
          <w:rFonts w:ascii="Arial" w:hAnsi="Arial" w:cs="Arial"/>
          <w:sz w:val="24"/>
          <w:szCs w:val="24"/>
        </w:rPr>
      </w:pPr>
    </w:p>
    <w:p w:rsidR="00E870EB" w:rsidRPr="0075595C" w:rsidRDefault="00913296" w:rsidP="006E1A5C">
      <w:pPr>
        <w:widowControl w:val="0"/>
        <w:tabs>
          <w:tab w:val="left" w:pos="600"/>
          <w:tab w:val="right" w:pos="3060"/>
          <w:tab w:val="right" w:pos="4150"/>
        </w:tabs>
        <w:rPr>
          <w:rFonts w:ascii="Arial" w:hAnsi="Arial" w:cs="Arial"/>
          <w:b/>
          <w:snapToGrid w:val="0"/>
          <w:color w:val="000000"/>
          <w:sz w:val="24"/>
        </w:rPr>
      </w:pPr>
      <w:r w:rsidRPr="0075595C">
        <w:rPr>
          <w:rFonts w:ascii="Arial" w:hAnsi="Arial" w:cs="Arial"/>
          <w:b/>
          <w:snapToGrid w:val="0"/>
          <w:color w:val="000000"/>
          <w:sz w:val="24"/>
        </w:rPr>
        <w:t>Fund A</w:t>
      </w:r>
      <w:r w:rsidR="00E870EB" w:rsidRPr="0075595C">
        <w:rPr>
          <w:rFonts w:ascii="Arial" w:hAnsi="Arial" w:cs="Arial"/>
          <w:b/>
          <w:snapToGrid w:val="0"/>
          <w:color w:val="000000"/>
          <w:sz w:val="24"/>
        </w:rPr>
        <w:t>ccount – expense items</w:t>
      </w:r>
    </w:p>
    <w:p w:rsidR="00E870EB" w:rsidRPr="0075595C" w:rsidRDefault="00E870EB" w:rsidP="006E1A5C">
      <w:pPr>
        <w:widowControl w:val="0"/>
        <w:tabs>
          <w:tab w:val="left" w:pos="600"/>
          <w:tab w:val="right" w:pos="3060"/>
          <w:tab w:val="right" w:pos="4150"/>
        </w:tabs>
        <w:rPr>
          <w:rFonts w:ascii="Arial" w:hAnsi="Arial" w:cs="Arial"/>
          <w:b/>
          <w:snapToGrid w:val="0"/>
          <w:color w:val="000000"/>
          <w:sz w:val="24"/>
        </w:rPr>
      </w:pPr>
    </w:p>
    <w:p w:rsidR="00E870EB" w:rsidRPr="0075595C" w:rsidRDefault="00E870EB" w:rsidP="00E870EB">
      <w:pPr>
        <w:widowControl w:val="0"/>
        <w:tabs>
          <w:tab w:val="left" w:pos="600"/>
          <w:tab w:val="right" w:pos="3060"/>
          <w:tab w:val="right" w:pos="4150"/>
        </w:tabs>
        <w:rPr>
          <w:rFonts w:ascii="Arial" w:hAnsi="Arial" w:cs="Arial"/>
          <w:sz w:val="24"/>
          <w:szCs w:val="24"/>
        </w:rPr>
      </w:pPr>
      <w:r w:rsidRPr="0075595C">
        <w:rPr>
          <w:rFonts w:ascii="Arial" w:hAnsi="Arial" w:cs="Arial"/>
          <w:b/>
          <w:sz w:val="24"/>
          <w:szCs w:val="24"/>
        </w:rPr>
        <w:t>d)</w:t>
      </w:r>
      <w:r w:rsidRPr="0075595C">
        <w:rPr>
          <w:rFonts w:ascii="Arial" w:hAnsi="Arial" w:cs="Arial"/>
          <w:b/>
          <w:sz w:val="24"/>
          <w:szCs w:val="24"/>
        </w:rPr>
        <w:tab/>
        <w:t>Benefits payable</w:t>
      </w:r>
    </w:p>
    <w:p w:rsidR="00765489" w:rsidRPr="0075595C" w:rsidRDefault="00765489" w:rsidP="0085383D">
      <w:pPr>
        <w:widowControl w:val="0"/>
        <w:tabs>
          <w:tab w:val="left" w:pos="180"/>
          <w:tab w:val="right" w:pos="3060"/>
          <w:tab w:val="right" w:pos="4150"/>
        </w:tabs>
        <w:rPr>
          <w:rFonts w:ascii="Arial" w:hAnsi="Arial" w:cs="Arial"/>
          <w:snapToGrid w:val="0"/>
          <w:color w:val="000000"/>
          <w:sz w:val="24"/>
        </w:rPr>
      </w:pPr>
    </w:p>
    <w:p w:rsidR="00E870EB" w:rsidRPr="0075595C" w:rsidRDefault="00E870EB" w:rsidP="0085383D">
      <w:pPr>
        <w:widowControl w:val="0"/>
        <w:tabs>
          <w:tab w:val="left" w:pos="180"/>
          <w:tab w:val="right" w:pos="3060"/>
          <w:tab w:val="right" w:pos="4150"/>
        </w:tabs>
        <w:rPr>
          <w:rFonts w:ascii="Arial" w:hAnsi="Arial" w:cs="Arial"/>
          <w:snapToGrid w:val="0"/>
          <w:color w:val="000000"/>
          <w:sz w:val="24"/>
        </w:rPr>
      </w:pPr>
      <w:r w:rsidRPr="0075595C">
        <w:rPr>
          <w:rFonts w:ascii="Arial" w:hAnsi="Arial" w:cs="Arial"/>
          <w:snapToGrid w:val="0"/>
          <w:color w:val="000000"/>
          <w:sz w:val="24"/>
        </w:rPr>
        <w:t>Pensions</w:t>
      </w:r>
      <w:r w:rsidR="008665F5" w:rsidRPr="0075595C">
        <w:rPr>
          <w:rFonts w:ascii="Arial" w:hAnsi="Arial" w:cs="Arial"/>
          <w:snapToGrid w:val="0"/>
          <w:color w:val="000000"/>
          <w:sz w:val="24"/>
        </w:rPr>
        <w:t xml:space="preserve"> and lump-sum benefits payable include all amounts known to be due as at the end of the financial year. Any amounts due b</w:t>
      </w:r>
      <w:r w:rsidR="006B45D0" w:rsidRPr="0075595C">
        <w:rPr>
          <w:rFonts w:ascii="Arial" w:hAnsi="Arial" w:cs="Arial"/>
          <w:snapToGrid w:val="0"/>
          <w:color w:val="000000"/>
          <w:sz w:val="24"/>
        </w:rPr>
        <w:t>ut unpaid are disclosed in the Net Assets S</w:t>
      </w:r>
      <w:r w:rsidR="008665F5" w:rsidRPr="0075595C">
        <w:rPr>
          <w:rFonts w:ascii="Arial" w:hAnsi="Arial" w:cs="Arial"/>
          <w:snapToGrid w:val="0"/>
          <w:color w:val="000000"/>
          <w:sz w:val="24"/>
        </w:rPr>
        <w:t>tatement as current liabilities.</w:t>
      </w:r>
    </w:p>
    <w:p w:rsidR="008665F5" w:rsidRPr="0075595C" w:rsidRDefault="008665F5" w:rsidP="0085383D">
      <w:pPr>
        <w:widowControl w:val="0"/>
        <w:tabs>
          <w:tab w:val="left" w:pos="180"/>
          <w:tab w:val="right" w:pos="3060"/>
          <w:tab w:val="right" w:pos="4150"/>
        </w:tabs>
        <w:rPr>
          <w:rFonts w:ascii="Arial" w:hAnsi="Arial" w:cs="Arial"/>
          <w:snapToGrid w:val="0"/>
          <w:color w:val="000000"/>
          <w:sz w:val="24"/>
        </w:rPr>
      </w:pPr>
    </w:p>
    <w:p w:rsidR="008665F5" w:rsidRPr="0075595C" w:rsidRDefault="008665F5" w:rsidP="008665F5">
      <w:pPr>
        <w:widowControl w:val="0"/>
        <w:tabs>
          <w:tab w:val="left" w:pos="600"/>
          <w:tab w:val="right" w:pos="3060"/>
          <w:tab w:val="right" w:pos="4150"/>
        </w:tabs>
        <w:rPr>
          <w:rFonts w:ascii="Arial" w:hAnsi="Arial" w:cs="Arial"/>
          <w:sz w:val="24"/>
          <w:szCs w:val="24"/>
        </w:rPr>
      </w:pPr>
      <w:r w:rsidRPr="0075595C">
        <w:rPr>
          <w:rFonts w:ascii="Arial" w:hAnsi="Arial" w:cs="Arial"/>
          <w:b/>
          <w:sz w:val="24"/>
          <w:szCs w:val="24"/>
        </w:rPr>
        <w:t>e)</w:t>
      </w:r>
      <w:r w:rsidRPr="0075595C">
        <w:rPr>
          <w:rFonts w:ascii="Arial" w:hAnsi="Arial" w:cs="Arial"/>
          <w:b/>
          <w:sz w:val="24"/>
          <w:szCs w:val="24"/>
        </w:rPr>
        <w:tab/>
        <w:t>Taxation</w:t>
      </w:r>
    </w:p>
    <w:p w:rsidR="008665F5" w:rsidRPr="003C4BB8" w:rsidRDefault="008665F5" w:rsidP="008665F5">
      <w:pPr>
        <w:widowControl w:val="0"/>
        <w:tabs>
          <w:tab w:val="left" w:pos="180"/>
          <w:tab w:val="right" w:pos="3060"/>
          <w:tab w:val="right" w:pos="4150"/>
        </w:tabs>
        <w:rPr>
          <w:rFonts w:ascii="Arial" w:hAnsi="Arial" w:cs="Arial"/>
          <w:snapToGrid w:val="0"/>
          <w:color w:val="000000"/>
          <w:sz w:val="24"/>
        </w:rPr>
      </w:pPr>
    </w:p>
    <w:p w:rsidR="008B688A" w:rsidRPr="003C4BB8" w:rsidRDefault="008665F5" w:rsidP="008665F5">
      <w:pPr>
        <w:widowControl w:val="0"/>
        <w:tabs>
          <w:tab w:val="right" w:pos="5067"/>
          <w:tab w:val="right" w:pos="7224"/>
        </w:tabs>
        <w:rPr>
          <w:rFonts w:ascii="Arial" w:hAnsi="Arial" w:cs="Arial"/>
          <w:snapToGrid w:val="0"/>
          <w:color w:val="000000"/>
          <w:sz w:val="24"/>
        </w:rPr>
      </w:pPr>
      <w:r w:rsidRPr="003C4BB8">
        <w:rPr>
          <w:rFonts w:ascii="Arial" w:hAnsi="Arial" w:cs="Arial"/>
          <w:snapToGrid w:val="0"/>
          <w:color w:val="000000"/>
          <w:sz w:val="24"/>
        </w:rPr>
        <w:t xml:space="preserve">The Fund is </w:t>
      </w:r>
      <w:r w:rsidR="008B688A" w:rsidRPr="003C4BB8">
        <w:rPr>
          <w:rFonts w:ascii="Arial" w:hAnsi="Arial" w:cs="Arial"/>
          <w:snapToGrid w:val="0"/>
          <w:color w:val="000000"/>
          <w:sz w:val="24"/>
        </w:rPr>
        <w:t xml:space="preserve">a registered public service scheme under section 1(1) of Schedule 36 of the Finance Act 2004 and as such is exempt from </w:t>
      </w:r>
      <w:smartTag w:uri="urn:schemas-microsoft-com:office:smarttags" w:element="place">
        <w:smartTag w:uri="urn:schemas-microsoft-com:office:smarttags" w:element="country-region">
          <w:r w:rsidR="008B688A" w:rsidRPr="003C4BB8">
            <w:rPr>
              <w:rFonts w:ascii="Arial" w:hAnsi="Arial" w:cs="Arial"/>
              <w:snapToGrid w:val="0"/>
              <w:color w:val="000000"/>
              <w:sz w:val="24"/>
            </w:rPr>
            <w:t>UK</w:t>
          </w:r>
        </w:smartTag>
      </w:smartTag>
      <w:r w:rsidR="008B688A" w:rsidRPr="003C4BB8">
        <w:rPr>
          <w:rFonts w:ascii="Arial" w:hAnsi="Arial" w:cs="Arial"/>
          <w:snapToGrid w:val="0"/>
          <w:color w:val="000000"/>
          <w:sz w:val="24"/>
        </w:rPr>
        <w:t xml:space="preserve">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rsidR="008665F5" w:rsidRPr="003C4BB8" w:rsidRDefault="008665F5" w:rsidP="008665F5">
      <w:pPr>
        <w:widowControl w:val="0"/>
        <w:tabs>
          <w:tab w:val="left" w:pos="180"/>
          <w:tab w:val="right" w:pos="3060"/>
          <w:tab w:val="right" w:pos="4150"/>
        </w:tabs>
        <w:rPr>
          <w:rFonts w:ascii="Arial" w:hAnsi="Arial" w:cs="Arial"/>
          <w:snapToGrid w:val="0"/>
          <w:color w:val="000000"/>
          <w:sz w:val="24"/>
        </w:rPr>
      </w:pPr>
    </w:p>
    <w:p w:rsidR="00096DFF" w:rsidRDefault="00096DFF">
      <w:pPr>
        <w:rPr>
          <w:rFonts w:ascii="Arial" w:hAnsi="Arial" w:cs="Arial"/>
          <w:b/>
          <w:sz w:val="24"/>
          <w:szCs w:val="24"/>
        </w:rPr>
      </w:pPr>
      <w:r>
        <w:rPr>
          <w:rFonts w:ascii="Arial" w:hAnsi="Arial" w:cs="Arial"/>
          <w:b/>
          <w:sz w:val="24"/>
          <w:szCs w:val="24"/>
        </w:rPr>
        <w:br w:type="page"/>
      </w:r>
    </w:p>
    <w:p w:rsidR="0002424E" w:rsidRPr="003C4BB8" w:rsidRDefault="0002424E" w:rsidP="0002424E">
      <w:pPr>
        <w:widowControl w:val="0"/>
        <w:tabs>
          <w:tab w:val="left" w:pos="600"/>
          <w:tab w:val="right" w:pos="3060"/>
          <w:tab w:val="right" w:pos="4150"/>
        </w:tabs>
        <w:rPr>
          <w:rFonts w:ascii="Arial" w:hAnsi="Arial" w:cs="Arial"/>
          <w:sz w:val="24"/>
          <w:szCs w:val="24"/>
        </w:rPr>
      </w:pPr>
      <w:r w:rsidRPr="003C4BB8">
        <w:rPr>
          <w:rFonts w:ascii="Arial" w:hAnsi="Arial" w:cs="Arial"/>
          <w:b/>
          <w:sz w:val="24"/>
          <w:szCs w:val="24"/>
        </w:rPr>
        <w:lastRenderedPageBreak/>
        <w:t>f)</w:t>
      </w:r>
      <w:r w:rsidRPr="003C4BB8">
        <w:rPr>
          <w:rFonts w:ascii="Arial" w:hAnsi="Arial" w:cs="Arial"/>
          <w:b/>
          <w:sz w:val="24"/>
          <w:szCs w:val="24"/>
        </w:rPr>
        <w:tab/>
      </w:r>
      <w:r w:rsidR="00231828" w:rsidRPr="003C4BB8">
        <w:rPr>
          <w:rFonts w:ascii="Arial" w:hAnsi="Arial" w:cs="Arial"/>
          <w:b/>
          <w:sz w:val="24"/>
          <w:szCs w:val="24"/>
        </w:rPr>
        <w:t>Administration</w:t>
      </w:r>
      <w:r w:rsidRPr="003C4BB8">
        <w:rPr>
          <w:rFonts w:ascii="Arial" w:hAnsi="Arial" w:cs="Arial"/>
          <w:b/>
          <w:sz w:val="24"/>
          <w:szCs w:val="24"/>
        </w:rPr>
        <w:t xml:space="preserve"> expenses</w:t>
      </w:r>
    </w:p>
    <w:p w:rsidR="0002424E" w:rsidRPr="003C4BB8" w:rsidRDefault="0002424E" w:rsidP="0002424E">
      <w:pPr>
        <w:widowControl w:val="0"/>
        <w:tabs>
          <w:tab w:val="left" w:pos="180"/>
          <w:tab w:val="right" w:pos="3060"/>
          <w:tab w:val="right" w:pos="4150"/>
        </w:tabs>
        <w:rPr>
          <w:rFonts w:ascii="Arial" w:hAnsi="Arial" w:cs="Arial"/>
          <w:snapToGrid w:val="0"/>
          <w:color w:val="000000"/>
          <w:sz w:val="24"/>
        </w:rPr>
      </w:pPr>
    </w:p>
    <w:p w:rsidR="00F97EE6" w:rsidRPr="003C4BB8" w:rsidRDefault="0002424E" w:rsidP="0002424E">
      <w:pPr>
        <w:widowControl w:val="0"/>
        <w:tabs>
          <w:tab w:val="left" w:pos="180"/>
          <w:tab w:val="right" w:pos="3060"/>
          <w:tab w:val="right" w:pos="4150"/>
        </w:tabs>
        <w:rPr>
          <w:rFonts w:ascii="Arial" w:hAnsi="Arial" w:cs="Arial"/>
          <w:snapToGrid w:val="0"/>
          <w:color w:val="000000"/>
          <w:sz w:val="24"/>
        </w:rPr>
      </w:pPr>
      <w:r w:rsidRPr="003C4BB8">
        <w:rPr>
          <w:rFonts w:ascii="Arial" w:hAnsi="Arial" w:cs="Arial"/>
          <w:snapToGrid w:val="0"/>
          <w:color w:val="000000"/>
          <w:sz w:val="24"/>
        </w:rPr>
        <w:t>All</w:t>
      </w:r>
      <w:r w:rsidR="00231828" w:rsidRPr="003C4BB8">
        <w:rPr>
          <w:rFonts w:ascii="Arial" w:hAnsi="Arial" w:cs="Arial"/>
          <w:snapToGrid w:val="0"/>
          <w:color w:val="000000"/>
          <w:sz w:val="24"/>
        </w:rPr>
        <w:t xml:space="preserve"> administration</w:t>
      </w:r>
      <w:r w:rsidR="00577017" w:rsidRPr="003C4BB8">
        <w:rPr>
          <w:rFonts w:ascii="Arial" w:hAnsi="Arial" w:cs="Arial"/>
          <w:snapToGrid w:val="0"/>
          <w:color w:val="000000"/>
          <w:sz w:val="24"/>
        </w:rPr>
        <w:t xml:space="preserve"> expenses are accounted for on an accruals basis. All staff costs of the pensions administration team are charged direct to the Fund. Management, accommodation and other overheads are apportioned to the Fund in accordance with Council policy.</w:t>
      </w:r>
    </w:p>
    <w:p w:rsidR="00577017" w:rsidRPr="003C4BB8" w:rsidRDefault="00577017" w:rsidP="0002424E">
      <w:pPr>
        <w:widowControl w:val="0"/>
        <w:tabs>
          <w:tab w:val="left" w:pos="180"/>
          <w:tab w:val="right" w:pos="3060"/>
          <w:tab w:val="right" w:pos="4150"/>
        </w:tabs>
        <w:rPr>
          <w:rFonts w:ascii="Arial" w:hAnsi="Arial" w:cs="Arial"/>
          <w:snapToGrid w:val="0"/>
          <w:color w:val="000000"/>
          <w:sz w:val="24"/>
        </w:rPr>
      </w:pPr>
    </w:p>
    <w:p w:rsidR="00577017" w:rsidRPr="003C4BB8" w:rsidRDefault="00577017" w:rsidP="00577017">
      <w:pPr>
        <w:widowControl w:val="0"/>
        <w:tabs>
          <w:tab w:val="left" w:pos="600"/>
          <w:tab w:val="right" w:pos="3060"/>
          <w:tab w:val="right" w:pos="4150"/>
        </w:tabs>
        <w:rPr>
          <w:rFonts w:ascii="Arial" w:hAnsi="Arial" w:cs="Arial"/>
          <w:sz w:val="24"/>
          <w:szCs w:val="24"/>
        </w:rPr>
      </w:pPr>
      <w:r w:rsidRPr="003C4BB8">
        <w:rPr>
          <w:rFonts w:ascii="Arial" w:hAnsi="Arial" w:cs="Arial"/>
          <w:b/>
          <w:sz w:val="24"/>
          <w:szCs w:val="24"/>
        </w:rPr>
        <w:t>g)</w:t>
      </w:r>
      <w:r w:rsidRPr="003C4BB8">
        <w:rPr>
          <w:rFonts w:ascii="Arial" w:hAnsi="Arial" w:cs="Arial"/>
          <w:b/>
          <w:sz w:val="24"/>
          <w:szCs w:val="24"/>
        </w:rPr>
        <w:tab/>
      </w:r>
      <w:r w:rsidR="005D59AF" w:rsidRPr="003C4BB8">
        <w:rPr>
          <w:rFonts w:ascii="Arial" w:hAnsi="Arial" w:cs="Arial"/>
          <w:b/>
          <w:sz w:val="24"/>
          <w:szCs w:val="24"/>
        </w:rPr>
        <w:t>Investment management</w:t>
      </w:r>
      <w:r w:rsidRPr="003C4BB8">
        <w:rPr>
          <w:rFonts w:ascii="Arial" w:hAnsi="Arial" w:cs="Arial"/>
          <w:b/>
          <w:sz w:val="24"/>
          <w:szCs w:val="24"/>
        </w:rPr>
        <w:t xml:space="preserve"> expenses</w:t>
      </w:r>
    </w:p>
    <w:p w:rsidR="00577017" w:rsidRPr="003F16D5" w:rsidRDefault="00577017" w:rsidP="00577017">
      <w:pPr>
        <w:widowControl w:val="0"/>
        <w:tabs>
          <w:tab w:val="left" w:pos="180"/>
          <w:tab w:val="right" w:pos="3060"/>
          <w:tab w:val="right" w:pos="4150"/>
        </w:tabs>
        <w:rPr>
          <w:rFonts w:ascii="Arial" w:hAnsi="Arial" w:cs="Arial"/>
          <w:snapToGrid w:val="0"/>
          <w:color w:val="000000"/>
          <w:sz w:val="24"/>
        </w:rPr>
      </w:pPr>
    </w:p>
    <w:p w:rsidR="00577017" w:rsidRPr="003F16D5" w:rsidRDefault="00577017" w:rsidP="00577017">
      <w:pPr>
        <w:widowControl w:val="0"/>
        <w:tabs>
          <w:tab w:val="left" w:pos="180"/>
          <w:tab w:val="right" w:pos="3060"/>
          <w:tab w:val="right" w:pos="4150"/>
        </w:tabs>
        <w:rPr>
          <w:rFonts w:ascii="Arial" w:hAnsi="Arial" w:cs="Arial"/>
          <w:snapToGrid w:val="0"/>
          <w:color w:val="000000"/>
          <w:sz w:val="24"/>
        </w:rPr>
      </w:pPr>
      <w:r w:rsidRPr="003F16D5">
        <w:rPr>
          <w:rFonts w:ascii="Arial" w:hAnsi="Arial" w:cs="Arial"/>
          <w:snapToGrid w:val="0"/>
          <w:color w:val="000000"/>
          <w:sz w:val="24"/>
        </w:rPr>
        <w:t>All</w:t>
      </w:r>
      <w:r w:rsidR="00AD3503" w:rsidRPr="003F16D5">
        <w:rPr>
          <w:rFonts w:ascii="Arial" w:hAnsi="Arial" w:cs="Arial"/>
          <w:snapToGrid w:val="0"/>
          <w:color w:val="000000"/>
          <w:sz w:val="24"/>
        </w:rPr>
        <w:t xml:space="preserve"> investment management expenses are accounted for on an accruals basis.</w:t>
      </w:r>
    </w:p>
    <w:p w:rsidR="009B7A9C" w:rsidRPr="003F16D5" w:rsidRDefault="009B7A9C" w:rsidP="0085383D">
      <w:pPr>
        <w:widowControl w:val="0"/>
        <w:tabs>
          <w:tab w:val="left" w:pos="180"/>
          <w:tab w:val="right" w:pos="3060"/>
          <w:tab w:val="right" w:pos="4150"/>
        </w:tabs>
        <w:rPr>
          <w:rFonts w:ascii="Arial" w:hAnsi="Arial" w:cs="Arial"/>
          <w:snapToGrid w:val="0"/>
          <w:color w:val="000000"/>
          <w:sz w:val="24"/>
        </w:rPr>
      </w:pPr>
    </w:p>
    <w:p w:rsidR="009B7A9C" w:rsidRPr="003F16D5" w:rsidRDefault="006F5C40" w:rsidP="0085383D">
      <w:pPr>
        <w:widowControl w:val="0"/>
        <w:tabs>
          <w:tab w:val="left" w:pos="180"/>
          <w:tab w:val="right" w:pos="3060"/>
          <w:tab w:val="right" w:pos="4150"/>
        </w:tabs>
        <w:rPr>
          <w:rFonts w:ascii="Arial" w:hAnsi="Arial" w:cs="Arial"/>
          <w:snapToGrid w:val="0"/>
          <w:color w:val="000000"/>
          <w:sz w:val="24"/>
        </w:rPr>
      </w:pPr>
      <w:r w:rsidRPr="003F16D5">
        <w:rPr>
          <w:rFonts w:ascii="Arial" w:hAnsi="Arial" w:cs="Arial"/>
          <w:snapToGrid w:val="0"/>
          <w:color w:val="000000"/>
          <w:sz w:val="24"/>
        </w:rPr>
        <w:t>Fees of the external investment managers are agreed in the respective mandates governing their appointments. Broadly, these are based on the market value of the investments under their management and therefore increase or reduce as the value of these investments change.</w:t>
      </w:r>
    </w:p>
    <w:p w:rsidR="00FC46DF" w:rsidRDefault="00FC46DF" w:rsidP="005959BC">
      <w:pPr>
        <w:widowControl w:val="0"/>
        <w:tabs>
          <w:tab w:val="left" w:pos="180"/>
          <w:tab w:val="right" w:pos="3060"/>
          <w:tab w:val="right" w:pos="4150"/>
        </w:tabs>
        <w:rPr>
          <w:rFonts w:ascii="Arial" w:hAnsi="Arial" w:cs="Arial"/>
          <w:snapToGrid w:val="0"/>
          <w:color w:val="000000"/>
          <w:sz w:val="24"/>
        </w:rPr>
      </w:pPr>
    </w:p>
    <w:p w:rsidR="00D64713" w:rsidRPr="003F16D5" w:rsidRDefault="006F5C40" w:rsidP="005959BC">
      <w:pPr>
        <w:widowControl w:val="0"/>
        <w:tabs>
          <w:tab w:val="left" w:pos="180"/>
          <w:tab w:val="right" w:pos="3060"/>
          <w:tab w:val="right" w:pos="4150"/>
        </w:tabs>
        <w:rPr>
          <w:rFonts w:ascii="Arial" w:hAnsi="Arial" w:cs="Arial"/>
          <w:snapToGrid w:val="0"/>
          <w:color w:val="000000"/>
          <w:sz w:val="24"/>
        </w:rPr>
      </w:pPr>
      <w:r w:rsidRPr="003F16D5">
        <w:rPr>
          <w:rFonts w:ascii="Arial" w:hAnsi="Arial" w:cs="Arial"/>
          <w:snapToGrid w:val="0"/>
          <w:color w:val="000000"/>
          <w:sz w:val="24"/>
        </w:rPr>
        <w:t>The cost of obtaining investment advice from external consultants is included in investment management charges.</w:t>
      </w:r>
    </w:p>
    <w:p w:rsidR="00FC46DF" w:rsidRDefault="00FC46DF">
      <w:pPr>
        <w:rPr>
          <w:rFonts w:ascii="Arial" w:hAnsi="Arial" w:cs="Arial"/>
          <w:b/>
          <w:snapToGrid w:val="0"/>
          <w:color w:val="000000"/>
          <w:sz w:val="24"/>
        </w:rPr>
      </w:pPr>
    </w:p>
    <w:p w:rsidR="00F97CAA" w:rsidRPr="00B65406" w:rsidRDefault="00913296" w:rsidP="005959BC">
      <w:pPr>
        <w:widowControl w:val="0"/>
        <w:tabs>
          <w:tab w:val="left" w:pos="180"/>
          <w:tab w:val="right" w:pos="3060"/>
          <w:tab w:val="right" w:pos="4150"/>
        </w:tabs>
        <w:rPr>
          <w:rFonts w:ascii="Arial" w:hAnsi="Arial" w:cs="Arial"/>
          <w:snapToGrid w:val="0"/>
          <w:color w:val="000000"/>
          <w:sz w:val="24"/>
        </w:rPr>
      </w:pPr>
      <w:r w:rsidRPr="00B65406">
        <w:rPr>
          <w:rFonts w:ascii="Arial" w:hAnsi="Arial" w:cs="Arial"/>
          <w:b/>
          <w:snapToGrid w:val="0"/>
          <w:color w:val="000000"/>
          <w:sz w:val="24"/>
        </w:rPr>
        <w:t>Net Assets S</w:t>
      </w:r>
      <w:r w:rsidR="00F97CAA" w:rsidRPr="00B65406">
        <w:rPr>
          <w:rFonts w:ascii="Arial" w:hAnsi="Arial" w:cs="Arial"/>
          <w:b/>
          <w:snapToGrid w:val="0"/>
          <w:color w:val="000000"/>
          <w:sz w:val="24"/>
        </w:rPr>
        <w:t>tatement</w:t>
      </w:r>
    </w:p>
    <w:p w:rsidR="00F97CAA" w:rsidRPr="00B65406" w:rsidRDefault="00F97CAA" w:rsidP="00F97CAA">
      <w:pPr>
        <w:widowControl w:val="0"/>
        <w:tabs>
          <w:tab w:val="left" w:pos="600"/>
          <w:tab w:val="right" w:pos="3060"/>
          <w:tab w:val="right" w:pos="4150"/>
        </w:tabs>
        <w:rPr>
          <w:rFonts w:ascii="Arial" w:hAnsi="Arial" w:cs="Arial"/>
          <w:b/>
          <w:snapToGrid w:val="0"/>
          <w:color w:val="000000"/>
          <w:sz w:val="24"/>
        </w:rPr>
      </w:pPr>
    </w:p>
    <w:p w:rsidR="00F97CAA" w:rsidRPr="00B65406" w:rsidRDefault="00F97CAA" w:rsidP="00F97CAA">
      <w:pPr>
        <w:widowControl w:val="0"/>
        <w:tabs>
          <w:tab w:val="left" w:pos="600"/>
          <w:tab w:val="right" w:pos="3060"/>
          <w:tab w:val="right" w:pos="4150"/>
        </w:tabs>
        <w:rPr>
          <w:rFonts w:ascii="Arial" w:hAnsi="Arial" w:cs="Arial"/>
          <w:sz w:val="24"/>
          <w:szCs w:val="24"/>
        </w:rPr>
      </w:pPr>
      <w:r w:rsidRPr="00B65406">
        <w:rPr>
          <w:rFonts w:ascii="Arial" w:hAnsi="Arial" w:cs="Arial"/>
          <w:b/>
          <w:sz w:val="24"/>
          <w:szCs w:val="24"/>
        </w:rPr>
        <w:t>h)</w:t>
      </w:r>
      <w:r w:rsidRPr="00B65406">
        <w:rPr>
          <w:rFonts w:ascii="Arial" w:hAnsi="Arial" w:cs="Arial"/>
          <w:b/>
          <w:sz w:val="24"/>
          <w:szCs w:val="24"/>
        </w:rPr>
        <w:tab/>
        <w:t>Financial assets</w:t>
      </w:r>
    </w:p>
    <w:p w:rsidR="00F97CAA" w:rsidRPr="00B65406" w:rsidRDefault="00F97CAA" w:rsidP="00F97CAA">
      <w:pPr>
        <w:widowControl w:val="0"/>
        <w:tabs>
          <w:tab w:val="left" w:pos="180"/>
          <w:tab w:val="right" w:pos="3060"/>
          <w:tab w:val="right" w:pos="4150"/>
        </w:tabs>
        <w:rPr>
          <w:rFonts w:ascii="Arial" w:hAnsi="Arial" w:cs="Arial"/>
          <w:snapToGrid w:val="0"/>
          <w:color w:val="000000"/>
          <w:sz w:val="24"/>
        </w:rPr>
      </w:pPr>
    </w:p>
    <w:p w:rsidR="006F5C40" w:rsidRPr="00320DFC" w:rsidRDefault="00F97CAA" w:rsidP="00F97CAA">
      <w:pPr>
        <w:widowControl w:val="0"/>
        <w:tabs>
          <w:tab w:val="left" w:pos="180"/>
          <w:tab w:val="right" w:pos="3060"/>
          <w:tab w:val="right" w:pos="4150"/>
        </w:tabs>
        <w:rPr>
          <w:rFonts w:ascii="Arial" w:hAnsi="Arial" w:cs="Arial"/>
          <w:snapToGrid w:val="0"/>
          <w:color w:val="000000"/>
          <w:sz w:val="24"/>
        </w:rPr>
      </w:pPr>
      <w:r w:rsidRPr="00B65406">
        <w:rPr>
          <w:rFonts w:ascii="Arial" w:hAnsi="Arial" w:cs="Arial"/>
          <w:snapToGrid w:val="0"/>
          <w:color w:val="000000"/>
          <w:sz w:val="24"/>
        </w:rPr>
        <w:t>Financ</w:t>
      </w:r>
      <w:r w:rsidR="00EB0C4B" w:rsidRPr="00B65406">
        <w:rPr>
          <w:rFonts w:ascii="Arial" w:hAnsi="Arial" w:cs="Arial"/>
          <w:snapToGrid w:val="0"/>
          <w:color w:val="000000"/>
          <w:sz w:val="24"/>
        </w:rPr>
        <w:t>ial assets are included in the Net Assets S</w:t>
      </w:r>
      <w:r w:rsidRPr="00B65406">
        <w:rPr>
          <w:rFonts w:ascii="Arial" w:hAnsi="Arial" w:cs="Arial"/>
          <w:snapToGrid w:val="0"/>
          <w:color w:val="000000"/>
          <w:sz w:val="24"/>
        </w:rPr>
        <w:t>tatement on a fair value basis as at the reporting date. A financ</w:t>
      </w:r>
      <w:r w:rsidR="00EB0C4B" w:rsidRPr="00B65406">
        <w:rPr>
          <w:rFonts w:ascii="Arial" w:hAnsi="Arial" w:cs="Arial"/>
          <w:snapToGrid w:val="0"/>
          <w:color w:val="000000"/>
          <w:sz w:val="24"/>
        </w:rPr>
        <w:t>ial asset is recognised in the Net Assets S</w:t>
      </w:r>
      <w:r w:rsidRPr="00B65406">
        <w:rPr>
          <w:rFonts w:ascii="Arial" w:hAnsi="Arial" w:cs="Arial"/>
          <w:snapToGrid w:val="0"/>
          <w:color w:val="000000"/>
          <w:sz w:val="24"/>
        </w:rPr>
        <w:t>tatement on the date the Fund becomes party to the contractual acquisition of the asset. From this date</w:t>
      </w:r>
      <w:r w:rsidR="00EB0C4B" w:rsidRPr="00B65406">
        <w:rPr>
          <w:rFonts w:ascii="Arial" w:hAnsi="Arial" w:cs="Arial"/>
          <w:snapToGrid w:val="0"/>
          <w:color w:val="000000"/>
          <w:sz w:val="24"/>
        </w:rPr>
        <w:t>,</w:t>
      </w:r>
      <w:r w:rsidRPr="00B65406">
        <w:rPr>
          <w:rFonts w:ascii="Arial" w:hAnsi="Arial" w:cs="Arial"/>
          <w:snapToGrid w:val="0"/>
          <w:color w:val="000000"/>
          <w:sz w:val="24"/>
        </w:rPr>
        <w:t xml:space="preserve"> any gains or losses arising from </w:t>
      </w:r>
      <w:r w:rsidRPr="00320DFC">
        <w:rPr>
          <w:rFonts w:ascii="Arial" w:hAnsi="Arial" w:cs="Arial"/>
          <w:snapToGrid w:val="0"/>
          <w:color w:val="000000"/>
          <w:sz w:val="24"/>
        </w:rPr>
        <w:t>cha</w:t>
      </w:r>
      <w:r w:rsidR="002233D2" w:rsidRPr="00320DFC">
        <w:rPr>
          <w:rFonts w:ascii="Arial" w:hAnsi="Arial" w:cs="Arial"/>
          <w:snapToGrid w:val="0"/>
          <w:color w:val="000000"/>
          <w:sz w:val="24"/>
        </w:rPr>
        <w:t>nges in the fair value of the asset</w:t>
      </w:r>
      <w:r w:rsidRPr="00320DFC">
        <w:rPr>
          <w:rFonts w:ascii="Arial" w:hAnsi="Arial" w:cs="Arial"/>
          <w:snapToGrid w:val="0"/>
          <w:color w:val="000000"/>
          <w:sz w:val="24"/>
        </w:rPr>
        <w:t xml:space="preserve"> are recognised by the Fund.</w:t>
      </w:r>
    </w:p>
    <w:p w:rsidR="00575BFA" w:rsidRPr="00320DFC" w:rsidRDefault="00575BFA" w:rsidP="0085383D">
      <w:pPr>
        <w:widowControl w:val="0"/>
        <w:tabs>
          <w:tab w:val="left" w:pos="180"/>
          <w:tab w:val="right" w:pos="3060"/>
          <w:tab w:val="right" w:pos="4150"/>
        </w:tabs>
        <w:rPr>
          <w:rFonts w:ascii="Arial" w:hAnsi="Arial" w:cs="Arial"/>
          <w:snapToGrid w:val="0"/>
          <w:color w:val="000000"/>
          <w:sz w:val="24"/>
        </w:rPr>
      </w:pPr>
    </w:p>
    <w:p w:rsidR="00EE7A99" w:rsidRPr="00320DFC" w:rsidRDefault="00EE7A99" w:rsidP="0085383D">
      <w:pPr>
        <w:widowControl w:val="0"/>
        <w:tabs>
          <w:tab w:val="left" w:pos="180"/>
          <w:tab w:val="right" w:pos="3060"/>
          <w:tab w:val="right" w:pos="4150"/>
        </w:tabs>
        <w:rPr>
          <w:rFonts w:ascii="Arial" w:hAnsi="Arial" w:cs="Arial"/>
          <w:snapToGrid w:val="0"/>
          <w:color w:val="000000"/>
          <w:sz w:val="24"/>
        </w:rPr>
      </w:pPr>
      <w:r w:rsidRPr="00320DFC">
        <w:rPr>
          <w:rFonts w:ascii="Arial" w:hAnsi="Arial" w:cs="Arial"/>
          <w:snapToGrid w:val="0"/>
          <w:color w:val="000000"/>
          <w:sz w:val="24"/>
        </w:rPr>
        <w:t xml:space="preserve">The values </w:t>
      </w:r>
      <w:r w:rsidR="00EB0C4B" w:rsidRPr="00320DFC">
        <w:rPr>
          <w:rFonts w:ascii="Arial" w:hAnsi="Arial" w:cs="Arial"/>
          <w:snapToGrid w:val="0"/>
          <w:color w:val="000000"/>
          <w:sz w:val="24"/>
        </w:rPr>
        <w:t>of investments as shown in the Net Assets S</w:t>
      </w:r>
      <w:r w:rsidRPr="00320DFC">
        <w:rPr>
          <w:rFonts w:ascii="Arial" w:hAnsi="Arial" w:cs="Arial"/>
          <w:snapToGrid w:val="0"/>
          <w:color w:val="000000"/>
          <w:sz w:val="24"/>
        </w:rPr>
        <w:t>tatement have been determined as follows:</w:t>
      </w:r>
    </w:p>
    <w:p w:rsidR="00EE7A99" w:rsidRPr="00320DFC" w:rsidRDefault="00EE7A99" w:rsidP="00EE7A99">
      <w:pPr>
        <w:widowControl w:val="0"/>
        <w:tabs>
          <w:tab w:val="left" w:pos="600"/>
          <w:tab w:val="right" w:pos="3060"/>
          <w:tab w:val="right" w:pos="4150"/>
        </w:tabs>
        <w:rPr>
          <w:rFonts w:ascii="Arial" w:hAnsi="Arial" w:cs="Arial"/>
          <w:sz w:val="24"/>
          <w:szCs w:val="24"/>
        </w:rPr>
      </w:pPr>
      <w:r w:rsidRPr="00320DFC">
        <w:rPr>
          <w:rFonts w:ascii="Arial" w:hAnsi="Arial" w:cs="Arial"/>
          <w:sz w:val="24"/>
          <w:szCs w:val="24"/>
        </w:rPr>
        <w:t>i)</w:t>
      </w:r>
      <w:r w:rsidRPr="00320DFC">
        <w:rPr>
          <w:rFonts w:ascii="Arial" w:hAnsi="Arial" w:cs="Arial"/>
          <w:sz w:val="24"/>
          <w:szCs w:val="24"/>
        </w:rPr>
        <w:tab/>
        <w:t>Market-quoted investments</w:t>
      </w:r>
    </w:p>
    <w:p w:rsidR="00EE7A99" w:rsidRPr="00320DFC" w:rsidRDefault="00EE7A99" w:rsidP="00EE7A99">
      <w:pPr>
        <w:widowControl w:val="0"/>
        <w:tabs>
          <w:tab w:val="left" w:pos="600"/>
          <w:tab w:val="right" w:pos="3060"/>
          <w:tab w:val="right" w:pos="4150"/>
        </w:tabs>
        <w:ind w:left="600" w:hanging="600"/>
        <w:rPr>
          <w:rFonts w:ascii="Arial" w:hAnsi="Arial" w:cs="Arial"/>
          <w:sz w:val="24"/>
          <w:szCs w:val="24"/>
        </w:rPr>
      </w:pPr>
      <w:r w:rsidRPr="00320DFC">
        <w:rPr>
          <w:rFonts w:ascii="Arial" w:hAnsi="Arial" w:cs="Arial"/>
          <w:sz w:val="24"/>
          <w:szCs w:val="24"/>
        </w:rPr>
        <w:tab/>
        <w:t>The value of an investment for which there is a readily available market price is determined by the bid market price ruling on the final day of the accounting period.</w:t>
      </w:r>
    </w:p>
    <w:p w:rsidR="00EE7A99" w:rsidRPr="00320DFC" w:rsidRDefault="00EE7A99" w:rsidP="00EE7A99">
      <w:pPr>
        <w:widowControl w:val="0"/>
        <w:tabs>
          <w:tab w:val="left" w:pos="600"/>
          <w:tab w:val="right" w:pos="3060"/>
          <w:tab w:val="right" w:pos="4150"/>
        </w:tabs>
        <w:rPr>
          <w:rFonts w:ascii="Arial" w:hAnsi="Arial" w:cs="Arial"/>
          <w:sz w:val="24"/>
          <w:szCs w:val="24"/>
        </w:rPr>
      </w:pPr>
      <w:r w:rsidRPr="00320DFC">
        <w:rPr>
          <w:rFonts w:ascii="Arial" w:hAnsi="Arial" w:cs="Arial"/>
          <w:sz w:val="24"/>
          <w:szCs w:val="24"/>
        </w:rPr>
        <w:t>i</w:t>
      </w:r>
      <w:r w:rsidR="0092264D" w:rsidRPr="00320DFC">
        <w:rPr>
          <w:rFonts w:ascii="Arial" w:hAnsi="Arial" w:cs="Arial"/>
          <w:sz w:val="24"/>
          <w:szCs w:val="24"/>
        </w:rPr>
        <w:t>i</w:t>
      </w:r>
      <w:r w:rsidRPr="00320DFC">
        <w:rPr>
          <w:rFonts w:ascii="Arial" w:hAnsi="Arial" w:cs="Arial"/>
          <w:sz w:val="24"/>
          <w:szCs w:val="24"/>
        </w:rPr>
        <w:t>)</w:t>
      </w:r>
      <w:r w:rsidRPr="00320DFC">
        <w:rPr>
          <w:rFonts w:ascii="Arial" w:hAnsi="Arial" w:cs="Arial"/>
          <w:sz w:val="24"/>
          <w:szCs w:val="24"/>
        </w:rPr>
        <w:tab/>
      </w:r>
      <w:r w:rsidR="0092264D" w:rsidRPr="00320DFC">
        <w:rPr>
          <w:rFonts w:ascii="Arial" w:hAnsi="Arial" w:cs="Arial"/>
          <w:sz w:val="24"/>
          <w:szCs w:val="24"/>
        </w:rPr>
        <w:t>Fixed interest securities</w:t>
      </w:r>
    </w:p>
    <w:p w:rsidR="0092264D" w:rsidRPr="00320DFC" w:rsidRDefault="00EE7A99" w:rsidP="00EE7A99">
      <w:pPr>
        <w:widowControl w:val="0"/>
        <w:tabs>
          <w:tab w:val="left" w:pos="600"/>
          <w:tab w:val="right" w:pos="3060"/>
          <w:tab w:val="right" w:pos="4150"/>
        </w:tabs>
        <w:ind w:left="600" w:hanging="600"/>
        <w:rPr>
          <w:rFonts w:ascii="Arial" w:hAnsi="Arial" w:cs="Arial"/>
          <w:sz w:val="24"/>
          <w:szCs w:val="24"/>
        </w:rPr>
      </w:pPr>
      <w:r w:rsidRPr="00320DFC">
        <w:rPr>
          <w:rFonts w:ascii="Arial" w:hAnsi="Arial" w:cs="Arial"/>
          <w:sz w:val="24"/>
          <w:szCs w:val="24"/>
        </w:rPr>
        <w:tab/>
      </w:r>
      <w:r w:rsidR="0092264D" w:rsidRPr="00320DFC">
        <w:rPr>
          <w:rFonts w:ascii="Arial" w:hAnsi="Arial" w:cs="Arial"/>
          <w:sz w:val="24"/>
          <w:szCs w:val="24"/>
        </w:rPr>
        <w:t>Fixed interest securities are recorded at net market value based on their current yields.</w:t>
      </w:r>
    </w:p>
    <w:p w:rsidR="0092264D" w:rsidRPr="00320DFC" w:rsidRDefault="0092264D" w:rsidP="0092264D">
      <w:pPr>
        <w:widowControl w:val="0"/>
        <w:tabs>
          <w:tab w:val="left" w:pos="600"/>
          <w:tab w:val="right" w:pos="3060"/>
          <w:tab w:val="right" w:pos="4150"/>
        </w:tabs>
        <w:rPr>
          <w:rFonts w:ascii="Arial" w:hAnsi="Arial" w:cs="Arial"/>
          <w:sz w:val="24"/>
          <w:szCs w:val="24"/>
        </w:rPr>
      </w:pPr>
      <w:r w:rsidRPr="00320DFC">
        <w:rPr>
          <w:rFonts w:ascii="Arial" w:hAnsi="Arial" w:cs="Arial"/>
          <w:sz w:val="24"/>
          <w:szCs w:val="24"/>
        </w:rPr>
        <w:t>iii)</w:t>
      </w:r>
      <w:r w:rsidRPr="00320DFC">
        <w:rPr>
          <w:rFonts w:ascii="Arial" w:hAnsi="Arial" w:cs="Arial"/>
          <w:sz w:val="24"/>
          <w:szCs w:val="24"/>
        </w:rPr>
        <w:tab/>
        <w:t>Unquoted investments</w:t>
      </w:r>
    </w:p>
    <w:p w:rsidR="0092264D" w:rsidRPr="00320DFC" w:rsidRDefault="0092264D" w:rsidP="0092264D">
      <w:pPr>
        <w:widowControl w:val="0"/>
        <w:tabs>
          <w:tab w:val="left" w:pos="600"/>
          <w:tab w:val="right" w:pos="3060"/>
          <w:tab w:val="right" w:pos="4150"/>
        </w:tabs>
        <w:ind w:left="600" w:hanging="600"/>
        <w:rPr>
          <w:rFonts w:ascii="Arial" w:hAnsi="Arial" w:cs="Arial"/>
          <w:sz w:val="24"/>
          <w:szCs w:val="24"/>
        </w:rPr>
      </w:pPr>
      <w:r w:rsidRPr="00320DFC">
        <w:rPr>
          <w:rFonts w:ascii="Arial" w:hAnsi="Arial" w:cs="Arial"/>
          <w:sz w:val="24"/>
          <w:szCs w:val="24"/>
        </w:rPr>
        <w:tab/>
        <w:t xml:space="preserve">The fair value of investments for which market quotations are not readily available is determined as follows: </w:t>
      </w:r>
    </w:p>
    <w:p w:rsidR="0092264D" w:rsidRPr="00320DFC" w:rsidRDefault="0092264D" w:rsidP="00907AD2">
      <w:pPr>
        <w:widowControl w:val="0"/>
        <w:numPr>
          <w:ilvl w:val="0"/>
          <w:numId w:val="2"/>
        </w:numPr>
        <w:tabs>
          <w:tab w:val="left" w:pos="600"/>
          <w:tab w:val="right" w:pos="3060"/>
          <w:tab w:val="right" w:pos="4150"/>
        </w:tabs>
        <w:rPr>
          <w:rFonts w:ascii="Arial" w:hAnsi="Arial" w:cs="Arial"/>
          <w:sz w:val="24"/>
          <w:szCs w:val="24"/>
        </w:rPr>
      </w:pPr>
      <w:r w:rsidRPr="00320DFC">
        <w:rPr>
          <w:rFonts w:ascii="Arial" w:hAnsi="Arial" w:cs="Arial"/>
          <w:sz w:val="24"/>
          <w:szCs w:val="24"/>
        </w:rPr>
        <w:t>Valuations of delisted securities are based on the last sale price prior to delisting, or where subject to liquidation, the amount the Fund expects to receive on wind-up, less estimated realisation costs</w:t>
      </w:r>
      <w:r w:rsidR="00B371DE">
        <w:rPr>
          <w:rFonts w:ascii="Arial" w:hAnsi="Arial" w:cs="Arial"/>
          <w:sz w:val="24"/>
          <w:szCs w:val="24"/>
        </w:rPr>
        <w:t>.</w:t>
      </w:r>
    </w:p>
    <w:p w:rsidR="00BC2E11" w:rsidRPr="00FF5F80" w:rsidRDefault="0092264D" w:rsidP="00907AD2">
      <w:pPr>
        <w:widowControl w:val="0"/>
        <w:numPr>
          <w:ilvl w:val="0"/>
          <w:numId w:val="2"/>
        </w:numPr>
        <w:tabs>
          <w:tab w:val="left" w:pos="600"/>
          <w:tab w:val="right" w:pos="3060"/>
          <w:tab w:val="right" w:pos="4150"/>
        </w:tabs>
        <w:rPr>
          <w:rFonts w:ascii="Arial" w:hAnsi="Arial" w:cs="Arial"/>
          <w:sz w:val="24"/>
          <w:szCs w:val="24"/>
        </w:rPr>
      </w:pPr>
      <w:r w:rsidRPr="00FF5F80">
        <w:rPr>
          <w:rFonts w:ascii="Arial" w:hAnsi="Arial" w:cs="Arial"/>
          <w:sz w:val="24"/>
          <w:szCs w:val="24"/>
        </w:rPr>
        <w:t>Securities</w:t>
      </w:r>
      <w:r w:rsidR="00BC2E11" w:rsidRPr="00FF5F80">
        <w:rPr>
          <w:rFonts w:ascii="Arial" w:hAnsi="Arial" w:cs="Arial"/>
          <w:sz w:val="24"/>
          <w:szCs w:val="24"/>
        </w:rPr>
        <w:t xml:space="preserve"> subject to takeover offer – the value of the consideration offered under the offer, less estimated realisation costs</w:t>
      </w:r>
      <w:r w:rsidR="00B371DE">
        <w:rPr>
          <w:rFonts w:ascii="Arial" w:hAnsi="Arial" w:cs="Arial"/>
          <w:sz w:val="24"/>
          <w:szCs w:val="24"/>
        </w:rPr>
        <w:t>.</w:t>
      </w:r>
    </w:p>
    <w:p w:rsidR="00096DFF" w:rsidRDefault="00096DFF">
      <w:pPr>
        <w:rPr>
          <w:rFonts w:ascii="Arial" w:hAnsi="Arial" w:cs="Arial"/>
          <w:sz w:val="24"/>
          <w:szCs w:val="24"/>
        </w:rPr>
      </w:pPr>
      <w:r>
        <w:rPr>
          <w:rFonts w:ascii="Arial" w:hAnsi="Arial" w:cs="Arial"/>
          <w:sz w:val="24"/>
          <w:szCs w:val="24"/>
        </w:rPr>
        <w:br w:type="page"/>
      </w:r>
    </w:p>
    <w:p w:rsidR="00BC2E11" w:rsidRPr="00FF5F80" w:rsidRDefault="00BC2E11" w:rsidP="00907AD2">
      <w:pPr>
        <w:widowControl w:val="0"/>
        <w:numPr>
          <w:ilvl w:val="0"/>
          <w:numId w:val="2"/>
        </w:numPr>
        <w:tabs>
          <w:tab w:val="left" w:pos="600"/>
          <w:tab w:val="right" w:pos="3060"/>
          <w:tab w:val="right" w:pos="4150"/>
        </w:tabs>
        <w:rPr>
          <w:rFonts w:ascii="Arial" w:hAnsi="Arial" w:cs="Arial"/>
          <w:sz w:val="24"/>
          <w:szCs w:val="24"/>
        </w:rPr>
      </w:pPr>
      <w:r w:rsidRPr="00FF5F80">
        <w:rPr>
          <w:rFonts w:ascii="Arial" w:hAnsi="Arial" w:cs="Arial"/>
          <w:sz w:val="24"/>
          <w:szCs w:val="24"/>
        </w:rPr>
        <w:lastRenderedPageBreak/>
        <w:t>Directly held investments include investments in limited partnerships, shares in unlisted companies, trusts and bonds. Other unquoted securities typically include pooled investments in property, infrastructure, debt securities and private equity. The valuation of these pools or directly held securities is undertaken by the investment manager or responsible entity and advised as a unit or security price. The valuation standards followed in these valuations adhere to industry guidelines or to standards set by the constituent documents of the pool or the management agreement</w:t>
      </w:r>
      <w:r w:rsidR="00B371DE">
        <w:rPr>
          <w:rFonts w:ascii="Arial" w:hAnsi="Arial" w:cs="Arial"/>
          <w:sz w:val="24"/>
          <w:szCs w:val="24"/>
        </w:rPr>
        <w:t>.</w:t>
      </w:r>
    </w:p>
    <w:p w:rsidR="0092264D" w:rsidRPr="00B02C97" w:rsidRDefault="00BC2E11" w:rsidP="00907AD2">
      <w:pPr>
        <w:widowControl w:val="0"/>
        <w:numPr>
          <w:ilvl w:val="0"/>
          <w:numId w:val="2"/>
        </w:numPr>
        <w:tabs>
          <w:tab w:val="left" w:pos="600"/>
          <w:tab w:val="right" w:pos="3060"/>
          <w:tab w:val="right" w:pos="4150"/>
        </w:tabs>
        <w:rPr>
          <w:rFonts w:ascii="Arial" w:hAnsi="Arial" w:cs="Arial"/>
          <w:sz w:val="24"/>
          <w:szCs w:val="24"/>
        </w:rPr>
      </w:pPr>
      <w:r w:rsidRPr="00B02C97">
        <w:rPr>
          <w:rFonts w:ascii="Arial" w:hAnsi="Arial" w:cs="Arial"/>
          <w:sz w:val="24"/>
          <w:szCs w:val="24"/>
        </w:rPr>
        <w:t>Investments</w:t>
      </w:r>
      <w:r w:rsidR="00D72FD6" w:rsidRPr="00B02C97">
        <w:rPr>
          <w:rFonts w:ascii="Arial" w:hAnsi="Arial" w:cs="Arial"/>
          <w:sz w:val="24"/>
          <w:szCs w:val="24"/>
        </w:rPr>
        <w:t xml:space="preserve"> in unquoted property and infrastructure pooled funds are valued at the net asset value or a single price advised by the fund manager</w:t>
      </w:r>
      <w:r w:rsidR="00B371DE">
        <w:rPr>
          <w:rFonts w:ascii="Arial" w:hAnsi="Arial" w:cs="Arial"/>
          <w:sz w:val="24"/>
          <w:szCs w:val="24"/>
        </w:rPr>
        <w:t>.</w:t>
      </w:r>
    </w:p>
    <w:p w:rsidR="00D72FD6" w:rsidRPr="00B02C97" w:rsidRDefault="00DA2BE2" w:rsidP="00907AD2">
      <w:pPr>
        <w:widowControl w:val="0"/>
        <w:numPr>
          <w:ilvl w:val="0"/>
          <w:numId w:val="2"/>
        </w:numPr>
        <w:tabs>
          <w:tab w:val="left" w:pos="600"/>
          <w:tab w:val="right" w:pos="3060"/>
          <w:tab w:val="right" w:pos="4150"/>
        </w:tabs>
        <w:rPr>
          <w:rFonts w:ascii="Arial" w:hAnsi="Arial" w:cs="Arial"/>
          <w:sz w:val="24"/>
          <w:szCs w:val="24"/>
        </w:rPr>
      </w:pPr>
      <w:r w:rsidRPr="00B02C97">
        <w:rPr>
          <w:rFonts w:ascii="Arial" w:hAnsi="Arial" w:cs="Arial"/>
          <w:sz w:val="24"/>
          <w:szCs w:val="24"/>
        </w:rPr>
        <w:t>Investments in private equity</w:t>
      </w:r>
      <w:r w:rsidR="000E04C0">
        <w:rPr>
          <w:rFonts w:ascii="Arial" w:hAnsi="Arial" w:cs="Arial"/>
          <w:sz w:val="24"/>
          <w:szCs w:val="24"/>
        </w:rPr>
        <w:t>/infrastructure</w:t>
      </w:r>
      <w:r w:rsidRPr="00B02C97">
        <w:rPr>
          <w:rFonts w:ascii="Arial" w:hAnsi="Arial" w:cs="Arial"/>
          <w:sz w:val="24"/>
          <w:szCs w:val="24"/>
        </w:rPr>
        <w:t xml:space="preserve"> funds and unquoted listed partnerships are valued based on the Fund’s share of the net assets in the private equity</w:t>
      </w:r>
      <w:r w:rsidR="0055701F">
        <w:rPr>
          <w:rFonts w:ascii="Arial" w:hAnsi="Arial" w:cs="Arial"/>
          <w:sz w:val="24"/>
          <w:szCs w:val="24"/>
        </w:rPr>
        <w:t>/infrastructure</w:t>
      </w:r>
      <w:r w:rsidRPr="00B02C97">
        <w:rPr>
          <w:rFonts w:ascii="Arial" w:hAnsi="Arial" w:cs="Arial"/>
          <w:sz w:val="24"/>
          <w:szCs w:val="24"/>
        </w:rPr>
        <w:t xml:space="preserve"> fund or limited partnership using the latest financial statements published by the respective fund managers in accordance with </w:t>
      </w:r>
      <w:r w:rsidR="00B02C97" w:rsidRPr="00B02C97">
        <w:rPr>
          <w:rFonts w:ascii="Arial" w:hAnsi="Arial" w:cs="Arial"/>
          <w:sz w:val="24"/>
          <w:szCs w:val="24"/>
        </w:rPr>
        <w:t>the guidelines set out by the</w:t>
      </w:r>
      <w:r w:rsidR="00EB0C4B" w:rsidRPr="00B02C97">
        <w:rPr>
          <w:rFonts w:ascii="Arial" w:hAnsi="Arial" w:cs="Arial"/>
          <w:sz w:val="24"/>
          <w:szCs w:val="24"/>
        </w:rPr>
        <w:t xml:space="preserve"> British Venture Capital Association</w:t>
      </w:r>
      <w:r w:rsidR="00B371DE">
        <w:rPr>
          <w:rFonts w:ascii="Arial" w:hAnsi="Arial" w:cs="Arial"/>
          <w:sz w:val="24"/>
          <w:szCs w:val="24"/>
        </w:rPr>
        <w:t>.</w:t>
      </w:r>
    </w:p>
    <w:p w:rsidR="00DA2BE2" w:rsidRPr="0010044E" w:rsidRDefault="003865D5" w:rsidP="0092264D">
      <w:pPr>
        <w:widowControl w:val="0"/>
        <w:tabs>
          <w:tab w:val="left" w:pos="600"/>
          <w:tab w:val="right" w:pos="3060"/>
          <w:tab w:val="right" w:pos="4150"/>
        </w:tabs>
        <w:rPr>
          <w:rFonts w:ascii="Arial" w:hAnsi="Arial" w:cs="Arial"/>
          <w:sz w:val="24"/>
          <w:szCs w:val="24"/>
        </w:rPr>
      </w:pPr>
      <w:r w:rsidRPr="0010044E">
        <w:rPr>
          <w:rFonts w:ascii="Arial" w:hAnsi="Arial" w:cs="Arial"/>
          <w:sz w:val="24"/>
          <w:szCs w:val="24"/>
        </w:rPr>
        <w:t>i</w:t>
      </w:r>
      <w:r w:rsidR="001D6CD8" w:rsidRPr="0010044E">
        <w:rPr>
          <w:rFonts w:ascii="Arial" w:hAnsi="Arial" w:cs="Arial"/>
          <w:sz w:val="24"/>
          <w:szCs w:val="24"/>
        </w:rPr>
        <w:t>v</w:t>
      </w:r>
      <w:r w:rsidRPr="0010044E">
        <w:rPr>
          <w:rFonts w:ascii="Arial" w:hAnsi="Arial" w:cs="Arial"/>
          <w:sz w:val="24"/>
          <w:szCs w:val="24"/>
        </w:rPr>
        <w:t>)</w:t>
      </w:r>
      <w:r w:rsidRPr="0010044E">
        <w:rPr>
          <w:rFonts w:ascii="Arial" w:hAnsi="Arial" w:cs="Arial"/>
          <w:sz w:val="24"/>
          <w:szCs w:val="24"/>
        </w:rPr>
        <w:tab/>
      </w:r>
      <w:r w:rsidR="00DA2BE2" w:rsidRPr="0010044E">
        <w:rPr>
          <w:rFonts w:ascii="Arial" w:hAnsi="Arial" w:cs="Arial"/>
          <w:sz w:val="24"/>
          <w:szCs w:val="24"/>
        </w:rPr>
        <w:t>Limited partnerships</w:t>
      </w:r>
    </w:p>
    <w:p w:rsidR="00BF1FCC" w:rsidRPr="0010044E" w:rsidRDefault="00DA2BE2" w:rsidP="001D6CD8">
      <w:pPr>
        <w:widowControl w:val="0"/>
        <w:tabs>
          <w:tab w:val="left" w:pos="600"/>
          <w:tab w:val="right" w:pos="3060"/>
          <w:tab w:val="right" w:pos="4150"/>
        </w:tabs>
        <w:ind w:left="600"/>
        <w:rPr>
          <w:rFonts w:ascii="Arial" w:hAnsi="Arial" w:cs="Arial"/>
          <w:sz w:val="24"/>
          <w:szCs w:val="24"/>
        </w:rPr>
      </w:pPr>
      <w:r w:rsidRPr="0010044E">
        <w:rPr>
          <w:rFonts w:ascii="Arial" w:hAnsi="Arial" w:cs="Arial"/>
          <w:sz w:val="24"/>
          <w:szCs w:val="24"/>
        </w:rPr>
        <w:t>Fair value is based on the net asset value ascertained from periodic valuations provided by those controlling the partnership</w:t>
      </w:r>
      <w:r w:rsidR="00B371DE">
        <w:rPr>
          <w:rFonts w:ascii="Arial" w:hAnsi="Arial" w:cs="Arial"/>
          <w:sz w:val="24"/>
          <w:szCs w:val="24"/>
        </w:rPr>
        <w:t>.</w:t>
      </w:r>
    </w:p>
    <w:p w:rsidR="00BF1FCC" w:rsidRPr="0010044E" w:rsidRDefault="001D6CD8" w:rsidP="001D6CD8">
      <w:pPr>
        <w:widowControl w:val="0"/>
        <w:tabs>
          <w:tab w:val="left" w:pos="600"/>
          <w:tab w:val="right" w:pos="3060"/>
          <w:tab w:val="right" w:pos="4150"/>
        </w:tabs>
        <w:rPr>
          <w:rFonts w:ascii="Arial" w:hAnsi="Arial" w:cs="Arial"/>
          <w:sz w:val="24"/>
          <w:szCs w:val="24"/>
        </w:rPr>
      </w:pPr>
      <w:r w:rsidRPr="0010044E">
        <w:rPr>
          <w:rFonts w:ascii="Arial" w:hAnsi="Arial" w:cs="Arial"/>
          <w:sz w:val="24"/>
          <w:szCs w:val="24"/>
        </w:rPr>
        <w:t>v)</w:t>
      </w:r>
      <w:r w:rsidRPr="0010044E">
        <w:rPr>
          <w:rFonts w:ascii="Arial" w:hAnsi="Arial" w:cs="Arial"/>
          <w:sz w:val="24"/>
          <w:szCs w:val="24"/>
        </w:rPr>
        <w:tab/>
      </w:r>
      <w:r w:rsidR="00BF1FCC" w:rsidRPr="0010044E">
        <w:rPr>
          <w:rFonts w:ascii="Arial" w:hAnsi="Arial" w:cs="Arial"/>
          <w:sz w:val="24"/>
          <w:szCs w:val="24"/>
        </w:rPr>
        <w:t>Pooled investment vehicles</w:t>
      </w:r>
    </w:p>
    <w:p w:rsidR="00BF1FCC" w:rsidRPr="0010044E" w:rsidRDefault="00BF1FCC" w:rsidP="001D6CD8">
      <w:pPr>
        <w:widowControl w:val="0"/>
        <w:tabs>
          <w:tab w:val="left" w:pos="600"/>
          <w:tab w:val="right" w:pos="3060"/>
          <w:tab w:val="right" w:pos="4150"/>
        </w:tabs>
        <w:ind w:left="600"/>
        <w:rPr>
          <w:rFonts w:ascii="Arial" w:hAnsi="Arial" w:cs="Arial"/>
          <w:sz w:val="24"/>
          <w:szCs w:val="24"/>
        </w:rPr>
      </w:pPr>
      <w:r w:rsidRPr="0010044E">
        <w:rPr>
          <w:rFonts w:ascii="Arial" w:hAnsi="Arial" w:cs="Arial"/>
          <w:sz w:val="24"/>
          <w:szCs w:val="24"/>
        </w:rPr>
        <w:t>Pooled investment vehicles are valued at closing bid price if both bid and offer prices are published; or if single priced, at the closing single price. In the case of pooled investment vehicles that are accumulation funds, change in market value also includes income which is reinvested in the fund, net of applicable withholding tax</w:t>
      </w:r>
      <w:r w:rsidR="00B371DE">
        <w:rPr>
          <w:rFonts w:ascii="Arial" w:hAnsi="Arial" w:cs="Arial"/>
          <w:sz w:val="24"/>
          <w:szCs w:val="24"/>
        </w:rPr>
        <w:t>.</w:t>
      </w:r>
    </w:p>
    <w:p w:rsidR="0092264D" w:rsidRPr="00241831" w:rsidRDefault="0092264D" w:rsidP="0092264D">
      <w:pPr>
        <w:widowControl w:val="0"/>
        <w:tabs>
          <w:tab w:val="left" w:pos="600"/>
          <w:tab w:val="right" w:pos="3060"/>
          <w:tab w:val="right" w:pos="4150"/>
        </w:tabs>
        <w:ind w:left="600" w:hanging="600"/>
        <w:rPr>
          <w:rFonts w:ascii="Arial" w:hAnsi="Arial" w:cs="Arial"/>
          <w:sz w:val="24"/>
          <w:szCs w:val="24"/>
        </w:rPr>
      </w:pPr>
    </w:p>
    <w:p w:rsidR="00603123" w:rsidRPr="00241831" w:rsidRDefault="00603123" w:rsidP="00603123">
      <w:pPr>
        <w:widowControl w:val="0"/>
        <w:tabs>
          <w:tab w:val="left" w:pos="600"/>
          <w:tab w:val="right" w:pos="3060"/>
          <w:tab w:val="right" w:pos="4150"/>
        </w:tabs>
        <w:rPr>
          <w:rFonts w:ascii="Arial" w:hAnsi="Arial" w:cs="Arial"/>
          <w:sz w:val="24"/>
          <w:szCs w:val="24"/>
        </w:rPr>
      </w:pPr>
      <w:r w:rsidRPr="00241831">
        <w:rPr>
          <w:rFonts w:ascii="Arial" w:hAnsi="Arial" w:cs="Arial"/>
          <w:b/>
          <w:sz w:val="24"/>
          <w:szCs w:val="24"/>
        </w:rPr>
        <w:t>i)</w:t>
      </w:r>
      <w:r w:rsidRPr="00241831">
        <w:rPr>
          <w:rFonts w:ascii="Arial" w:hAnsi="Arial" w:cs="Arial"/>
          <w:b/>
          <w:sz w:val="24"/>
          <w:szCs w:val="24"/>
        </w:rPr>
        <w:tab/>
        <w:t>Foreign currency transactions</w:t>
      </w:r>
    </w:p>
    <w:p w:rsidR="00603123" w:rsidRPr="00241831" w:rsidRDefault="00603123" w:rsidP="00603123">
      <w:pPr>
        <w:widowControl w:val="0"/>
        <w:tabs>
          <w:tab w:val="left" w:pos="180"/>
          <w:tab w:val="right" w:pos="3060"/>
          <w:tab w:val="right" w:pos="4150"/>
        </w:tabs>
        <w:rPr>
          <w:rFonts w:ascii="Arial" w:hAnsi="Arial" w:cs="Arial"/>
          <w:snapToGrid w:val="0"/>
          <w:color w:val="000000"/>
          <w:sz w:val="24"/>
        </w:rPr>
      </w:pPr>
    </w:p>
    <w:p w:rsidR="0092264D" w:rsidRPr="00241831" w:rsidRDefault="00603123" w:rsidP="00603123">
      <w:pPr>
        <w:widowControl w:val="0"/>
        <w:tabs>
          <w:tab w:val="left" w:pos="0"/>
          <w:tab w:val="right" w:pos="3060"/>
          <w:tab w:val="right" w:pos="4150"/>
        </w:tabs>
        <w:rPr>
          <w:rFonts w:ascii="Arial" w:hAnsi="Arial" w:cs="Arial"/>
          <w:sz w:val="24"/>
          <w:szCs w:val="24"/>
        </w:rPr>
      </w:pPr>
      <w:r w:rsidRPr="00241831">
        <w:rPr>
          <w:rFonts w:ascii="Arial" w:hAnsi="Arial" w:cs="Arial"/>
          <w:snapToGrid w:val="0"/>
          <w:color w:val="000000"/>
          <w:sz w:val="24"/>
        </w:rPr>
        <w:t>Dividends, interest and purchases and sales of investments in foreign currencies have been accounted for at the spot market rates at the date of transaction. End-of-year spot market exchange rates are used to value cash balances held in foreign currency bank accounts, market values of overseas investments and purchases and sales outstanding at the end of the reporting period.</w:t>
      </w:r>
    </w:p>
    <w:p w:rsidR="000C033D" w:rsidRPr="00943970" w:rsidRDefault="000C033D" w:rsidP="000C033D">
      <w:pPr>
        <w:widowControl w:val="0"/>
        <w:tabs>
          <w:tab w:val="left" w:pos="600"/>
          <w:tab w:val="right" w:pos="3060"/>
          <w:tab w:val="right" w:pos="4150"/>
        </w:tabs>
        <w:ind w:left="600" w:hanging="600"/>
        <w:rPr>
          <w:rFonts w:ascii="Arial" w:hAnsi="Arial" w:cs="Arial"/>
          <w:sz w:val="24"/>
          <w:szCs w:val="24"/>
        </w:rPr>
      </w:pPr>
    </w:p>
    <w:p w:rsidR="000C033D" w:rsidRPr="00943970" w:rsidRDefault="000C033D" w:rsidP="000C033D">
      <w:pPr>
        <w:widowControl w:val="0"/>
        <w:tabs>
          <w:tab w:val="left" w:pos="600"/>
          <w:tab w:val="right" w:pos="3060"/>
          <w:tab w:val="right" w:pos="4150"/>
        </w:tabs>
        <w:rPr>
          <w:rFonts w:ascii="Arial" w:hAnsi="Arial" w:cs="Arial"/>
          <w:sz w:val="24"/>
          <w:szCs w:val="24"/>
        </w:rPr>
      </w:pPr>
      <w:r w:rsidRPr="00943970">
        <w:rPr>
          <w:rFonts w:ascii="Arial" w:hAnsi="Arial" w:cs="Arial"/>
          <w:b/>
          <w:sz w:val="24"/>
          <w:szCs w:val="24"/>
        </w:rPr>
        <w:t>j)</w:t>
      </w:r>
      <w:r w:rsidRPr="00943970">
        <w:rPr>
          <w:rFonts w:ascii="Arial" w:hAnsi="Arial" w:cs="Arial"/>
          <w:b/>
          <w:sz w:val="24"/>
          <w:szCs w:val="24"/>
        </w:rPr>
        <w:tab/>
        <w:t>Derivatives</w:t>
      </w:r>
    </w:p>
    <w:p w:rsidR="000C033D" w:rsidRPr="00943970" w:rsidRDefault="000C033D" w:rsidP="000C033D">
      <w:pPr>
        <w:widowControl w:val="0"/>
        <w:tabs>
          <w:tab w:val="left" w:pos="180"/>
          <w:tab w:val="right" w:pos="3060"/>
          <w:tab w:val="right" w:pos="4150"/>
        </w:tabs>
        <w:rPr>
          <w:rFonts w:ascii="Arial" w:hAnsi="Arial" w:cs="Arial"/>
          <w:snapToGrid w:val="0"/>
          <w:color w:val="000000"/>
          <w:sz w:val="24"/>
        </w:rPr>
      </w:pPr>
    </w:p>
    <w:p w:rsidR="000C033D" w:rsidRPr="00943970" w:rsidRDefault="000C033D" w:rsidP="000C033D">
      <w:pPr>
        <w:widowControl w:val="0"/>
        <w:tabs>
          <w:tab w:val="left" w:pos="0"/>
          <w:tab w:val="right" w:pos="3060"/>
          <w:tab w:val="right" w:pos="4150"/>
        </w:tabs>
        <w:rPr>
          <w:rFonts w:ascii="Arial" w:hAnsi="Arial" w:cs="Arial"/>
          <w:snapToGrid w:val="0"/>
          <w:color w:val="000000"/>
          <w:sz w:val="24"/>
        </w:rPr>
      </w:pPr>
      <w:r w:rsidRPr="00943970">
        <w:rPr>
          <w:rFonts w:ascii="Arial" w:hAnsi="Arial" w:cs="Arial"/>
          <w:snapToGrid w:val="0"/>
          <w:color w:val="000000"/>
          <w:sz w:val="24"/>
        </w:rPr>
        <w:t>The Fund</w:t>
      </w:r>
      <w:r w:rsidR="002C69DB" w:rsidRPr="00943970">
        <w:rPr>
          <w:rFonts w:ascii="Arial" w:hAnsi="Arial" w:cs="Arial"/>
          <w:snapToGrid w:val="0"/>
          <w:color w:val="000000"/>
          <w:sz w:val="24"/>
        </w:rPr>
        <w:t xml:space="preserve"> does not use</w:t>
      </w:r>
      <w:r w:rsidRPr="00943970">
        <w:rPr>
          <w:rFonts w:ascii="Arial" w:hAnsi="Arial" w:cs="Arial"/>
          <w:snapToGrid w:val="0"/>
          <w:color w:val="000000"/>
          <w:sz w:val="24"/>
        </w:rPr>
        <w:t xml:space="preserve"> </w:t>
      </w:r>
      <w:r w:rsidR="002C69DB" w:rsidRPr="00943970">
        <w:rPr>
          <w:rFonts w:ascii="Arial" w:hAnsi="Arial" w:cs="Arial"/>
          <w:snapToGrid w:val="0"/>
          <w:color w:val="000000"/>
          <w:sz w:val="24"/>
        </w:rPr>
        <w:t>d</w:t>
      </w:r>
      <w:r w:rsidRPr="00943970">
        <w:rPr>
          <w:rFonts w:ascii="Arial" w:hAnsi="Arial" w:cs="Arial"/>
          <w:snapToGrid w:val="0"/>
          <w:color w:val="000000"/>
          <w:sz w:val="24"/>
        </w:rPr>
        <w:t xml:space="preserve">erivative financial instruments to manage its exposure to specific risks arising </w:t>
      </w:r>
      <w:r w:rsidR="002C69DB" w:rsidRPr="00943970">
        <w:rPr>
          <w:rFonts w:ascii="Arial" w:hAnsi="Arial" w:cs="Arial"/>
          <w:snapToGrid w:val="0"/>
          <w:color w:val="000000"/>
          <w:sz w:val="24"/>
        </w:rPr>
        <w:t>from its investment activities</w:t>
      </w:r>
      <w:r w:rsidR="00561120" w:rsidRPr="00943970">
        <w:rPr>
          <w:rFonts w:ascii="Arial" w:hAnsi="Arial" w:cs="Arial"/>
          <w:snapToGrid w:val="0"/>
          <w:color w:val="000000"/>
          <w:sz w:val="24"/>
        </w:rPr>
        <w:t xml:space="preserve"> in its own name</w:t>
      </w:r>
      <w:r w:rsidR="002C69DB" w:rsidRPr="00943970">
        <w:rPr>
          <w:rFonts w:ascii="Arial" w:hAnsi="Arial" w:cs="Arial"/>
          <w:snapToGrid w:val="0"/>
          <w:color w:val="000000"/>
          <w:sz w:val="24"/>
        </w:rPr>
        <w:t xml:space="preserve">. Neither does </w:t>
      </w:r>
      <w:r w:rsidR="00506345" w:rsidRPr="00943970">
        <w:rPr>
          <w:rFonts w:ascii="Arial" w:hAnsi="Arial" w:cs="Arial"/>
          <w:snapToGrid w:val="0"/>
          <w:color w:val="000000"/>
          <w:sz w:val="24"/>
        </w:rPr>
        <w:t>it</w:t>
      </w:r>
      <w:r w:rsidRPr="00943970">
        <w:rPr>
          <w:rFonts w:ascii="Arial" w:hAnsi="Arial" w:cs="Arial"/>
          <w:snapToGrid w:val="0"/>
          <w:color w:val="000000"/>
          <w:sz w:val="24"/>
        </w:rPr>
        <w:t xml:space="preserve"> hold derivatives for speculative purposes.</w:t>
      </w:r>
    </w:p>
    <w:p w:rsidR="000C033D" w:rsidRPr="0072122C" w:rsidRDefault="000C033D" w:rsidP="000C033D">
      <w:pPr>
        <w:widowControl w:val="0"/>
        <w:tabs>
          <w:tab w:val="left" w:pos="0"/>
          <w:tab w:val="right" w:pos="3060"/>
          <w:tab w:val="right" w:pos="4150"/>
        </w:tabs>
        <w:rPr>
          <w:rFonts w:ascii="Arial" w:hAnsi="Arial" w:cs="Arial"/>
          <w:snapToGrid w:val="0"/>
          <w:color w:val="000000"/>
          <w:sz w:val="24"/>
        </w:rPr>
      </w:pPr>
    </w:p>
    <w:p w:rsidR="009D5B7B" w:rsidRPr="0072122C" w:rsidRDefault="009D5B7B" w:rsidP="009D5B7B">
      <w:pPr>
        <w:widowControl w:val="0"/>
        <w:tabs>
          <w:tab w:val="left" w:pos="600"/>
          <w:tab w:val="right" w:pos="3060"/>
          <w:tab w:val="right" w:pos="4150"/>
        </w:tabs>
        <w:rPr>
          <w:rFonts w:ascii="Arial" w:hAnsi="Arial" w:cs="Arial"/>
          <w:sz w:val="24"/>
          <w:szCs w:val="24"/>
        </w:rPr>
      </w:pPr>
      <w:r w:rsidRPr="0072122C">
        <w:rPr>
          <w:rFonts w:ascii="Arial" w:hAnsi="Arial" w:cs="Arial"/>
          <w:b/>
          <w:sz w:val="24"/>
          <w:szCs w:val="24"/>
        </w:rPr>
        <w:t>k)</w:t>
      </w:r>
      <w:r w:rsidRPr="0072122C">
        <w:rPr>
          <w:rFonts w:ascii="Arial" w:hAnsi="Arial" w:cs="Arial"/>
          <w:b/>
          <w:sz w:val="24"/>
          <w:szCs w:val="24"/>
        </w:rPr>
        <w:tab/>
        <w:t>Cash and cash equivalents</w:t>
      </w:r>
    </w:p>
    <w:p w:rsidR="009D5B7B" w:rsidRPr="0072122C" w:rsidRDefault="009D5B7B" w:rsidP="009D5B7B">
      <w:pPr>
        <w:widowControl w:val="0"/>
        <w:tabs>
          <w:tab w:val="left" w:pos="180"/>
          <w:tab w:val="right" w:pos="3060"/>
          <w:tab w:val="right" w:pos="4150"/>
        </w:tabs>
        <w:rPr>
          <w:rFonts w:ascii="Arial" w:hAnsi="Arial" w:cs="Arial"/>
          <w:snapToGrid w:val="0"/>
          <w:color w:val="000000"/>
          <w:sz w:val="24"/>
        </w:rPr>
      </w:pPr>
    </w:p>
    <w:p w:rsidR="009D5B7B" w:rsidRPr="0072122C" w:rsidRDefault="009D5B7B" w:rsidP="009D5B7B">
      <w:pPr>
        <w:widowControl w:val="0"/>
        <w:tabs>
          <w:tab w:val="left" w:pos="0"/>
          <w:tab w:val="right" w:pos="3060"/>
          <w:tab w:val="right" w:pos="4150"/>
        </w:tabs>
        <w:rPr>
          <w:rFonts w:ascii="Arial" w:hAnsi="Arial" w:cs="Arial"/>
          <w:snapToGrid w:val="0"/>
          <w:color w:val="000000"/>
          <w:sz w:val="24"/>
        </w:rPr>
      </w:pPr>
      <w:r w:rsidRPr="0072122C">
        <w:rPr>
          <w:rFonts w:ascii="Arial" w:hAnsi="Arial" w:cs="Arial"/>
          <w:snapToGrid w:val="0"/>
          <w:color w:val="000000"/>
          <w:sz w:val="24"/>
        </w:rPr>
        <w:t xml:space="preserve">Cash comprises </w:t>
      </w:r>
      <w:r w:rsidR="005F0204" w:rsidRPr="0072122C">
        <w:rPr>
          <w:rFonts w:ascii="Arial" w:hAnsi="Arial" w:cs="Arial"/>
          <w:snapToGrid w:val="0"/>
          <w:color w:val="000000"/>
          <w:sz w:val="24"/>
        </w:rPr>
        <w:t>cash in hand and demand deposits</w:t>
      </w:r>
      <w:r w:rsidRPr="0072122C">
        <w:rPr>
          <w:rFonts w:ascii="Arial" w:hAnsi="Arial" w:cs="Arial"/>
          <w:snapToGrid w:val="0"/>
          <w:color w:val="000000"/>
          <w:sz w:val="24"/>
        </w:rPr>
        <w:t>.</w:t>
      </w:r>
    </w:p>
    <w:p w:rsidR="005F0204" w:rsidRPr="0072122C" w:rsidRDefault="005F0204" w:rsidP="009D5B7B">
      <w:pPr>
        <w:widowControl w:val="0"/>
        <w:tabs>
          <w:tab w:val="left" w:pos="0"/>
          <w:tab w:val="right" w:pos="3060"/>
          <w:tab w:val="right" w:pos="4150"/>
        </w:tabs>
        <w:rPr>
          <w:rFonts w:ascii="Arial" w:hAnsi="Arial" w:cs="Arial"/>
          <w:snapToGrid w:val="0"/>
          <w:color w:val="000000"/>
          <w:sz w:val="24"/>
        </w:rPr>
      </w:pPr>
    </w:p>
    <w:p w:rsidR="00096DFF" w:rsidRDefault="00096DFF">
      <w:pPr>
        <w:rPr>
          <w:rFonts w:ascii="Arial" w:hAnsi="Arial" w:cs="Arial"/>
          <w:snapToGrid w:val="0"/>
          <w:color w:val="000000"/>
          <w:sz w:val="24"/>
        </w:rPr>
      </w:pPr>
      <w:r>
        <w:rPr>
          <w:rFonts w:ascii="Arial" w:hAnsi="Arial" w:cs="Arial"/>
          <w:snapToGrid w:val="0"/>
          <w:color w:val="000000"/>
          <w:sz w:val="24"/>
        </w:rPr>
        <w:br w:type="page"/>
      </w:r>
    </w:p>
    <w:p w:rsidR="005F0204" w:rsidRPr="0072122C" w:rsidRDefault="005F0204" w:rsidP="009D5B7B">
      <w:pPr>
        <w:widowControl w:val="0"/>
        <w:tabs>
          <w:tab w:val="left" w:pos="0"/>
          <w:tab w:val="right" w:pos="3060"/>
          <w:tab w:val="right" w:pos="4150"/>
        </w:tabs>
        <w:rPr>
          <w:rFonts w:ascii="Arial" w:hAnsi="Arial" w:cs="Arial"/>
          <w:snapToGrid w:val="0"/>
          <w:color w:val="000000"/>
          <w:sz w:val="24"/>
        </w:rPr>
      </w:pPr>
      <w:r w:rsidRPr="0072122C">
        <w:rPr>
          <w:rFonts w:ascii="Arial" w:hAnsi="Arial" w:cs="Arial"/>
          <w:snapToGrid w:val="0"/>
          <w:color w:val="000000"/>
          <w:sz w:val="24"/>
        </w:rPr>
        <w:lastRenderedPageBreak/>
        <w:t>Cash equivalents are short-term, highly liquid investments that are readily convertible to known amounts of cash and that are subject to minimal risk of changes in value.</w:t>
      </w:r>
    </w:p>
    <w:p w:rsidR="005F0204" w:rsidRPr="00ED4CA5" w:rsidRDefault="005F0204" w:rsidP="005F0204">
      <w:pPr>
        <w:widowControl w:val="0"/>
        <w:tabs>
          <w:tab w:val="left" w:pos="600"/>
          <w:tab w:val="right" w:pos="3060"/>
          <w:tab w:val="right" w:pos="4150"/>
        </w:tabs>
        <w:ind w:left="600" w:hanging="600"/>
        <w:rPr>
          <w:rFonts w:ascii="Arial" w:hAnsi="Arial" w:cs="Arial"/>
          <w:sz w:val="24"/>
          <w:szCs w:val="24"/>
        </w:rPr>
      </w:pPr>
    </w:p>
    <w:p w:rsidR="005F0204" w:rsidRPr="00ED4CA5" w:rsidRDefault="005F0204" w:rsidP="005F0204">
      <w:pPr>
        <w:widowControl w:val="0"/>
        <w:tabs>
          <w:tab w:val="left" w:pos="600"/>
          <w:tab w:val="right" w:pos="3060"/>
          <w:tab w:val="right" w:pos="4150"/>
        </w:tabs>
        <w:rPr>
          <w:rFonts w:ascii="Arial" w:hAnsi="Arial" w:cs="Arial"/>
          <w:sz w:val="24"/>
          <w:szCs w:val="24"/>
        </w:rPr>
      </w:pPr>
      <w:r w:rsidRPr="00ED4CA5">
        <w:rPr>
          <w:rFonts w:ascii="Arial" w:hAnsi="Arial" w:cs="Arial"/>
          <w:b/>
          <w:sz w:val="24"/>
          <w:szCs w:val="24"/>
        </w:rPr>
        <w:t>l)</w:t>
      </w:r>
      <w:r w:rsidRPr="00ED4CA5">
        <w:rPr>
          <w:rFonts w:ascii="Arial" w:hAnsi="Arial" w:cs="Arial"/>
          <w:b/>
          <w:sz w:val="24"/>
          <w:szCs w:val="24"/>
        </w:rPr>
        <w:tab/>
        <w:t>Financial liabilities</w:t>
      </w:r>
    </w:p>
    <w:p w:rsidR="005F0204" w:rsidRPr="00ED4CA5" w:rsidRDefault="005F0204" w:rsidP="005F0204">
      <w:pPr>
        <w:widowControl w:val="0"/>
        <w:tabs>
          <w:tab w:val="left" w:pos="180"/>
          <w:tab w:val="right" w:pos="3060"/>
          <w:tab w:val="right" w:pos="4150"/>
        </w:tabs>
        <w:rPr>
          <w:rFonts w:ascii="Arial" w:hAnsi="Arial" w:cs="Arial"/>
          <w:snapToGrid w:val="0"/>
          <w:color w:val="000000"/>
          <w:sz w:val="24"/>
        </w:rPr>
      </w:pPr>
    </w:p>
    <w:p w:rsidR="005F0204" w:rsidRPr="00ED4CA5" w:rsidRDefault="005F0204" w:rsidP="005F0204">
      <w:pPr>
        <w:widowControl w:val="0"/>
        <w:tabs>
          <w:tab w:val="left" w:pos="0"/>
          <w:tab w:val="right" w:pos="3060"/>
          <w:tab w:val="right" w:pos="4150"/>
        </w:tabs>
        <w:rPr>
          <w:rFonts w:ascii="Arial" w:hAnsi="Arial" w:cs="Arial"/>
          <w:snapToGrid w:val="0"/>
          <w:color w:val="000000"/>
          <w:sz w:val="24"/>
        </w:rPr>
      </w:pPr>
      <w:r w:rsidRPr="00ED4CA5">
        <w:rPr>
          <w:rFonts w:ascii="Arial" w:hAnsi="Arial" w:cs="Arial"/>
          <w:snapToGrid w:val="0"/>
          <w:color w:val="000000"/>
          <w:sz w:val="24"/>
        </w:rPr>
        <w:t xml:space="preserve">The Fund recognises financial liabilities at fair value as at the reporting date. A financial </w:t>
      </w:r>
      <w:r w:rsidR="008A6088" w:rsidRPr="00ED4CA5">
        <w:rPr>
          <w:rFonts w:ascii="Arial" w:hAnsi="Arial" w:cs="Arial"/>
          <w:snapToGrid w:val="0"/>
          <w:color w:val="000000"/>
          <w:sz w:val="24"/>
        </w:rPr>
        <w:t>liability is recognised in the Net Assets S</w:t>
      </w:r>
      <w:r w:rsidRPr="00ED4CA5">
        <w:rPr>
          <w:rFonts w:ascii="Arial" w:hAnsi="Arial" w:cs="Arial"/>
          <w:snapToGrid w:val="0"/>
          <w:color w:val="000000"/>
          <w:sz w:val="24"/>
        </w:rPr>
        <w:t>tatement on the date the Fund becomes party to the liability. From this date</w:t>
      </w:r>
      <w:r w:rsidR="00ED4CA5" w:rsidRPr="00ED4CA5">
        <w:rPr>
          <w:rFonts w:ascii="Arial" w:hAnsi="Arial" w:cs="Arial"/>
          <w:snapToGrid w:val="0"/>
          <w:color w:val="000000"/>
          <w:sz w:val="24"/>
        </w:rPr>
        <w:t>,</w:t>
      </w:r>
      <w:r w:rsidRPr="00ED4CA5">
        <w:rPr>
          <w:rFonts w:ascii="Arial" w:hAnsi="Arial" w:cs="Arial"/>
          <w:snapToGrid w:val="0"/>
          <w:color w:val="000000"/>
          <w:sz w:val="24"/>
        </w:rPr>
        <w:t xml:space="preserve"> any gains or losses arising from changes in the fair value of the liability are recognised by the Fund.</w:t>
      </w:r>
    </w:p>
    <w:p w:rsidR="00ED4CA5" w:rsidRDefault="00ED4CA5">
      <w:pPr>
        <w:rPr>
          <w:rFonts w:ascii="Arial" w:hAnsi="Arial" w:cs="Arial"/>
          <w:b/>
          <w:sz w:val="24"/>
          <w:szCs w:val="24"/>
          <w:highlight w:val="yellow"/>
        </w:rPr>
      </w:pPr>
    </w:p>
    <w:p w:rsidR="005F0204" w:rsidRPr="0043660F" w:rsidRDefault="005F0204" w:rsidP="005F0204">
      <w:pPr>
        <w:widowControl w:val="0"/>
        <w:tabs>
          <w:tab w:val="left" w:pos="600"/>
          <w:tab w:val="right" w:pos="3060"/>
          <w:tab w:val="right" w:pos="4150"/>
        </w:tabs>
        <w:rPr>
          <w:rFonts w:ascii="Arial" w:hAnsi="Arial" w:cs="Arial"/>
          <w:sz w:val="24"/>
          <w:szCs w:val="24"/>
        </w:rPr>
      </w:pPr>
      <w:r w:rsidRPr="0043660F">
        <w:rPr>
          <w:rFonts w:ascii="Arial" w:hAnsi="Arial" w:cs="Arial"/>
          <w:b/>
          <w:sz w:val="24"/>
          <w:szCs w:val="24"/>
        </w:rPr>
        <w:t>m)</w:t>
      </w:r>
      <w:r w:rsidRPr="0043660F">
        <w:rPr>
          <w:rFonts w:ascii="Arial" w:hAnsi="Arial" w:cs="Arial"/>
          <w:b/>
          <w:sz w:val="24"/>
          <w:szCs w:val="24"/>
        </w:rPr>
        <w:tab/>
        <w:t>Actuarial present value of promised retirement benefits</w:t>
      </w:r>
    </w:p>
    <w:p w:rsidR="005F0204" w:rsidRPr="0043660F" w:rsidRDefault="005F0204" w:rsidP="005F0204">
      <w:pPr>
        <w:widowControl w:val="0"/>
        <w:tabs>
          <w:tab w:val="left" w:pos="180"/>
          <w:tab w:val="right" w:pos="3060"/>
          <w:tab w:val="right" w:pos="4150"/>
        </w:tabs>
        <w:rPr>
          <w:rFonts w:ascii="Arial" w:hAnsi="Arial" w:cs="Arial"/>
          <w:snapToGrid w:val="0"/>
          <w:color w:val="000000"/>
          <w:sz w:val="24"/>
        </w:rPr>
      </w:pPr>
    </w:p>
    <w:p w:rsidR="005F0204" w:rsidRPr="0043660F" w:rsidRDefault="005F0204" w:rsidP="005F0204">
      <w:pPr>
        <w:widowControl w:val="0"/>
        <w:tabs>
          <w:tab w:val="left" w:pos="0"/>
          <w:tab w:val="right" w:pos="3060"/>
          <w:tab w:val="right" w:pos="4150"/>
        </w:tabs>
        <w:rPr>
          <w:rFonts w:ascii="Arial" w:hAnsi="Arial" w:cs="Arial"/>
          <w:snapToGrid w:val="0"/>
          <w:color w:val="000000"/>
          <w:sz w:val="24"/>
        </w:rPr>
      </w:pPr>
      <w:r w:rsidRPr="0043660F">
        <w:rPr>
          <w:rFonts w:ascii="Arial" w:hAnsi="Arial" w:cs="Arial"/>
          <w:snapToGrid w:val="0"/>
          <w:color w:val="000000"/>
          <w:sz w:val="24"/>
        </w:rPr>
        <w:t>The actuarial present value of promised retirement benefits is assess</w:t>
      </w:r>
      <w:r w:rsidR="00ED4CA5" w:rsidRPr="0043660F">
        <w:rPr>
          <w:rFonts w:ascii="Arial" w:hAnsi="Arial" w:cs="Arial"/>
          <w:snapToGrid w:val="0"/>
          <w:color w:val="000000"/>
          <w:sz w:val="24"/>
        </w:rPr>
        <w:t>ed on a triennial basis by the s</w:t>
      </w:r>
      <w:r w:rsidRPr="0043660F">
        <w:rPr>
          <w:rFonts w:ascii="Arial" w:hAnsi="Arial" w:cs="Arial"/>
          <w:snapToGrid w:val="0"/>
          <w:color w:val="000000"/>
          <w:sz w:val="24"/>
        </w:rPr>
        <w:t>cheme actuary in accordance with the requirements of IAS 19 and relevant actuarial standards.</w:t>
      </w:r>
    </w:p>
    <w:p w:rsidR="005F0204" w:rsidRPr="0043660F" w:rsidRDefault="005F0204" w:rsidP="005F0204">
      <w:pPr>
        <w:widowControl w:val="0"/>
        <w:tabs>
          <w:tab w:val="left" w:pos="0"/>
          <w:tab w:val="right" w:pos="3060"/>
          <w:tab w:val="right" w:pos="4150"/>
        </w:tabs>
        <w:rPr>
          <w:rFonts w:ascii="Arial" w:hAnsi="Arial" w:cs="Arial"/>
          <w:snapToGrid w:val="0"/>
          <w:color w:val="000000"/>
          <w:sz w:val="24"/>
        </w:rPr>
      </w:pPr>
    </w:p>
    <w:p w:rsidR="005F0204" w:rsidRPr="0043660F" w:rsidRDefault="005F0204" w:rsidP="005F0204">
      <w:pPr>
        <w:widowControl w:val="0"/>
        <w:tabs>
          <w:tab w:val="left" w:pos="0"/>
          <w:tab w:val="right" w:pos="3060"/>
          <w:tab w:val="right" w:pos="4150"/>
        </w:tabs>
        <w:rPr>
          <w:rFonts w:ascii="Arial" w:hAnsi="Arial" w:cs="Arial"/>
          <w:snapToGrid w:val="0"/>
          <w:color w:val="000000"/>
          <w:sz w:val="24"/>
        </w:rPr>
      </w:pPr>
      <w:r w:rsidRPr="0043660F">
        <w:rPr>
          <w:rFonts w:ascii="Arial" w:hAnsi="Arial" w:cs="Arial"/>
          <w:snapToGrid w:val="0"/>
          <w:color w:val="000000"/>
          <w:sz w:val="24"/>
        </w:rPr>
        <w:t>As permitted under IAS 26, the Fund has opted to disclose the actuarial present value of promised retirement be</w:t>
      </w:r>
      <w:r w:rsidR="008A6088" w:rsidRPr="0043660F">
        <w:rPr>
          <w:rFonts w:ascii="Arial" w:hAnsi="Arial" w:cs="Arial"/>
          <w:snapToGrid w:val="0"/>
          <w:color w:val="000000"/>
          <w:sz w:val="24"/>
        </w:rPr>
        <w:t>nefits by way of a note to the Net Assets S</w:t>
      </w:r>
      <w:r w:rsidR="00F666FC">
        <w:rPr>
          <w:rFonts w:ascii="Arial" w:hAnsi="Arial" w:cs="Arial"/>
          <w:snapToGrid w:val="0"/>
          <w:color w:val="000000"/>
          <w:sz w:val="24"/>
        </w:rPr>
        <w:t>tatement (Note 18</w:t>
      </w:r>
      <w:r w:rsidRPr="0043660F">
        <w:rPr>
          <w:rFonts w:ascii="Arial" w:hAnsi="Arial" w:cs="Arial"/>
          <w:snapToGrid w:val="0"/>
          <w:color w:val="000000"/>
          <w:sz w:val="24"/>
        </w:rPr>
        <w:t>).</w:t>
      </w:r>
    </w:p>
    <w:p w:rsidR="005F0204" w:rsidRPr="00FA0850" w:rsidRDefault="005F0204" w:rsidP="005F0204">
      <w:pPr>
        <w:widowControl w:val="0"/>
        <w:tabs>
          <w:tab w:val="left" w:pos="0"/>
          <w:tab w:val="right" w:pos="3060"/>
          <w:tab w:val="right" w:pos="4150"/>
        </w:tabs>
        <w:rPr>
          <w:rFonts w:ascii="Arial" w:hAnsi="Arial" w:cs="Arial"/>
          <w:snapToGrid w:val="0"/>
          <w:color w:val="000000"/>
          <w:sz w:val="24"/>
        </w:rPr>
      </w:pPr>
    </w:p>
    <w:p w:rsidR="005F0204" w:rsidRPr="00FA0850" w:rsidRDefault="005F0204" w:rsidP="005F0204">
      <w:pPr>
        <w:widowControl w:val="0"/>
        <w:tabs>
          <w:tab w:val="left" w:pos="600"/>
          <w:tab w:val="right" w:pos="3060"/>
          <w:tab w:val="right" w:pos="4150"/>
        </w:tabs>
        <w:rPr>
          <w:rFonts w:ascii="Arial" w:hAnsi="Arial" w:cs="Arial"/>
          <w:sz w:val="24"/>
          <w:szCs w:val="24"/>
        </w:rPr>
      </w:pPr>
      <w:r w:rsidRPr="00FA0850">
        <w:rPr>
          <w:rFonts w:ascii="Arial" w:hAnsi="Arial" w:cs="Arial"/>
          <w:b/>
          <w:sz w:val="24"/>
          <w:szCs w:val="24"/>
        </w:rPr>
        <w:t>n)</w:t>
      </w:r>
      <w:r w:rsidRPr="00FA0850">
        <w:rPr>
          <w:rFonts w:ascii="Arial" w:hAnsi="Arial" w:cs="Arial"/>
          <w:b/>
          <w:sz w:val="24"/>
          <w:szCs w:val="24"/>
        </w:rPr>
        <w:tab/>
        <w:t>Additional voluntary contributions</w:t>
      </w:r>
    </w:p>
    <w:p w:rsidR="005F0204" w:rsidRPr="00FA0850" w:rsidRDefault="005F0204" w:rsidP="005F0204">
      <w:pPr>
        <w:widowControl w:val="0"/>
        <w:tabs>
          <w:tab w:val="left" w:pos="180"/>
          <w:tab w:val="right" w:pos="3060"/>
          <w:tab w:val="right" w:pos="4150"/>
        </w:tabs>
        <w:rPr>
          <w:rFonts w:ascii="Arial" w:hAnsi="Arial" w:cs="Arial"/>
          <w:snapToGrid w:val="0"/>
          <w:color w:val="000000"/>
          <w:sz w:val="24"/>
        </w:rPr>
      </w:pPr>
    </w:p>
    <w:p w:rsidR="005F0204" w:rsidRPr="00FA0850" w:rsidRDefault="00547533" w:rsidP="005F0204">
      <w:pPr>
        <w:widowControl w:val="0"/>
        <w:tabs>
          <w:tab w:val="left" w:pos="0"/>
          <w:tab w:val="right" w:pos="3060"/>
          <w:tab w:val="right" w:pos="4150"/>
        </w:tabs>
        <w:rPr>
          <w:rFonts w:ascii="Arial" w:hAnsi="Arial" w:cs="Arial"/>
          <w:snapToGrid w:val="0"/>
          <w:color w:val="000000"/>
          <w:sz w:val="24"/>
        </w:rPr>
      </w:pPr>
      <w:r w:rsidRPr="00FA0850">
        <w:rPr>
          <w:rFonts w:ascii="Arial" w:hAnsi="Arial" w:cs="Arial"/>
          <w:snapToGrid w:val="0"/>
          <w:color w:val="000000"/>
          <w:sz w:val="24"/>
        </w:rPr>
        <w:t>Brent</w:t>
      </w:r>
      <w:r w:rsidR="00BD5EDB" w:rsidRPr="00FA0850">
        <w:rPr>
          <w:rFonts w:ascii="Arial" w:hAnsi="Arial" w:cs="Arial"/>
          <w:snapToGrid w:val="0"/>
          <w:color w:val="000000"/>
          <w:sz w:val="24"/>
        </w:rPr>
        <w:t xml:space="preserve"> Pension Fund provides an additional voluntary contributions (AVC) scheme for its members, the assets of which are invested separately from those of the Pension Fund</w:t>
      </w:r>
      <w:r w:rsidR="005F0204" w:rsidRPr="00FA0850">
        <w:rPr>
          <w:rFonts w:ascii="Arial" w:hAnsi="Arial" w:cs="Arial"/>
          <w:snapToGrid w:val="0"/>
          <w:color w:val="000000"/>
          <w:sz w:val="24"/>
        </w:rPr>
        <w:t>.</w:t>
      </w:r>
      <w:r w:rsidR="00F915F2" w:rsidRPr="00FA0850">
        <w:rPr>
          <w:rFonts w:ascii="Arial" w:hAnsi="Arial" w:cs="Arial"/>
          <w:snapToGrid w:val="0"/>
          <w:color w:val="000000"/>
          <w:sz w:val="24"/>
        </w:rPr>
        <w:t xml:space="preserve"> The Fund has appointed </w:t>
      </w:r>
      <w:r w:rsidR="00DB1517">
        <w:rPr>
          <w:rFonts w:ascii="Arial" w:hAnsi="Arial" w:cs="Arial"/>
          <w:snapToGrid w:val="0"/>
          <w:color w:val="000000"/>
          <w:sz w:val="24"/>
        </w:rPr>
        <w:t>Clerical Medical</w:t>
      </w:r>
      <w:r w:rsidR="00F915F2" w:rsidRPr="00FA0850">
        <w:rPr>
          <w:rFonts w:ascii="Arial" w:hAnsi="Arial" w:cs="Arial"/>
          <w:snapToGrid w:val="0"/>
          <w:color w:val="000000"/>
          <w:sz w:val="24"/>
        </w:rPr>
        <w:t xml:space="preserve"> as its AVC provider. AVCs are paid to the AVC provider by employers and are specifically for providing additional benefits for individual contributors.</w:t>
      </w:r>
      <w:r w:rsidR="001556D3" w:rsidRPr="00FA0850">
        <w:rPr>
          <w:rFonts w:ascii="Arial" w:hAnsi="Arial" w:cs="Arial"/>
          <w:snapToGrid w:val="0"/>
          <w:color w:val="000000"/>
          <w:sz w:val="24"/>
        </w:rPr>
        <w:t xml:space="preserve"> Each AVC contributor receives an annual statement showing the amount held in their account and the movements in the year.</w:t>
      </w:r>
    </w:p>
    <w:p w:rsidR="00070832" w:rsidRPr="00FA0850" w:rsidRDefault="00070832" w:rsidP="005F0204">
      <w:pPr>
        <w:widowControl w:val="0"/>
        <w:tabs>
          <w:tab w:val="left" w:pos="0"/>
          <w:tab w:val="right" w:pos="3060"/>
          <w:tab w:val="right" w:pos="4150"/>
        </w:tabs>
        <w:rPr>
          <w:rFonts w:ascii="Arial" w:hAnsi="Arial" w:cs="Arial"/>
          <w:snapToGrid w:val="0"/>
          <w:color w:val="000000"/>
          <w:sz w:val="24"/>
        </w:rPr>
      </w:pPr>
    </w:p>
    <w:p w:rsidR="00070832" w:rsidRPr="003D2F7A" w:rsidRDefault="00070832" w:rsidP="005F0204">
      <w:pPr>
        <w:widowControl w:val="0"/>
        <w:tabs>
          <w:tab w:val="left" w:pos="0"/>
          <w:tab w:val="right" w:pos="3060"/>
          <w:tab w:val="right" w:pos="4150"/>
        </w:tabs>
        <w:rPr>
          <w:rFonts w:ascii="Arial" w:hAnsi="Arial" w:cs="Arial"/>
          <w:snapToGrid w:val="0"/>
          <w:color w:val="000000"/>
          <w:sz w:val="24"/>
          <w:highlight w:val="yellow"/>
        </w:rPr>
      </w:pPr>
      <w:r w:rsidRPr="00FA0850">
        <w:rPr>
          <w:rFonts w:ascii="Arial" w:hAnsi="Arial" w:cs="Arial"/>
          <w:snapToGrid w:val="0"/>
          <w:color w:val="000000"/>
          <w:sz w:val="24"/>
        </w:rPr>
        <w:t>AVCs are not included in the accounts in accordance with section 4(2)(b) of the Local Government Pension Scheme (Management and Investment of Funds) Regulations 2009</w:t>
      </w:r>
      <w:r w:rsidR="008249FA" w:rsidRPr="00FA0850">
        <w:rPr>
          <w:rFonts w:ascii="Arial" w:hAnsi="Arial" w:cs="Arial"/>
          <w:snapToGrid w:val="0"/>
          <w:color w:val="000000"/>
          <w:sz w:val="24"/>
        </w:rPr>
        <w:t xml:space="preserve"> (SI 2009/3093) but are disclosed as a note </w:t>
      </w:r>
      <w:r w:rsidR="008249FA" w:rsidRPr="00AE31FE">
        <w:rPr>
          <w:rFonts w:ascii="Arial" w:hAnsi="Arial" w:cs="Arial"/>
          <w:snapToGrid w:val="0"/>
          <w:color w:val="000000"/>
          <w:sz w:val="24"/>
        </w:rPr>
        <w:t xml:space="preserve">only </w:t>
      </w:r>
      <w:r w:rsidR="008956AC" w:rsidRPr="00AE31FE">
        <w:rPr>
          <w:rFonts w:ascii="Arial" w:hAnsi="Arial" w:cs="Arial"/>
          <w:snapToGrid w:val="0"/>
          <w:color w:val="000000"/>
          <w:sz w:val="24"/>
        </w:rPr>
        <w:t>(N</w:t>
      </w:r>
      <w:r w:rsidR="00F666FC">
        <w:rPr>
          <w:rFonts w:ascii="Arial" w:hAnsi="Arial" w:cs="Arial"/>
          <w:snapToGrid w:val="0"/>
          <w:color w:val="000000"/>
          <w:sz w:val="24"/>
        </w:rPr>
        <w:t>ote 22</w:t>
      </w:r>
      <w:r w:rsidR="008249FA" w:rsidRPr="00AE31FE">
        <w:rPr>
          <w:rFonts w:ascii="Arial" w:hAnsi="Arial" w:cs="Arial"/>
          <w:snapToGrid w:val="0"/>
          <w:color w:val="000000"/>
          <w:sz w:val="24"/>
        </w:rPr>
        <w:t>).</w:t>
      </w:r>
    </w:p>
    <w:p w:rsidR="00D64713" w:rsidRPr="00C45DCF" w:rsidRDefault="00D64713" w:rsidP="0085383D">
      <w:pPr>
        <w:widowControl w:val="0"/>
        <w:tabs>
          <w:tab w:val="left" w:pos="180"/>
          <w:tab w:val="right" w:pos="3060"/>
          <w:tab w:val="right" w:pos="4150"/>
        </w:tabs>
        <w:rPr>
          <w:rFonts w:ascii="Arial" w:hAnsi="Arial" w:cs="Arial"/>
          <w:b/>
          <w:snapToGrid w:val="0"/>
          <w:color w:val="000000"/>
          <w:sz w:val="24"/>
        </w:rPr>
      </w:pPr>
    </w:p>
    <w:p w:rsidR="00FA0850" w:rsidRPr="00C45DCF" w:rsidRDefault="00FA0850" w:rsidP="0085383D">
      <w:pPr>
        <w:widowControl w:val="0"/>
        <w:tabs>
          <w:tab w:val="left" w:pos="180"/>
          <w:tab w:val="right" w:pos="3060"/>
          <w:tab w:val="right" w:pos="4150"/>
        </w:tabs>
        <w:rPr>
          <w:rFonts w:ascii="Arial" w:hAnsi="Arial" w:cs="Arial"/>
          <w:b/>
          <w:snapToGrid w:val="0"/>
          <w:color w:val="000000"/>
          <w:sz w:val="24"/>
        </w:rPr>
      </w:pPr>
    </w:p>
    <w:p w:rsidR="007E7358" w:rsidRPr="00C45DCF" w:rsidRDefault="00A455F3" w:rsidP="0085383D">
      <w:pPr>
        <w:widowControl w:val="0"/>
        <w:tabs>
          <w:tab w:val="left" w:pos="180"/>
          <w:tab w:val="right" w:pos="3060"/>
          <w:tab w:val="right" w:pos="4150"/>
        </w:tabs>
        <w:rPr>
          <w:rFonts w:ascii="Arial" w:hAnsi="Arial" w:cs="Arial"/>
          <w:snapToGrid w:val="0"/>
          <w:color w:val="000000"/>
          <w:sz w:val="24"/>
        </w:rPr>
      </w:pPr>
      <w:r w:rsidRPr="00C45DCF">
        <w:rPr>
          <w:rFonts w:ascii="Arial" w:hAnsi="Arial" w:cs="Arial"/>
          <w:b/>
          <w:snapToGrid w:val="0"/>
          <w:color w:val="000000"/>
          <w:sz w:val="24"/>
        </w:rPr>
        <w:t xml:space="preserve">4. </w:t>
      </w:r>
      <w:r w:rsidR="0083647D" w:rsidRPr="00C45DCF">
        <w:rPr>
          <w:rFonts w:ascii="Arial" w:hAnsi="Arial" w:cs="Arial"/>
          <w:b/>
          <w:snapToGrid w:val="0"/>
          <w:color w:val="000000"/>
          <w:sz w:val="24"/>
        </w:rPr>
        <w:t xml:space="preserve"> </w:t>
      </w:r>
      <w:r w:rsidR="005A19EE" w:rsidRPr="00C45DCF">
        <w:rPr>
          <w:rFonts w:ascii="Arial" w:hAnsi="Arial" w:cs="Arial"/>
          <w:b/>
          <w:snapToGrid w:val="0"/>
          <w:color w:val="000000"/>
          <w:sz w:val="24"/>
        </w:rPr>
        <w:t>C</w:t>
      </w:r>
      <w:r w:rsidRPr="00C45DCF">
        <w:rPr>
          <w:rFonts w:ascii="Arial" w:hAnsi="Arial" w:cs="Arial"/>
          <w:b/>
          <w:snapToGrid w:val="0"/>
          <w:color w:val="000000"/>
          <w:sz w:val="24"/>
        </w:rPr>
        <w:t>ritical judgements in applying accounting policies</w:t>
      </w:r>
    </w:p>
    <w:p w:rsidR="007E7358" w:rsidRPr="00C45DCF" w:rsidRDefault="007E7358" w:rsidP="0085383D">
      <w:pPr>
        <w:widowControl w:val="0"/>
        <w:tabs>
          <w:tab w:val="left" w:pos="180"/>
          <w:tab w:val="right" w:pos="3060"/>
          <w:tab w:val="right" w:pos="4150"/>
        </w:tabs>
        <w:rPr>
          <w:rFonts w:ascii="Arial" w:hAnsi="Arial" w:cs="Arial"/>
          <w:snapToGrid w:val="0"/>
          <w:color w:val="000000"/>
          <w:sz w:val="24"/>
        </w:rPr>
      </w:pPr>
    </w:p>
    <w:p w:rsidR="005A19EE" w:rsidRPr="00C45DCF" w:rsidRDefault="005A19EE" w:rsidP="0085383D">
      <w:pPr>
        <w:widowControl w:val="0"/>
        <w:tabs>
          <w:tab w:val="left" w:pos="180"/>
          <w:tab w:val="right" w:pos="3060"/>
          <w:tab w:val="right" w:pos="4150"/>
        </w:tabs>
        <w:rPr>
          <w:rFonts w:ascii="Arial" w:hAnsi="Arial" w:cs="Arial"/>
          <w:b/>
          <w:snapToGrid w:val="0"/>
          <w:color w:val="000000"/>
          <w:sz w:val="24"/>
        </w:rPr>
      </w:pPr>
      <w:r w:rsidRPr="00C45DCF">
        <w:rPr>
          <w:rFonts w:ascii="Arial" w:hAnsi="Arial" w:cs="Arial"/>
          <w:b/>
          <w:snapToGrid w:val="0"/>
          <w:color w:val="000000"/>
          <w:sz w:val="24"/>
        </w:rPr>
        <w:t>Unquoted private equity</w:t>
      </w:r>
      <w:r w:rsidR="000E04C0">
        <w:rPr>
          <w:rFonts w:ascii="Arial" w:hAnsi="Arial" w:cs="Arial"/>
          <w:b/>
          <w:snapToGrid w:val="0"/>
          <w:color w:val="000000"/>
          <w:sz w:val="24"/>
        </w:rPr>
        <w:t>/infrastructure</w:t>
      </w:r>
      <w:r w:rsidRPr="00C45DCF">
        <w:rPr>
          <w:rFonts w:ascii="Arial" w:hAnsi="Arial" w:cs="Arial"/>
          <w:b/>
          <w:snapToGrid w:val="0"/>
          <w:color w:val="000000"/>
          <w:sz w:val="24"/>
        </w:rPr>
        <w:t xml:space="preserve"> investments</w:t>
      </w:r>
    </w:p>
    <w:p w:rsidR="005A19EE" w:rsidRPr="00C45DCF" w:rsidRDefault="005A19EE" w:rsidP="0085383D">
      <w:pPr>
        <w:widowControl w:val="0"/>
        <w:tabs>
          <w:tab w:val="left" w:pos="180"/>
          <w:tab w:val="right" w:pos="3060"/>
          <w:tab w:val="right" w:pos="4150"/>
        </w:tabs>
        <w:rPr>
          <w:rFonts w:ascii="Arial" w:hAnsi="Arial" w:cs="Arial"/>
          <w:color w:val="000000"/>
          <w:sz w:val="24"/>
          <w:szCs w:val="24"/>
        </w:rPr>
      </w:pPr>
    </w:p>
    <w:p w:rsidR="005A19EE" w:rsidRPr="007D69D8" w:rsidRDefault="005A19EE" w:rsidP="0085383D">
      <w:pPr>
        <w:widowControl w:val="0"/>
        <w:tabs>
          <w:tab w:val="left" w:pos="180"/>
          <w:tab w:val="right" w:pos="3060"/>
          <w:tab w:val="right" w:pos="4150"/>
        </w:tabs>
        <w:rPr>
          <w:rFonts w:ascii="Arial" w:hAnsi="Arial" w:cs="Arial"/>
          <w:color w:val="000000"/>
          <w:sz w:val="24"/>
          <w:szCs w:val="24"/>
        </w:rPr>
      </w:pPr>
      <w:r w:rsidRPr="00C45DCF">
        <w:rPr>
          <w:rFonts w:ascii="Arial" w:hAnsi="Arial" w:cs="Arial"/>
          <w:color w:val="000000"/>
          <w:sz w:val="24"/>
          <w:szCs w:val="24"/>
        </w:rPr>
        <w:t>It is important to recognise the highly subjective nature of determining the fair value of private equity investments. They are inherently based on forward-looking estimates and judgements involving many factors.</w:t>
      </w:r>
      <w:r w:rsidR="00522EA8" w:rsidRPr="00C45DCF">
        <w:rPr>
          <w:rFonts w:ascii="Arial" w:hAnsi="Arial" w:cs="Arial"/>
          <w:color w:val="000000"/>
          <w:sz w:val="24"/>
          <w:szCs w:val="24"/>
        </w:rPr>
        <w:t xml:space="preserve"> </w:t>
      </w:r>
      <w:r w:rsidR="00C45DCF">
        <w:rPr>
          <w:rFonts w:ascii="Arial" w:hAnsi="Arial" w:cs="Arial"/>
          <w:color w:val="000000"/>
          <w:sz w:val="24"/>
          <w:szCs w:val="24"/>
        </w:rPr>
        <w:t>Unquoted private equities</w:t>
      </w:r>
      <w:r w:rsidR="00D8082D">
        <w:rPr>
          <w:rFonts w:ascii="Arial" w:hAnsi="Arial" w:cs="Arial"/>
          <w:color w:val="000000"/>
          <w:sz w:val="24"/>
          <w:szCs w:val="24"/>
        </w:rPr>
        <w:t xml:space="preserve"> and infrastructure investments</w:t>
      </w:r>
      <w:r w:rsidR="00C45DCF">
        <w:rPr>
          <w:rFonts w:ascii="Arial" w:hAnsi="Arial" w:cs="Arial"/>
          <w:color w:val="000000"/>
          <w:sz w:val="24"/>
          <w:szCs w:val="24"/>
        </w:rPr>
        <w:t xml:space="preserve"> are valued by the investment managers using guidelines set out by the British Venture Capital Association. </w:t>
      </w:r>
      <w:r w:rsidRPr="007D69D8">
        <w:rPr>
          <w:rFonts w:ascii="Arial" w:hAnsi="Arial" w:cs="Arial"/>
          <w:color w:val="000000"/>
          <w:sz w:val="24"/>
          <w:szCs w:val="24"/>
        </w:rPr>
        <w:t>The value of unquoted private equities</w:t>
      </w:r>
      <w:r w:rsidR="000E04C0">
        <w:rPr>
          <w:rFonts w:ascii="Arial" w:hAnsi="Arial" w:cs="Arial"/>
          <w:color w:val="000000"/>
          <w:sz w:val="24"/>
          <w:szCs w:val="24"/>
        </w:rPr>
        <w:t xml:space="preserve"> and infrastructure investments</w:t>
      </w:r>
      <w:r w:rsidRPr="007D69D8">
        <w:rPr>
          <w:rFonts w:ascii="Arial" w:hAnsi="Arial" w:cs="Arial"/>
          <w:color w:val="000000"/>
          <w:sz w:val="24"/>
          <w:szCs w:val="24"/>
        </w:rPr>
        <w:t xml:space="preserve"> at 31 March 201</w:t>
      </w:r>
      <w:r w:rsidR="007D69D8" w:rsidRPr="007D69D8">
        <w:rPr>
          <w:rFonts w:ascii="Arial" w:hAnsi="Arial" w:cs="Arial"/>
          <w:color w:val="000000"/>
          <w:sz w:val="24"/>
          <w:szCs w:val="24"/>
        </w:rPr>
        <w:t>3</w:t>
      </w:r>
      <w:r w:rsidRPr="007D69D8">
        <w:rPr>
          <w:rFonts w:ascii="Arial" w:hAnsi="Arial" w:cs="Arial"/>
          <w:color w:val="000000"/>
          <w:sz w:val="24"/>
          <w:szCs w:val="24"/>
        </w:rPr>
        <w:t xml:space="preserve"> </w:t>
      </w:r>
      <w:r w:rsidRPr="001C2289">
        <w:rPr>
          <w:rFonts w:ascii="Arial" w:hAnsi="Arial" w:cs="Arial"/>
          <w:color w:val="000000"/>
          <w:sz w:val="24"/>
          <w:szCs w:val="24"/>
        </w:rPr>
        <w:t xml:space="preserve">was </w:t>
      </w:r>
      <w:r w:rsidR="001C2289" w:rsidRPr="001C2289">
        <w:rPr>
          <w:rFonts w:ascii="Arial" w:hAnsi="Arial" w:cs="Arial"/>
          <w:color w:val="000000"/>
          <w:sz w:val="24"/>
          <w:szCs w:val="24"/>
        </w:rPr>
        <w:t>£100</w:t>
      </w:r>
      <w:r w:rsidRPr="001C2289">
        <w:rPr>
          <w:rFonts w:ascii="Arial" w:hAnsi="Arial" w:cs="Arial"/>
          <w:color w:val="000000"/>
          <w:sz w:val="24"/>
          <w:szCs w:val="24"/>
        </w:rPr>
        <w:t>m</w:t>
      </w:r>
      <w:r w:rsidRPr="007D69D8">
        <w:rPr>
          <w:rFonts w:ascii="Arial" w:hAnsi="Arial" w:cs="Arial"/>
          <w:color w:val="000000"/>
          <w:sz w:val="24"/>
          <w:szCs w:val="24"/>
        </w:rPr>
        <w:t xml:space="preserve"> </w:t>
      </w:r>
      <w:r w:rsidR="007D69D8" w:rsidRPr="002767DF">
        <w:rPr>
          <w:rFonts w:ascii="Arial" w:hAnsi="Arial" w:cs="Arial"/>
          <w:color w:val="000000"/>
          <w:sz w:val="24"/>
          <w:szCs w:val="24"/>
        </w:rPr>
        <w:t>(</w:t>
      </w:r>
      <w:r w:rsidR="002767DF" w:rsidRPr="002767DF">
        <w:rPr>
          <w:rFonts w:ascii="Arial" w:hAnsi="Arial" w:cs="Arial"/>
          <w:color w:val="000000"/>
          <w:sz w:val="24"/>
          <w:szCs w:val="24"/>
        </w:rPr>
        <w:t>£81</w:t>
      </w:r>
      <w:r w:rsidR="007D69D8" w:rsidRPr="002767DF">
        <w:rPr>
          <w:rFonts w:ascii="Arial" w:hAnsi="Arial" w:cs="Arial"/>
          <w:color w:val="000000"/>
          <w:sz w:val="24"/>
          <w:szCs w:val="24"/>
        </w:rPr>
        <w:t>m</w:t>
      </w:r>
      <w:r w:rsidR="007D69D8" w:rsidRPr="007D69D8">
        <w:rPr>
          <w:rFonts w:ascii="Arial" w:hAnsi="Arial" w:cs="Arial"/>
          <w:color w:val="000000"/>
          <w:sz w:val="24"/>
          <w:szCs w:val="24"/>
        </w:rPr>
        <w:t xml:space="preserve"> at 31 March 2012</w:t>
      </w:r>
      <w:r w:rsidRPr="007D69D8">
        <w:rPr>
          <w:rFonts w:ascii="Arial" w:hAnsi="Arial" w:cs="Arial"/>
          <w:color w:val="000000"/>
          <w:sz w:val="24"/>
          <w:szCs w:val="24"/>
        </w:rPr>
        <w:t>).</w:t>
      </w:r>
    </w:p>
    <w:p w:rsidR="00F9188E" w:rsidRDefault="00F9188E">
      <w:pPr>
        <w:rPr>
          <w:rFonts w:ascii="Arial" w:hAnsi="Arial" w:cs="Arial"/>
          <w:b/>
          <w:snapToGrid w:val="0"/>
          <w:color w:val="000000"/>
          <w:sz w:val="24"/>
        </w:rPr>
      </w:pPr>
      <w:r>
        <w:rPr>
          <w:rFonts w:ascii="Arial" w:hAnsi="Arial" w:cs="Arial"/>
          <w:b/>
          <w:snapToGrid w:val="0"/>
          <w:color w:val="000000"/>
          <w:sz w:val="24"/>
        </w:rPr>
        <w:br w:type="page"/>
      </w:r>
    </w:p>
    <w:p w:rsidR="005A19EE" w:rsidRPr="00082851" w:rsidRDefault="005A19EE" w:rsidP="0085383D">
      <w:pPr>
        <w:widowControl w:val="0"/>
        <w:tabs>
          <w:tab w:val="left" w:pos="180"/>
          <w:tab w:val="right" w:pos="3060"/>
          <w:tab w:val="right" w:pos="4150"/>
        </w:tabs>
        <w:rPr>
          <w:rFonts w:ascii="Arial" w:hAnsi="Arial" w:cs="Arial"/>
          <w:b/>
          <w:snapToGrid w:val="0"/>
          <w:color w:val="000000"/>
          <w:sz w:val="24"/>
        </w:rPr>
      </w:pPr>
      <w:r w:rsidRPr="00082851">
        <w:rPr>
          <w:rFonts w:ascii="Arial" w:hAnsi="Arial" w:cs="Arial"/>
          <w:b/>
          <w:snapToGrid w:val="0"/>
          <w:color w:val="000000"/>
          <w:sz w:val="24"/>
        </w:rPr>
        <w:lastRenderedPageBreak/>
        <w:t>Pension fund liability</w:t>
      </w:r>
    </w:p>
    <w:p w:rsidR="005A19EE" w:rsidRPr="00082851" w:rsidRDefault="005A19EE" w:rsidP="0085383D">
      <w:pPr>
        <w:widowControl w:val="0"/>
        <w:tabs>
          <w:tab w:val="left" w:pos="180"/>
          <w:tab w:val="right" w:pos="3060"/>
          <w:tab w:val="right" w:pos="4150"/>
        </w:tabs>
        <w:rPr>
          <w:rFonts w:ascii="Arial" w:hAnsi="Arial" w:cs="Arial"/>
          <w:snapToGrid w:val="0"/>
          <w:color w:val="000000"/>
          <w:sz w:val="24"/>
        </w:rPr>
      </w:pPr>
    </w:p>
    <w:p w:rsidR="00F80138" w:rsidRPr="003D2F7A" w:rsidRDefault="005A19EE" w:rsidP="00930352">
      <w:pPr>
        <w:widowControl w:val="0"/>
        <w:tabs>
          <w:tab w:val="left" w:pos="180"/>
          <w:tab w:val="right" w:pos="3060"/>
          <w:tab w:val="right" w:pos="4150"/>
        </w:tabs>
        <w:rPr>
          <w:rFonts w:ascii="Arial" w:hAnsi="Arial" w:cs="Arial"/>
          <w:color w:val="000000"/>
          <w:sz w:val="24"/>
          <w:szCs w:val="24"/>
          <w:highlight w:val="yellow"/>
        </w:rPr>
      </w:pPr>
      <w:r w:rsidRPr="00082851">
        <w:rPr>
          <w:rFonts w:ascii="Arial" w:hAnsi="Arial" w:cs="Arial"/>
          <w:color w:val="000000"/>
          <w:sz w:val="24"/>
          <w:szCs w:val="24"/>
        </w:rPr>
        <w:t>The pension fund liability is calculated every three years by the appointed actuary</w:t>
      </w:r>
      <w:r w:rsidR="008D2BFE" w:rsidRPr="00082851">
        <w:rPr>
          <w:rFonts w:ascii="Arial" w:hAnsi="Arial" w:cs="Arial"/>
          <w:color w:val="000000"/>
          <w:sz w:val="24"/>
          <w:szCs w:val="24"/>
        </w:rPr>
        <w:t>, with annual updates in the intervening years</w:t>
      </w:r>
      <w:r w:rsidRPr="00082851">
        <w:rPr>
          <w:rFonts w:ascii="Arial" w:hAnsi="Arial" w:cs="Arial"/>
          <w:color w:val="000000"/>
          <w:sz w:val="24"/>
          <w:szCs w:val="24"/>
        </w:rPr>
        <w:t xml:space="preserve">. The methodology used is in line with accepted guidelines and in accordance with IAS 19. </w:t>
      </w:r>
      <w:r w:rsidR="00640EA5" w:rsidRPr="00082851">
        <w:rPr>
          <w:rFonts w:ascii="Arial" w:hAnsi="Arial" w:cs="Arial"/>
          <w:color w:val="000000"/>
          <w:sz w:val="24"/>
          <w:szCs w:val="24"/>
        </w:rPr>
        <w:t>Assumptions underpinning the valuations are agreed with the actua</w:t>
      </w:r>
      <w:r w:rsidR="00082851" w:rsidRPr="00082851">
        <w:rPr>
          <w:rFonts w:ascii="Arial" w:hAnsi="Arial" w:cs="Arial"/>
          <w:color w:val="000000"/>
          <w:sz w:val="24"/>
          <w:szCs w:val="24"/>
        </w:rPr>
        <w:t xml:space="preserve">ry and are summarised in </w:t>
      </w:r>
      <w:r w:rsidR="00F666FC">
        <w:rPr>
          <w:rFonts w:ascii="Arial" w:hAnsi="Arial" w:cs="Arial"/>
          <w:color w:val="000000"/>
          <w:sz w:val="24"/>
          <w:szCs w:val="24"/>
        </w:rPr>
        <w:t>Note 17</w:t>
      </w:r>
      <w:r w:rsidR="00640EA5" w:rsidRPr="00FD3189">
        <w:rPr>
          <w:rFonts w:ascii="Arial" w:hAnsi="Arial" w:cs="Arial"/>
          <w:color w:val="000000"/>
          <w:sz w:val="24"/>
          <w:szCs w:val="24"/>
        </w:rPr>
        <w:t>.</w:t>
      </w:r>
      <w:r w:rsidR="00640EA5" w:rsidRPr="005D0CB5">
        <w:rPr>
          <w:rFonts w:ascii="Arial" w:hAnsi="Arial" w:cs="Arial"/>
          <w:color w:val="000000"/>
          <w:sz w:val="24"/>
          <w:szCs w:val="24"/>
        </w:rPr>
        <w:t xml:space="preserve"> This estimate is subject to significant variances based on changes to the underlying assumptions.</w:t>
      </w:r>
    </w:p>
    <w:p w:rsidR="00640EA5" w:rsidRPr="003D2F7A" w:rsidRDefault="00640EA5" w:rsidP="00930352">
      <w:pPr>
        <w:widowControl w:val="0"/>
        <w:tabs>
          <w:tab w:val="left" w:pos="180"/>
          <w:tab w:val="right" w:pos="3060"/>
          <w:tab w:val="right" w:pos="4150"/>
        </w:tabs>
        <w:rPr>
          <w:rFonts w:ascii="Arial" w:hAnsi="Arial" w:cs="Arial"/>
          <w:color w:val="000000"/>
          <w:sz w:val="24"/>
          <w:szCs w:val="24"/>
          <w:highlight w:val="yellow"/>
        </w:rPr>
      </w:pPr>
    </w:p>
    <w:p w:rsidR="008D2BFE" w:rsidRDefault="008D2BFE">
      <w:pPr>
        <w:rPr>
          <w:rFonts w:ascii="Arial" w:hAnsi="Arial" w:cs="Arial"/>
          <w:b/>
          <w:snapToGrid w:val="0"/>
          <w:color w:val="000000"/>
          <w:sz w:val="24"/>
          <w:highlight w:val="yellow"/>
        </w:rPr>
      </w:pPr>
    </w:p>
    <w:p w:rsidR="005A19EE" w:rsidRPr="000D24A4" w:rsidRDefault="00640EA5" w:rsidP="00930352">
      <w:pPr>
        <w:widowControl w:val="0"/>
        <w:tabs>
          <w:tab w:val="left" w:pos="180"/>
          <w:tab w:val="right" w:pos="3060"/>
          <w:tab w:val="right" w:pos="4150"/>
        </w:tabs>
        <w:rPr>
          <w:rFonts w:ascii="Arial" w:hAnsi="Arial" w:cs="Arial"/>
          <w:b/>
          <w:snapToGrid w:val="0"/>
          <w:color w:val="000000"/>
          <w:sz w:val="24"/>
        </w:rPr>
      </w:pPr>
      <w:r w:rsidRPr="000D24A4">
        <w:rPr>
          <w:rFonts w:ascii="Arial" w:hAnsi="Arial" w:cs="Arial"/>
          <w:b/>
          <w:snapToGrid w:val="0"/>
          <w:color w:val="000000"/>
          <w:sz w:val="24"/>
        </w:rPr>
        <w:t>5</w:t>
      </w:r>
      <w:r w:rsidR="0083647D" w:rsidRPr="000D24A4">
        <w:rPr>
          <w:rFonts w:ascii="Arial" w:hAnsi="Arial" w:cs="Arial"/>
          <w:b/>
          <w:snapToGrid w:val="0"/>
          <w:color w:val="000000"/>
          <w:sz w:val="24"/>
        </w:rPr>
        <w:t>.</w:t>
      </w:r>
      <w:r w:rsidRPr="000D24A4">
        <w:rPr>
          <w:rFonts w:ascii="Arial" w:hAnsi="Arial" w:cs="Arial"/>
          <w:b/>
          <w:snapToGrid w:val="0"/>
          <w:color w:val="000000"/>
          <w:sz w:val="24"/>
        </w:rPr>
        <w:t xml:space="preserve"> </w:t>
      </w:r>
      <w:r w:rsidR="0083647D" w:rsidRPr="000D24A4">
        <w:rPr>
          <w:rFonts w:ascii="Arial" w:hAnsi="Arial" w:cs="Arial"/>
          <w:b/>
          <w:snapToGrid w:val="0"/>
          <w:color w:val="000000"/>
          <w:sz w:val="24"/>
        </w:rPr>
        <w:t xml:space="preserve"> </w:t>
      </w:r>
      <w:r w:rsidR="006B7673" w:rsidRPr="000D24A4">
        <w:rPr>
          <w:rFonts w:ascii="Arial" w:hAnsi="Arial" w:cs="Arial"/>
          <w:b/>
          <w:snapToGrid w:val="0"/>
          <w:color w:val="000000"/>
          <w:sz w:val="24"/>
        </w:rPr>
        <w:t>A</w:t>
      </w:r>
      <w:r w:rsidR="00A455F3" w:rsidRPr="000D24A4">
        <w:rPr>
          <w:rFonts w:ascii="Arial" w:hAnsi="Arial" w:cs="Arial"/>
          <w:b/>
          <w:snapToGrid w:val="0"/>
          <w:color w:val="000000"/>
          <w:sz w:val="24"/>
        </w:rPr>
        <w:t>ssumptions made about the future and other major sources of estimation uncertainty</w:t>
      </w:r>
    </w:p>
    <w:p w:rsidR="00640EA5" w:rsidRPr="000D24A4" w:rsidRDefault="00640EA5" w:rsidP="00930352">
      <w:pPr>
        <w:widowControl w:val="0"/>
        <w:tabs>
          <w:tab w:val="left" w:pos="180"/>
          <w:tab w:val="right" w:pos="3060"/>
          <w:tab w:val="right" w:pos="4150"/>
        </w:tabs>
        <w:rPr>
          <w:rFonts w:ascii="Arial" w:hAnsi="Arial" w:cs="Arial"/>
          <w:b/>
          <w:snapToGrid w:val="0"/>
          <w:color w:val="000000"/>
          <w:sz w:val="24"/>
        </w:rPr>
      </w:pPr>
    </w:p>
    <w:p w:rsidR="00640EA5" w:rsidRPr="000D24A4" w:rsidRDefault="006B7673" w:rsidP="00930352">
      <w:pPr>
        <w:widowControl w:val="0"/>
        <w:tabs>
          <w:tab w:val="left" w:pos="180"/>
          <w:tab w:val="right" w:pos="3060"/>
          <w:tab w:val="right" w:pos="4150"/>
        </w:tabs>
        <w:rPr>
          <w:rFonts w:ascii="Arial" w:hAnsi="Arial" w:cs="Arial"/>
          <w:color w:val="000000"/>
          <w:sz w:val="24"/>
          <w:szCs w:val="24"/>
        </w:rPr>
      </w:pPr>
      <w:r w:rsidRPr="000D24A4">
        <w:rPr>
          <w:rFonts w:ascii="Arial" w:hAnsi="Arial" w:cs="Arial"/>
          <w:color w:val="000000"/>
          <w:sz w:val="24"/>
          <w:szCs w:val="24"/>
        </w:rPr>
        <w:t>The Statement of Accounts contains estimated figures that are based on assumptions made by the Council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rsidR="005D0CB5" w:rsidRPr="000D24A4" w:rsidRDefault="005D0CB5" w:rsidP="00930352">
      <w:pPr>
        <w:widowControl w:val="0"/>
        <w:tabs>
          <w:tab w:val="left" w:pos="180"/>
          <w:tab w:val="right" w:pos="3060"/>
          <w:tab w:val="right" w:pos="4150"/>
        </w:tabs>
        <w:rPr>
          <w:rFonts w:ascii="Arial" w:hAnsi="Arial" w:cs="Arial"/>
          <w:color w:val="000000"/>
          <w:sz w:val="24"/>
          <w:szCs w:val="24"/>
        </w:rPr>
      </w:pPr>
    </w:p>
    <w:p w:rsidR="006B7673" w:rsidRPr="000D24A4" w:rsidRDefault="00181ADA" w:rsidP="00930352">
      <w:pPr>
        <w:widowControl w:val="0"/>
        <w:tabs>
          <w:tab w:val="left" w:pos="180"/>
          <w:tab w:val="right" w:pos="3060"/>
          <w:tab w:val="right" w:pos="4150"/>
        </w:tabs>
        <w:rPr>
          <w:rFonts w:ascii="Arial" w:hAnsi="Arial" w:cs="Arial"/>
          <w:b/>
          <w:snapToGrid w:val="0"/>
          <w:color w:val="000000"/>
          <w:sz w:val="24"/>
        </w:rPr>
      </w:pPr>
      <w:r w:rsidRPr="000D24A4">
        <w:rPr>
          <w:rFonts w:ascii="Arial" w:hAnsi="Arial" w:cs="Arial"/>
          <w:color w:val="000000"/>
          <w:sz w:val="24"/>
          <w:szCs w:val="24"/>
        </w:rPr>
        <w:t>The items in the Net Assets S</w:t>
      </w:r>
      <w:r w:rsidR="000D24A4" w:rsidRPr="000D24A4">
        <w:rPr>
          <w:rFonts w:ascii="Arial" w:hAnsi="Arial" w:cs="Arial"/>
          <w:color w:val="000000"/>
          <w:sz w:val="24"/>
          <w:szCs w:val="24"/>
        </w:rPr>
        <w:t>tatement at 31 March 2013</w:t>
      </w:r>
      <w:r w:rsidR="006B7673" w:rsidRPr="000D24A4">
        <w:rPr>
          <w:rFonts w:ascii="Arial" w:hAnsi="Arial" w:cs="Arial"/>
          <w:color w:val="000000"/>
          <w:sz w:val="24"/>
          <w:szCs w:val="24"/>
        </w:rPr>
        <w:t xml:space="preserve"> for which there is a significant risk of material adjustment in the forthcoming financial year are as follows:</w:t>
      </w:r>
    </w:p>
    <w:p w:rsidR="00640EA5" w:rsidRPr="003D2F7A" w:rsidRDefault="00640EA5" w:rsidP="00930352">
      <w:pPr>
        <w:widowControl w:val="0"/>
        <w:tabs>
          <w:tab w:val="left" w:pos="180"/>
          <w:tab w:val="right" w:pos="3060"/>
          <w:tab w:val="right" w:pos="4150"/>
        </w:tabs>
        <w:rPr>
          <w:rFonts w:ascii="Arial" w:hAnsi="Arial" w:cs="Arial"/>
          <w:b/>
          <w:snapToGrid w:val="0"/>
          <w:color w:val="000000"/>
          <w:sz w:val="24"/>
          <w:highlight w:val="yellow"/>
        </w:rPr>
      </w:pPr>
    </w:p>
    <w:tbl>
      <w:tblPr>
        <w:tblStyle w:val="TableGrid"/>
        <w:tblW w:w="9108" w:type="dxa"/>
        <w:tblLook w:val="01E0" w:firstRow="1" w:lastRow="1" w:firstColumn="1" w:lastColumn="1" w:noHBand="0" w:noVBand="0"/>
      </w:tblPr>
      <w:tblGrid>
        <w:gridCol w:w="2717"/>
        <w:gridCol w:w="3151"/>
        <w:gridCol w:w="3240"/>
      </w:tblGrid>
      <w:tr w:rsidR="00C56EE7" w:rsidRPr="003D2F7A" w:rsidTr="00495D5D">
        <w:tc>
          <w:tcPr>
            <w:tcW w:w="2717" w:type="dxa"/>
          </w:tcPr>
          <w:p w:rsidR="00C56EE7" w:rsidRPr="00863776" w:rsidRDefault="00C56EE7" w:rsidP="00930352">
            <w:pPr>
              <w:widowControl w:val="0"/>
              <w:tabs>
                <w:tab w:val="left" w:pos="180"/>
                <w:tab w:val="right" w:pos="3060"/>
                <w:tab w:val="right" w:pos="4150"/>
              </w:tabs>
              <w:rPr>
                <w:rFonts w:ascii="Arial" w:hAnsi="Arial" w:cs="Arial"/>
                <w:b/>
                <w:snapToGrid w:val="0"/>
                <w:color w:val="000000"/>
                <w:sz w:val="24"/>
              </w:rPr>
            </w:pPr>
            <w:r w:rsidRPr="00863776">
              <w:rPr>
                <w:rFonts w:ascii="Arial" w:hAnsi="Arial" w:cs="Arial"/>
                <w:b/>
                <w:snapToGrid w:val="0"/>
                <w:color w:val="000000"/>
                <w:sz w:val="24"/>
              </w:rPr>
              <w:t>Item</w:t>
            </w:r>
          </w:p>
        </w:tc>
        <w:tc>
          <w:tcPr>
            <w:tcW w:w="3151" w:type="dxa"/>
          </w:tcPr>
          <w:p w:rsidR="00C56EE7" w:rsidRPr="00C3515C" w:rsidRDefault="00C56EE7" w:rsidP="00930352">
            <w:pPr>
              <w:widowControl w:val="0"/>
              <w:tabs>
                <w:tab w:val="left" w:pos="180"/>
                <w:tab w:val="right" w:pos="3060"/>
                <w:tab w:val="right" w:pos="4150"/>
              </w:tabs>
              <w:rPr>
                <w:rFonts w:ascii="Arial" w:hAnsi="Arial" w:cs="Arial"/>
                <w:b/>
                <w:snapToGrid w:val="0"/>
                <w:color w:val="000000"/>
                <w:sz w:val="24"/>
              </w:rPr>
            </w:pPr>
            <w:r w:rsidRPr="00C3515C">
              <w:rPr>
                <w:rFonts w:ascii="Arial" w:hAnsi="Arial" w:cs="Arial"/>
                <w:b/>
                <w:snapToGrid w:val="0"/>
                <w:color w:val="000000"/>
                <w:sz w:val="24"/>
              </w:rPr>
              <w:t>Uncertainties</w:t>
            </w:r>
          </w:p>
        </w:tc>
        <w:tc>
          <w:tcPr>
            <w:tcW w:w="3240" w:type="dxa"/>
          </w:tcPr>
          <w:p w:rsidR="00C56EE7" w:rsidRPr="00C3515C" w:rsidRDefault="00C56EE7" w:rsidP="00930352">
            <w:pPr>
              <w:widowControl w:val="0"/>
              <w:tabs>
                <w:tab w:val="left" w:pos="180"/>
                <w:tab w:val="right" w:pos="3060"/>
                <w:tab w:val="right" w:pos="4150"/>
              </w:tabs>
              <w:rPr>
                <w:rFonts w:ascii="Arial" w:hAnsi="Arial" w:cs="Arial"/>
                <w:b/>
                <w:snapToGrid w:val="0"/>
                <w:color w:val="000000"/>
                <w:sz w:val="24"/>
              </w:rPr>
            </w:pPr>
            <w:r w:rsidRPr="00C3515C">
              <w:rPr>
                <w:rFonts w:ascii="Arial" w:hAnsi="Arial" w:cs="Arial"/>
                <w:b/>
                <w:snapToGrid w:val="0"/>
                <w:color w:val="000000"/>
                <w:sz w:val="24"/>
              </w:rPr>
              <w:t>Effect if actual results differ from assumptions</w:t>
            </w:r>
          </w:p>
        </w:tc>
      </w:tr>
      <w:tr w:rsidR="00C56EE7" w:rsidRPr="003D2F7A" w:rsidTr="00495D5D">
        <w:tc>
          <w:tcPr>
            <w:tcW w:w="2717" w:type="dxa"/>
          </w:tcPr>
          <w:p w:rsidR="00C56EE7" w:rsidRPr="00863776" w:rsidRDefault="00B142DD" w:rsidP="00930352">
            <w:pPr>
              <w:widowControl w:val="0"/>
              <w:tabs>
                <w:tab w:val="left" w:pos="180"/>
                <w:tab w:val="right" w:pos="3060"/>
                <w:tab w:val="right" w:pos="4150"/>
              </w:tabs>
              <w:rPr>
                <w:rFonts w:ascii="Arial" w:hAnsi="Arial" w:cs="Arial"/>
                <w:b/>
                <w:snapToGrid w:val="0"/>
                <w:color w:val="000000"/>
                <w:sz w:val="24"/>
              </w:rPr>
            </w:pPr>
            <w:r w:rsidRPr="00863776">
              <w:rPr>
                <w:rFonts w:ascii="Arial" w:hAnsi="Arial" w:cs="Arial"/>
                <w:b/>
                <w:snapToGrid w:val="0"/>
                <w:color w:val="000000"/>
                <w:sz w:val="24"/>
              </w:rPr>
              <w:t>Actuarial present value of promised retirement benefits</w:t>
            </w:r>
          </w:p>
        </w:tc>
        <w:tc>
          <w:tcPr>
            <w:tcW w:w="3151" w:type="dxa"/>
          </w:tcPr>
          <w:p w:rsidR="00C56EE7" w:rsidRPr="00863776" w:rsidRDefault="00495D5D" w:rsidP="00930352">
            <w:pPr>
              <w:widowControl w:val="0"/>
              <w:tabs>
                <w:tab w:val="left" w:pos="180"/>
                <w:tab w:val="right" w:pos="3060"/>
                <w:tab w:val="right" w:pos="4150"/>
              </w:tabs>
              <w:rPr>
                <w:rFonts w:ascii="Arial" w:hAnsi="Arial" w:cs="Arial"/>
                <w:snapToGrid w:val="0"/>
                <w:color w:val="000000"/>
                <w:sz w:val="24"/>
              </w:rPr>
            </w:pPr>
            <w:r w:rsidRPr="00863776">
              <w:rPr>
                <w:rFonts w:ascii="Arial" w:hAnsi="Arial" w:cs="Arial"/>
                <w:snapToGrid w:val="0"/>
                <w:color w:val="000000"/>
                <w:sz w:val="24"/>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is engaged to provide the Fund with expert advice about the assumptions to be applied.</w:t>
            </w:r>
          </w:p>
        </w:tc>
        <w:tc>
          <w:tcPr>
            <w:tcW w:w="3240" w:type="dxa"/>
          </w:tcPr>
          <w:p w:rsidR="00C56EE7" w:rsidRPr="003D2F7A" w:rsidRDefault="00495D5D" w:rsidP="00D368F4">
            <w:pPr>
              <w:widowControl w:val="0"/>
              <w:tabs>
                <w:tab w:val="left" w:pos="180"/>
                <w:tab w:val="right" w:pos="3060"/>
                <w:tab w:val="right" w:pos="4150"/>
              </w:tabs>
              <w:rPr>
                <w:rFonts w:ascii="Arial" w:hAnsi="Arial" w:cs="Arial"/>
                <w:snapToGrid w:val="0"/>
                <w:color w:val="000000"/>
                <w:sz w:val="24"/>
                <w:highlight w:val="yellow"/>
              </w:rPr>
            </w:pPr>
            <w:r w:rsidRPr="00DF4127">
              <w:rPr>
                <w:rFonts w:ascii="Arial" w:hAnsi="Arial" w:cs="Arial"/>
                <w:snapToGrid w:val="0"/>
                <w:color w:val="000000"/>
                <w:sz w:val="24"/>
              </w:rPr>
              <w:t xml:space="preserve">The effects on the net pension liability of changes in individual assumptions can be measured. For instance, a 0.5% increase in the discount rate </w:t>
            </w:r>
            <w:r w:rsidR="00A37B20" w:rsidRPr="00DF4127">
              <w:rPr>
                <w:rFonts w:ascii="Arial" w:hAnsi="Arial" w:cs="Arial"/>
                <w:snapToGrid w:val="0"/>
                <w:color w:val="000000"/>
                <w:sz w:val="24"/>
              </w:rPr>
              <w:t xml:space="preserve">assumption </w:t>
            </w:r>
            <w:r w:rsidRPr="00DF4127">
              <w:rPr>
                <w:rFonts w:ascii="Arial" w:hAnsi="Arial" w:cs="Arial"/>
                <w:snapToGrid w:val="0"/>
                <w:color w:val="000000"/>
                <w:sz w:val="24"/>
              </w:rPr>
              <w:t xml:space="preserve">would result in a decrease in the pension liability </w:t>
            </w:r>
            <w:r w:rsidRPr="004D33FA">
              <w:rPr>
                <w:rFonts w:ascii="Arial" w:hAnsi="Arial" w:cs="Arial"/>
                <w:snapToGrid w:val="0"/>
                <w:color w:val="000000"/>
                <w:sz w:val="24"/>
              </w:rPr>
              <w:t>of</w:t>
            </w:r>
            <w:r w:rsidR="00D41028" w:rsidRPr="004D33FA">
              <w:rPr>
                <w:rFonts w:ascii="Arial" w:hAnsi="Arial" w:cs="Arial"/>
                <w:snapToGrid w:val="0"/>
                <w:color w:val="000000"/>
                <w:sz w:val="24"/>
              </w:rPr>
              <w:t xml:space="preserve"> approximately</w:t>
            </w:r>
            <w:r w:rsidRPr="004D33FA">
              <w:rPr>
                <w:rFonts w:ascii="Arial" w:hAnsi="Arial" w:cs="Arial"/>
                <w:snapToGrid w:val="0"/>
                <w:color w:val="000000"/>
                <w:sz w:val="24"/>
              </w:rPr>
              <w:t xml:space="preserve"> </w:t>
            </w:r>
            <w:r w:rsidR="00E75265" w:rsidRPr="004D33FA">
              <w:rPr>
                <w:rFonts w:ascii="Arial" w:hAnsi="Arial" w:cs="Arial"/>
                <w:snapToGrid w:val="0"/>
                <w:color w:val="000000"/>
                <w:sz w:val="24"/>
              </w:rPr>
              <w:t>£187</w:t>
            </w:r>
            <w:r w:rsidRPr="004D33FA">
              <w:rPr>
                <w:rFonts w:ascii="Arial" w:hAnsi="Arial" w:cs="Arial"/>
                <w:snapToGrid w:val="0"/>
                <w:color w:val="000000"/>
                <w:sz w:val="24"/>
              </w:rPr>
              <w:t>m.</w:t>
            </w:r>
            <w:r w:rsidRPr="00DF4127">
              <w:rPr>
                <w:rFonts w:ascii="Arial" w:hAnsi="Arial" w:cs="Arial"/>
                <w:snapToGrid w:val="0"/>
                <w:color w:val="000000"/>
                <w:sz w:val="24"/>
              </w:rPr>
              <w:t xml:space="preserve"> A 0.25% increase in assumed earnings inflation would increase the value of liabilities by approximately </w:t>
            </w:r>
            <w:r w:rsidR="00FF59C7" w:rsidRPr="00FF59C7">
              <w:rPr>
                <w:rFonts w:ascii="Arial" w:hAnsi="Arial" w:cs="Arial"/>
                <w:snapToGrid w:val="0"/>
                <w:color w:val="000000"/>
                <w:sz w:val="24"/>
              </w:rPr>
              <w:t>£35</w:t>
            </w:r>
            <w:r w:rsidRPr="00FF59C7">
              <w:rPr>
                <w:rFonts w:ascii="Arial" w:hAnsi="Arial" w:cs="Arial"/>
                <w:snapToGrid w:val="0"/>
                <w:color w:val="000000"/>
                <w:sz w:val="24"/>
              </w:rPr>
              <w:t>m</w:t>
            </w:r>
            <w:r w:rsidRPr="00DF4127">
              <w:rPr>
                <w:rFonts w:ascii="Arial" w:hAnsi="Arial" w:cs="Arial"/>
                <w:snapToGrid w:val="0"/>
                <w:color w:val="000000"/>
                <w:sz w:val="24"/>
              </w:rPr>
              <w:t xml:space="preserve">, and a one-year increase in assumed life expectancy would increase </w:t>
            </w:r>
            <w:r w:rsidRPr="00FF59C7">
              <w:rPr>
                <w:rFonts w:ascii="Arial" w:hAnsi="Arial" w:cs="Arial"/>
                <w:snapToGrid w:val="0"/>
                <w:color w:val="000000"/>
                <w:sz w:val="24"/>
              </w:rPr>
              <w:t xml:space="preserve">the liability by approximately </w:t>
            </w:r>
            <w:r w:rsidR="00FF59C7" w:rsidRPr="00FF59C7">
              <w:rPr>
                <w:rFonts w:ascii="Arial" w:hAnsi="Arial" w:cs="Arial"/>
                <w:snapToGrid w:val="0"/>
                <w:color w:val="000000"/>
                <w:sz w:val="24"/>
              </w:rPr>
              <w:t>£37</w:t>
            </w:r>
            <w:r w:rsidR="00D368F4">
              <w:rPr>
                <w:rFonts w:ascii="Arial" w:hAnsi="Arial" w:cs="Arial"/>
                <w:snapToGrid w:val="0"/>
                <w:color w:val="000000"/>
                <w:sz w:val="24"/>
              </w:rPr>
              <w:t>m</w:t>
            </w:r>
            <w:r w:rsidRPr="00FF59C7">
              <w:rPr>
                <w:rFonts w:ascii="Arial" w:hAnsi="Arial" w:cs="Arial"/>
                <w:snapToGrid w:val="0"/>
                <w:color w:val="000000"/>
                <w:sz w:val="24"/>
              </w:rPr>
              <w:t>.</w:t>
            </w:r>
          </w:p>
        </w:tc>
      </w:tr>
    </w:tbl>
    <w:p w:rsidR="00FD3189" w:rsidRDefault="00FD3189">
      <w:r>
        <w:br w:type="page"/>
      </w:r>
    </w:p>
    <w:tbl>
      <w:tblPr>
        <w:tblStyle w:val="TableGrid"/>
        <w:tblW w:w="9108" w:type="dxa"/>
        <w:tblLook w:val="01E0" w:firstRow="1" w:lastRow="1" w:firstColumn="1" w:lastColumn="1" w:noHBand="0" w:noVBand="0"/>
      </w:tblPr>
      <w:tblGrid>
        <w:gridCol w:w="2717"/>
        <w:gridCol w:w="3151"/>
        <w:gridCol w:w="3240"/>
      </w:tblGrid>
      <w:tr w:rsidR="00AC3C96" w:rsidRPr="003D2F7A" w:rsidTr="00A47D5E">
        <w:tc>
          <w:tcPr>
            <w:tcW w:w="2717" w:type="dxa"/>
          </w:tcPr>
          <w:p w:rsidR="00AC3C96" w:rsidRPr="00981219" w:rsidRDefault="00AC3C96" w:rsidP="00A47D5E">
            <w:pPr>
              <w:widowControl w:val="0"/>
              <w:tabs>
                <w:tab w:val="left" w:pos="180"/>
                <w:tab w:val="right" w:pos="3060"/>
                <w:tab w:val="right" w:pos="4150"/>
              </w:tabs>
              <w:rPr>
                <w:rFonts w:ascii="Arial" w:hAnsi="Arial" w:cs="Arial"/>
                <w:b/>
                <w:snapToGrid w:val="0"/>
                <w:color w:val="000000"/>
                <w:sz w:val="24"/>
              </w:rPr>
            </w:pPr>
            <w:r w:rsidRPr="00981219">
              <w:rPr>
                <w:rFonts w:ascii="Arial" w:hAnsi="Arial" w:cs="Arial"/>
                <w:b/>
                <w:snapToGrid w:val="0"/>
                <w:color w:val="000000"/>
                <w:sz w:val="24"/>
              </w:rPr>
              <w:lastRenderedPageBreak/>
              <w:t>Item</w:t>
            </w:r>
          </w:p>
        </w:tc>
        <w:tc>
          <w:tcPr>
            <w:tcW w:w="3151" w:type="dxa"/>
          </w:tcPr>
          <w:p w:rsidR="00AC3C96" w:rsidRPr="00981219" w:rsidRDefault="00AC3C96" w:rsidP="00A47D5E">
            <w:pPr>
              <w:widowControl w:val="0"/>
              <w:tabs>
                <w:tab w:val="left" w:pos="180"/>
                <w:tab w:val="right" w:pos="3060"/>
                <w:tab w:val="right" w:pos="4150"/>
              </w:tabs>
              <w:rPr>
                <w:rFonts w:ascii="Arial" w:hAnsi="Arial" w:cs="Arial"/>
                <w:b/>
                <w:snapToGrid w:val="0"/>
                <w:color w:val="000000"/>
                <w:sz w:val="24"/>
              </w:rPr>
            </w:pPr>
            <w:r w:rsidRPr="00981219">
              <w:rPr>
                <w:rFonts w:ascii="Arial" w:hAnsi="Arial" w:cs="Arial"/>
                <w:b/>
                <w:snapToGrid w:val="0"/>
                <w:color w:val="000000"/>
                <w:sz w:val="24"/>
              </w:rPr>
              <w:t>Uncertainties</w:t>
            </w:r>
          </w:p>
        </w:tc>
        <w:tc>
          <w:tcPr>
            <w:tcW w:w="3240" w:type="dxa"/>
          </w:tcPr>
          <w:p w:rsidR="00AC3C96" w:rsidRPr="00981219" w:rsidRDefault="00AC3C96" w:rsidP="00A47D5E">
            <w:pPr>
              <w:widowControl w:val="0"/>
              <w:tabs>
                <w:tab w:val="left" w:pos="180"/>
                <w:tab w:val="right" w:pos="3060"/>
                <w:tab w:val="right" w:pos="4150"/>
              </w:tabs>
              <w:rPr>
                <w:rFonts w:ascii="Arial" w:hAnsi="Arial" w:cs="Arial"/>
                <w:b/>
                <w:snapToGrid w:val="0"/>
                <w:color w:val="000000"/>
                <w:sz w:val="24"/>
              </w:rPr>
            </w:pPr>
            <w:r w:rsidRPr="00981219">
              <w:rPr>
                <w:rFonts w:ascii="Arial" w:hAnsi="Arial" w:cs="Arial"/>
                <w:b/>
                <w:snapToGrid w:val="0"/>
                <w:color w:val="000000"/>
                <w:sz w:val="24"/>
              </w:rPr>
              <w:t>Effect if actual results differ from assumptions</w:t>
            </w:r>
          </w:p>
        </w:tc>
      </w:tr>
      <w:tr w:rsidR="00C56EE7" w:rsidRPr="003D2F7A" w:rsidTr="00495D5D">
        <w:tc>
          <w:tcPr>
            <w:tcW w:w="2717" w:type="dxa"/>
          </w:tcPr>
          <w:p w:rsidR="00C56EE7" w:rsidRPr="00981219" w:rsidRDefault="00B142DD" w:rsidP="00930352">
            <w:pPr>
              <w:widowControl w:val="0"/>
              <w:tabs>
                <w:tab w:val="left" w:pos="180"/>
                <w:tab w:val="right" w:pos="3060"/>
                <w:tab w:val="right" w:pos="4150"/>
              </w:tabs>
              <w:rPr>
                <w:rFonts w:ascii="Arial" w:hAnsi="Arial" w:cs="Arial"/>
                <w:b/>
                <w:snapToGrid w:val="0"/>
                <w:color w:val="000000"/>
                <w:sz w:val="24"/>
              </w:rPr>
            </w:pPr>
            <w:r w:rsidRPr="00981219">
              <w:rPr>
                <w:rFonts w:ascii="Arial" w:hAnsi="Arial" w:cs="Arial"/>
                <w:b/>
                <w:snapToGrid w:val="0"/>
                <w:color w:val="000000"/>
                <w:sz w:val="24"/>
              </w:rPr>
              <w:t>Private equity</w:t>
            </w:r>
            <w:r w:rsidR="0055701F">
              <w:rPr>
                <w:rFonts w:ascii="Arial" w:hAnsi="Arial" w:cs="Arial"/>
                <w:b/>
                <w:snapToGrid w:val="0"/>
                <w:color w:val="000000"/>
                <w:sz w:val="24"/>
              </w:rPr>
              <w:t>/infrastructure</w:t>
            </w:r>
          </w:p>
        </w:tc>
        <w:tc>
          <w:tcPr>
            <w:tcW w:w="3151" w:type="dxa"/>
          </w:tcPr>
          <w:p w:rsidR="00C56EE7" w:rsidRPr="00981219" w:rsidRDefault="00DC64BD" w:rsidP="005108B1">
            <w:pPr>
              <w:widowControl w:val="0"/>
              <w:tabs>
                <w:tab w:val="left" w:pos="180"/>
                <w:tab w:val="right" w:pos="3060"/>
                <w:tab w:val="right" w:pos="4150"/>
              </w:tabs>
              <w:rPr>
                <w:rFonts w:ascii="Arial" w:hAnsi="Arial" w:cs="Arial"/>
                <w:snapToGrid w:val="0"/>
                <w:color w:val="000000"/>
                <w:sz w:val="24"/>
              </w:rPr>
            </w:pPr>
            <w:r w:rsidRPr="00981219">
              <w:rPr>
                <w:rFonts w:ascii="Arial" w:hAnsi="Arial" w:cs="Arial"/>
                <w:snapToGrid w:val="0"/>
                <w:color w:val="000000"/>
                <w:sz w:val="24"/>
              </w:rPr>
              <w:t>Private</w:t>
            </w:r>
            <w:r w:rsidR="00976441" w:rsidRPr="00981219">
              <w:rPr>
                <w:rFonts w:ascii="Arial" w:hAnsi="Arial" w:cs="Arial"/>
                <w:snapToGrid w:val="0"/>
                <w:color w:val="000000"/>
                <w:sz w:val="24"/>
              </w:rPr>
              <w:t xml:space="preserve"> equity</w:t>
            </w:r>
            <w:r w:rsidR="0055701F">
              <w:rPr>
                <w:rFonts w:ascii="Arial" w:hAnsi="Arial" w:cs="Arial"/>
                <w:snapToGrid w:val="0"/>
                <w:color w:val="000000"/>
                <w:sz w:val="24"/>
              </w:rPr>
              <w:t>/infrastructure</w:t>
            </w:r>
            <w:r w:rsidR="00976441" w:rsidRPr="00981219">
              <w:rPr>
                <w:rFonts w:ascii="Arial" w:hAnsi="Arial" w:cs="Arial"/>
                <w:snapToGrid w:val="0"/>
                <w:color w:val="000000"/>
                <w:sz w:val="24"/>
              </w:rPr>
              <w:t xml:space="preserve"> investments are valued at fair value in accordance with </w:t>
            </w:r>
            <w:r w:rsidR="00A47D5E" w:rsidRPr="00981219">
              <w:rPr>
                <w:rFonts w:ascii="Arial" w:hAnsi="Arial" w:cs="Arial"/>
                <w:snapToGrid w:val="0"/>
                <w:color w:val="000000"/>
                <w:sz w:val="24"/>
              </w:rPr>
              <w:t xml:space="preserve">British Venture Capital Association guidelines. </w:t>
            </w:r>
            <w:r w:rsidR="00D30F76" w:rsidRPr="00981219">
              <w:rPr>
                <w:rFonts w:ascii="Arial" w:hAnsi="Arial" w:cs="Arial"/>
                <w:snapToGrid w:val="0"/>
                <w:color w:val="000000"/>
                <w:sz w:val="24"/>
              </w:rPr>
              <w:t>These investments are not publicly listed and as such there is a degree of estimation involved in the valuation.</w:t>
            </w:r>
          </w:p>
        </w:tc>
        <w:tc>
          <w:tcPr>
            <w:tcW w:w="3240" w:type="dxa"/>
          </w:tcPr>
          <w:p w:rsidR="00C56EE7" w:rsidRPr="00981219" w:rsidRDefault="00DC64BD" w:rsidP="00D368F4">
            <w:pPr>
              <w:widowControl w:val="0"/>
              <w:tabs>
                <w:tab w:val="left" w:pos="180"/>
                <w:tab w:val="right" w:pos="3060"/>
                <w:tab w:val="right" w:pos="4150"/>
              </w:tabs>
              <w:rPr>
                <w:rFonts w:ascii="Arial" w:hAnsi="Arial" w:cs="Arial"/>
                <w:snapToGrid w:val="0"/>
                <w:color w:val="000000"/>
                <w:sz w:val="24"/>
              </w:rPr>
            </w:pPr>
            <w:r w:rsidRPr="00981219">
              <w:rPr>
                <w:rFonts w:ascii="Arial" w:hAnsi="Arial" w:cs="Arial"/>
                <w:snapToGrid w:val="0"/>
                <w:color w:val="000000"/>
                <w:sz w:val="24"/>
              </w:rPr>
              <w:t xml:space="preserve">The </w:t>
            </w:r>
            <w:r w:rsidR="00A7587C" w:rsidRPr="00981219">
              <w:rPr>
                <w:rFonts w:ascii="Arial" w:hAnsi="Arial" w:cs="Arial"/>
                <w:snapToGrid w:val="0"/>
                <w:color w:val="000000"/>
                <w:sz w:val="24"/>
              </w:rPr>
              <w:t xml:space="preserve">total </w:t>
            </w:r>
            <w:r w:rsidR="00D30F76" w:rsidRPr="00981219">
              <w:rPr>
                <w:rFonts w:ascii="Arial" w:hAnsi="Arial" w:cs="Arial"/>
                <w:snapToGrid w:val="0"/>
                <w:color w:val="000000"/>
                <w:sz w:val="24"/>
              </w:rPr>
              <w:t>private equity</w:t>
            </w:r>
            <w:r w:rsidR="0055701F">
              <w:rPr>
                <w:rFonts w:ascii="Arial" w:hAnsi="Arial" w:cs="Arial"/>
                <w:snapToGrid w:val="0"/>
                <w:color w:val="000000"/>
                <w:sz w:val="24"/>
              </w:rPr>
              <w:t>/infrastructure</w:t>
            </w:r>
            <w:r w:rsidR="00D30F76" w:rsidRPr="00981219">
              <w:rPr>
                <w:rFonts w:ascii="Arial" w:hAnsi="Arial" w:cs="Arial"/>
                <w:snapToGrid w:val="0"/>
                <w:color w:val="000000"/>
                <w:sz w:val="24"/>
              </w:rPr>
              <w:t xml:space="preserve"> investments in the </w:t>
            </w:r>
            <w:r w:rsidR="00A7587C" w:rsidRPr="00981219">
              <w:rPr>
                <w:rFonts w:ascii="Arial" w:hAnsi="Arial" w:cs="Arial"/>
                <w:snapToGrid w:val="0"/>
                <w:color w:val="000000"/>
                <w:sz w:val="24"/>
              </w:rPr>
              <w:t xml:space="preserve">financial statements </w:t>
            </w:r>
            <w:r w:rsidR="00D30F76" w:rsidRPr="00981219">
              <w:rPr>
                <w:rFonts w:ascii="Arial" w:hAnsi="Arial" w:cs="Arial"/>
                <w:snapToGrid w:val="0"/>
                <w:color w:val="000000"/>
                <w:sz w:val="24"/>
              </w:rPr>
              <w:t>are</w:t>
            </w:r>
            <w:r w:rsidR="00A7587C" w:rsidRPr="00981219">
              <w:rPr>
                <w:rFonts w:ascii="Arial" w:hAnsi="Arial" w:cs="Arial"/>
                <w:snapToGrid w:val="0"/>
                <w:color w:val="000000"/>
                <w:sz w:val="24"/>
              </w:rPr>
              <w:t xml:space="preserve"> </w:t>
            </w:r>
            <w:r w:rsidR="00D10A7A">
              <w:rPr>
                <w:rFonts w:ascii="Arial" w:hAnsi="Arial" w:cs="Arial"/>
                <w:snapToGrid w:val="0"/>
                <w:color w:val="000000"/>
                <w:sz w:val="24"/>
              </w:rPr>
              <w:t>£100</w:t>
            </w:r>
            <w:r w:rsidR="00A7587C" w:rsidRPr="00981219">
              <w:rPr>
                <w:rFonts w:ascii="Arial" w:hAnsi="Arial" w:cs="Arial"/>
                <w:snapToGrid w:val="0"/>
                <w:color w:val="000000"/>
                <w:sz w:val="24"/>
              </w:rPr>
              <w:t xml:space="preserve">m. There is a </w:t>
            </w:r>
            <w:r w:rsidR="00D30F76" w:rsidRPr="00981219">
              <w:rPr>
                <w:rFonts w:ascii="Arial" w:hAnsi="Arial" w:cs="Arial"/>
                <w:snapToGrid w:val="0"/>
                <w:color w:val="000000"/>
                <w:sz w:val="24"/>
              </w:rPr>
              <w:t>risk that this investment may be under- or overstated in the accounts.</w:t>
            </w:r>
          </w:p>
        </w:tc>
      </w:tr>
      <w:tr w:rsidR="00C56EE7" w:rsidRPr="003D2F7A" w:rsidTr="00495D5D">
        <w:tc>
          <w:tcPr>
            <w:tcW w:w="2717" w:type="dxa"/>
          </w:tcPr>
          <w:p w:rsidR="00C56EE7" w:rsidRPr="00362ACF" w:rsidRDefault="00CA0E9D" w:rsidP="00930352">
            <w:pPr>
              <w:widowControl w:val="0"/>
              <w:tabs>
                <w:tab w:val="left" w:pos="180"/>
                <w:tab w:val="right" w:pos="3060"/>
                <w:tab w:val="right" w:pos="4150"/>
              </w:tabs>
              <w:rPr>
                <w:rFonts w:ascii="Arial" w:hAnsi="Arial" w:cs="Arial"/>
                <w:b/>
                <w:snapToGrid w:val="0"/>
                <w:color w:val="000000"/>
                <w:sz w:val="24"/>
              </w:rPr>
            </w:pPr>
            <w:r w:rsidRPr="00362ACF">
              <w:rPr>
                <w:rFonts w:ascii="Arial" w:hAnsi="Arial" w:cs="Arial"/>
                <w:b/>
                <w:snapToGrid w:val="0"/>
                <w:color w:val="000000"/>
                <w:sz w:val="24"/>
              </w:rPr>
              <w:t>Fund of h</w:t>
            </w:r>
            <w:r w:rsidR="00B142DD" w:rsidRPr="00362ACF">
              <w:rPr>
                <w:rFonts w:ascii="Arial" w:hAnsi="Arial" w:cs="Arial"/>
                <w:b/>
                <w:snapToGrid w:val="0"/>
                <w:color w:val="000000"/>
                <w:sz w:val="24"/>
              </w:rPr>
              <w:t>edge funds</w:t>
            </w:r>
          </w:p>
        </w:tc>
        <w:tc>
          <w:tcPr>
            <w:tcW w:w="3151" w:type="dxa"/>
          </w:tcPr>
          <w:p w:rsidR="00C56EE7" w:rsidRPr="00362ACF" w:rsidRDefault="00CA0E9D" w:rsidP="00CA0E9D">
            <w:pPr>
              <w:widowControl w:val="0"/>
              <w:tabs>
                <w:tab w:val="left" w:pos="180"/>
                <w:tab w:val="right" w:pos="3060"/>
                <w:tab w:val="right" w:pos="4150"/>
              </w:tabs>
              <w:rPr>
                <w:rFonts w:ascii="Arial" w:hAnsi="Arial" w:cs="Arial"/>
                <w:snapToGrid w:val="0"/>
                <w:color w:val="000000"/>
                <w:sz w:val="24"/>
              </w:rPr>
            </w:pPr>
            <w:r w:rsidRPr="00362ACF">
              <w:rPr>
                <w:rFonts w:ascii="Arial" w:hAnsi="Arial" w:cs="Arial"/>
                <w:snapToGrid w:val="0"/>
                <w:color w:val="000000"/>
                <w:sz w:val="24"/>
              </w:rPr>
              <w:t>The fund of hedge funds is valued</w:t>
            </w:r>
            <w:r w:rsidR="00B07450" w:rsidRPr="00362ACF">
              <w:rPr>
                <w:rFonts w:ascii="Arial" w:hAnsi="Arial" w:cs="Arial"/>
                <w:snapToGrid w:val="0"/>
                <w:color w:val="000000"/>
                <w:sz w:val="24"/>
              </w:rPr>
              <w:t xml:space="preserve"> at the sum of the fair values provided by the </w:t>
            </w:r>
            <w:r w:rsidR="00C932D8" w:rsidRPr="00362ACF">
              <w:rPr>
                <w:rFonts w:ascii="Arial" w:hAnsi="Arial" w:cs="Arial"/>
                <w:snapToGrid w:val="0"/>
                <w:color w:val="000000"/>
                <w:sz w:val="24"/>
              </w:rPr>
              <w:t>administrators of the</w:t>
            </w:r>
            <w:r w:rsidR="00B07450" w:rsidRPr="00362ACF">
              <w:rPr>
                <w:rFonts w:ascii="Arial" w:hAnsi="Arial" w:cs="Arial"/>
                <w:snapToGrid w:val="0"/>
                <w:color w:val="000000"/>
                <w:sz w:val="24"/>
              </w:rPr>
              <w:t xml:space="preserve"> </w:t>
            </w:r>
            <w:r w:rsidRPr="00362ACF">
              <w:rPr>
                <w:rFonts w:ascii="Arial" w:hAnsi="Arial" w:cs="Arial"/>
                <w:snapToGrid w:val="0"/>
                <w:color w:val="000000"/>
                <w:sz w:val="24"/>
              </w:rPr>
              <w:t xml:space="preserve">underlying </w:t>
            </w:r>
            <w:r w:rsidR="00B07450" w:rsidRPr="00362ACF">
              <w:rPr>
                <w:rFonts w:ascii="Arial" w:hAnsi="Arial" w:cs="Arial"/>
                <w:snapToGrid w:val="0"/>
                <w:color w:val="000000"/>
                <w:sz w:val="24"/>
              </w:rPr>
              <w:t>funds plus adjustments that the fund</w:t>
            </w:r>
            <w:r w:rsidRPr="00362ACF">
              <w:rPr>
                <w:rFonts w:ascii="Arial" w:hAnsi="Arial" w:cs="Arial"/>
                <w:snapToGrid w:val="0"/>
                <w:color w:val="000000"/>
                <w:sz w:val="24"/>
              </w:rPr>
              <w:t xml:space="preserve"> of hedge fund</w:t>
            </w:r>
            <w:r w:rsidR="00B07450" w:rsidRPr="00362ACF">
              <w:rPr>
                <w:rFonts w:ascii="Arial" w:hAnsi="Arial" w:cs="Arial"/>
                <w:snapToGrid w:val="0"/>
                <w:color w:val="000000"/>
                <w:sz w:val="24"/>
              </w:rPr>
              <w:t>s’ directors or independent administrators judge necessary. These investments are not publicly listed and as such there is a degree of estimation involved in the valuation.</w:t>
            </w:r>
          </w:p>
        </w:tc>
        <w:tc>
          <w:tcPr>
            <w:tcW w:w="3240" w:type="dxa"/>
          </w:tcPr>
          <w:p w:rsidR="00C56EE7" w:rsidRPr="00362ACF" w:rsidRDefault="00DC64BD" w:rsidP="00D368F4">
            <w:pPr>
              <w:widowControl w:val="0"/>
              <w:tabs>
                <w:tab w:val="left" w:pos="180"/>
                <w:tab w:val="right" w:pos="3060"/>
                <w:tab w:val="right" w:pos="4150"/>
              </w:tabs>
              <w:rPr>
                <w:rFonts w:ascii="Arial" w:hAnsi="Arial" w:cs="Arial"/>
                <w:snapToGrid w:val="0"/>
                <w:color w:val="000000"/>
                <w:sz w:val="24"/>
              </w:rPr>
            </w:pPr>
            <w:r w:rsidRPr="00362ACF">
              <w:rPr>
                <w:rFonts w:ascii="Arial" w:hAnsi="Arial" w:cs="Arial"/>
                <w:snapToGrid w:val="0"/>
                <w:color w:val="000000"/>
                <w:sz w:val="24"/>
              </w:rPr>
              <w:t xml:space="preserve">The </w:t>
            </w:r>
            <w:r w:rsidR="00B07450" w:rsidRPr="00362ACF">
              <w:rPr>
                <w:rFonts w:ascii="Arial" w:hAnsi="Arial" w:cs="Arial"/>
                <w:snapToGrid w:val="0"/>
                <w:color w:val="000000"/>
                <w:sz w:val="24"/>
              </w:rPr>
              <w:t xml:space="preserve">total </w:t>
            </w:r>
            <w:r w:rsidR="00DB2680" w:rsidRPr="00362ACF">
              <w:rPr>
                <w:rFonts w:ascii="Arial" w:hAnsi="Arial" w:cs="Arial"/>
                <w:snapToGrid w:val="0"/>
                <w:color w:val="000000"/>
                <w:sz w:val="24"/>
              </w:rPr>
              <w:t xml:space="preserve">fund of </w:t>
            </w:r>
            <w:r w:rsidR="00B07450" w:rsidRPr="00362ACF">
              <w:rPr>
                <w:rFonts w:ascii="Arial" w:hAnsi="Arial" w:cs="Arial"/>
                <w:snapToGrid w:val="0"/>
                <w:color w:val="000000"/>
                <w:sz w:val="24"/>
              </w:rPr>
              <w:t>hedge fund</w:t>
            </w:r>
            <w:r w:rsidR="00DB2680" w:rsidRPr="00362ACF">
              <w:rPr>
                <w:rFonts w:ascii="Arial" w:hAnsi="Arial" w:cs="Arial"/>
                <w:snapToGrid w:val="0"/>
                <w:color w:val="000000"/>
                <w:sz w:val="24"/>
              </w:rPr>
              <w:t>s</w:t>
            </w:r>
            <w:r w:rsidR="00D30F76" w:rsidRPr="00362ACF">
              <w:rPr>
                <w:rFonts w:ascii="Arial" w:hAnsi="Arial" w:cs="Arial"/>
                <w:snapToGrid w:val="0"/>
                <w:color w:val="000000"/>
                <w:sz w:val="24"/>
              </w:rPr>
              <w:t xml:space="preserve"> value in the financial statements is </w:t>
            </w:r>
            <w:r w:rsidR="00B74BFF" w:rsidRPr="00362ACF">
              <w:rPr>
                <w:rFonts w:ascii="Arial" w:hAnsi="Arial" w:cs="Arial"/>
                <w:snapToGrid w:val="0"/>
                <w:color w:val="000000"/>
                <w:sz w:val="24"/>
              </w:rPr>
              <w:t>£</w:t>
            </w:r>
            <w:r w:rsidR="000C7CEE" w:rsidRPr="00362ACF">
              <w:rPr>
                <w:rFonts w:ascii="Arial" w:hAnsi="Arial" w:cs="Arial"/>
                <w:snapToGrid w:val="0"/>
                <w:color w:val="000000"/>
                <w:sz w:val="24"/>
              </w:rPr>
              <w:t>27</w:t>
            </w:r>
            <w:r w:rsidR="00D30F76" w:rsidRPr="00362ACF">
              <w:rPr>
                <w:rFonts w:ascii="Arial" w:hAnsi="Arial" w:cs="Arial"/>
                <w:snapToGrid w:val="0"/>
                <w:color w:val="000000"/>
                <w:sz w:val="24"/>
              </w:rPr>
              <w:t>m. There is a</w:t>
            </w:r>
            <w:r w:rsidR="00B07450" w:rsidRPr="00362ACF">
              <w:rPr>
                <w:rFonts w:ascii="Arial" w:hAnsi="Arial" w:cs="Arial"/>
                <w:snapToGrid w:val="0"/>
                <w:color w:val="000000"/>
                <w:sz w:val="24"/>
              </w:rPr>
              <w:t xml:space="preserve"> risk </w:t>
            </w:r>
            <w:r w:rsidR="00A0030C" w:rsidRPr="00362ACF">
              <w:rPr>
                <w:rFonts w:ascii="Arial" w:hAnsi="Arial" w:cs="Arial"/>
                <w:snapToGrid w:val="0"/>
                <w:color w:val="000000"/>
                <w:sz w:val="24"/>
              </w:rPr>
              <w:t xml:space="preserve">that this investment may be under- or overstated in the accounts. The custodian reports a tolerance of +/- 5% around the net asset values on which the </w:t>
            </w:r>
            <w:r w:rsidR="000C7CEE" w:rsidRPr="00362ACF">
              <w:rPr>
                <w:rFonts w:ascii="Arial" w:hAnsi="Arial" w:cs="Arial"/>
                <w:snapToGrid w:val="0"/>
                <w:color w:val="000000"/>
                <w:sz w:val="24"/>
              </w:rPr>
              <w:t xml:space="preserve">fund of </w:t>
            </w:r>
            <w:r w:rsidR="00A0030C" w:rsidRPr="00362ACF">
              <w:rPr>
                <w:rFonts w:ascii="Arial" w:hAnsi="Arial" w:cs="Arial"/>
                <w:snapToGrid w:val="0"/>
                <w:color w:val="000000"/>
                <w:sz w:val="24"/>
              </w:rPr>
              <w:t>hedge fund</w:t>
            </w:r>
            <w:r w:rsidR="000C7CEE" w:rsidRPr="00362ACF">
              <w:rPr>
                <w:rFonts w:ascii="Arial" w:hAnsi="Arial" w:cs="Arial"/>
                <w:snapToGrid w:val="0"/>
                <w:color w:val="000000"/>
                <w:sz w:val="24"/>
              </w:rPr>
              <w:t>s</w:t>
            </w:r>
            <w:r w:rsidR="00A0030C" w:rsidRPr="00362ACF">
              <w:rPr>
                <w:rFonts w:ascii="Arial" w:hAnsi="Arial" w:cs="Arial"/>
                <w:snapToGrid w:val="0"/>
                <w:color w:val="000000"/>
                <w:sz w:val="24"/>
              </w:rPr>
              <w:t xml:space="preserve"> valuation is based. This equates to a tolerance of +/- </w:t>
            </w:r>
            <w:r w:rsidR="0090796D" w:rsidRPr="00362ACF">
              <w:rPr>
                <w:rFonts w:ascii="Arial" w:hAnsi="Arial" w:cs="Arial"/>
                <w:snapToGrid w:val="0"/>
                <w:color w:val="000000"/>
                <w:sz w:val="24"/>
              </w:rPr>
              <w:t>£1</w:t>
            </w:r>
            <w:r w:rsidR="00CE3ACD">
              <w:rPr>
                <w:rFonts w:ascii="Arial" w:hAnsi="Arial" w:cs="Arial"/>
                <w:snapToGrid w:val="0"/>
                <w:color w:val="000000"/>
                <w:sz w:val="24"/>
              </w:rPr>
              <w:t>m</w:t>
            </w:r>
            <w:r w:rsidR="00A0030C" w:rsidRPr="00362ACF">
              <w:rPr>
                <w:rFonts w:ascii="Arial" w:hAnsi="Arial" w:cs="Arial"/>
                <w:snapToGrid w:val="0"/>
                <w:color w:val="000000"/>
                <w:sz w:val="24"/>
              </w:rPr>
              <w:t>.</w:t>
            </w:r>
          </w:p>
        </w:tc>
      </w:tr>
    </w:tbl>
    <w:p w:rsidR="00640EA5" w:rsidRPr="003D2F7A" w:rsidRDefault="00640EA5" w:rsidP="00930352">
      <w:pPr>
        <w:widowControl w:val="0"/>
        <w:tabs>
          <w:tab w:val="left" w:pos="180"/>
          <w:tab w:val="right" w:pos="3060"/>
          <w:tab w:val="right" w:pos="4150"/>
        </w:tabs>
        <w:rPr>
          <w:rFonts w:ascii="Arial" w:hAnsi="Arial" w:cs="Arial"/>
          <w:b/>
          <w:snapToGrid w:val="0"/>
          <w:color w:val="000000"/>
          <w:sz w:val="24"/>
          <w:highlight w:val="yellow"/>
        </w:rPr>
      </w:pPr>
    </w:p>
    <w:p w:rsidR="00640EA5" w:rsidRPr="00EC5F1B" w:rsidRDefault="00640EA5" w:rsidP="00930352">
      <w:pPr>
        <w:widowControl w:val="0"/>
        <w:tabs>
          <w:tab w:val="left" w:pos="180"/>
          <w:tab w:val="right" w:pos="3060"/>
          <w:tab w:val="right" w:pos="4150"/>
        </w:tabs>
        <w:rPr>
          <w:rFonts w:ascii="Arial" w:hAnsi="Arial" w:cs="Arial"/>
          <w:b/>
          <w:snapToGrid w:val="0"/>
          <w:color w:val="000000"/>
          <w:sz w:val="24"/>
        </w:rPr>
      </w:pPr>
    </w:p>
    <w:p w:rsidR="00F80138" w:rsidRPr="00EC5F1B" w:rsidRDefault="00A455F3" w:rsidP="00F80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EC5F1B">
        <w:rPr>
          <w:rFonts w:ascii="Arial" w:hAnsi="Arial" w:cs="Arial"/>
          <w:b/>
          <w:snapToGrid w:val="0"/>
          <w:color w:val="000000"/>
          <w:sz w:val="24"/>
        </w:rPr>
        <w:t>6.</w:t>
      </w:r>
      <w:r w:rsidR="00C80769" w:rsidRPr="00EC5F1B">
        <w:rPr>
          <w:rFonts w:ascii="Arial" w:hAnsi="Arial" w:cs="Arial"/>
          <w:b/>
          <w:snapToGrid w:val="0"/>
          <w:color w:val="000000"/>
          <w:sz w:val="24"/>
        </w:rPr>
        <w:t xml:space="preserve"> </w:t>
      </w:r>
      <w:r w:rsidR="00F80138" w:rsidRPr="00EC5F1B">
        <w:rPr>
          <w:rFonts w:ascii="Arial" w:hAnsi="Arial" w:cs="Arial"/>
          <w:b/>
          <w:snapToGrid w:val="0"/>
          <w:color w:val="000000"/>
          <w:sz w:val="24"/>
        </w:rPr>
        <w:t xml:space="preserve"> E</w:t>
      </w:r>
      <w:r w:rsidRPr="00EC5F1B">
        <w:rPr>
          <w:rFonts w:ascii="Arial" w:hAnsi="Arial" w:cs="Arial"/>
          <w:b/>
          <w:snapToGrid w:val="0"/>
          <w:color w:val="000000"/>
          <w:sz w:val="24"/>
        </w:rPr>
        <w:t>vents after the Balance Sheet date</w:t>
      </w:r>
    </w:p>
    <w:p w:rsidR="00F80138" w:rsidRPr="00EC5F1B" w:rsidRDefault="00F80138" w:rsidP="00F80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F80138" w:rsidRPr="00EC5F1B" w:rsidRDefault="00F80138" w:rsidP="00F80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EC5F1B">
        <w:rPr>
          <w:rFonts w:ascii="Arial" w:hAnsi="Arial" w:cs="Arial"/>
          <w:color w:val="000000"/>
          <w:sz w:val="24"/>
          <w:szCs w:val="24"/>
        </w:rPr>
        <w:t>There have be</w:t>
      </w:r>
      <w:r w:rsidR="00EC5F1B" w:rsidRPr="00EC5F1B">
        <w:rPr>
          <w:rFonts w:ascii="Arial" w:hAnsi="Arial" w:cs="Arial"/>
          <w:color w:val="000000"/>
          <w:sz w:val="24"/>
          <w:szCs w:val="24"/>
        </w:rPr>
        <w:t>en no events since 31 March 2013</w:t>
      </w:r>
      <w:r w:rsidRPr="00EC5F1B">
        <w:rPr>
          <w:rFonts w:ascii="Arial" w:hAnsi="Arial" w:cs="Arial"/>
          <w:color w:val="000000"/>
          <w:sz w:val="24"/>
          <w:szCs w:val="24"/>
        </w:rPr>
        <w:t>, and up to the date when these accounts were authorised, that require any adjustments to these accounts.</w:t>
      </w:r>
    </w:p>
    <w:p w:rsidR="00F80138" w:rsidRPr="003D2F7A" w:rsidRDefault="00F80138" w:rsidP="00930352">
      <w:pPr>
        <w:widowControl w:val="0"/>
        <w:tabs>
          <w:tab w:val="left" w:pos="180"/>
          <w:tab w:val="right" w:pos="3060"/>
          <w:tab w:val="right" w:pos="4150"/>
        </w:tabs>
        <w:rPr>
          <w:snapToGrid w:val="0"/>
          <w:color w:val="000000"/>
          <w:sz w:val="24"/>
          <w:highlight w:val="yellow"/>
        </w:rPr>
      </w:pPr>
    </w:p>
    <w:p w:rsidR="00F80138" w:rsidRPr="00065440" w:rsidRDefault="00F80138" w:rsidP="00930352">
      <w:pPr>
        <w:widowControl w:val="0"/>
        <w:tabs>
          <w:tab w:val="left" w:pos="180"/>
          <w:tab w:val="right" w:pos="3060"/>
          <w:tab w:val="right" w:pos="4150"/>
        </w:tabs>
        <w:rPr>
          <w:snapToGrid w:val="0"/>
          <w:color w:val="000000"/>
          <w:sz w:val="24"/>
        </w:rPr>
      </w:pPr>
    </w:p>
    <w:p w:rsidR="00805B2E" w:rsidRPr="00065440" w:rsidRDefault="003C67D5" w:rsidP="00930352">
      <w:pPr>
        <w:widowControl w:val="0"/>
        <w:tabs>
          <w:tab w:val="left" w:pos="180"/>
          <w:tab w:val="right" w:pos="3060"/>
          <w:tab w:val="right" w:pos="4150"/>
        </w:tabs>
        <w:rPr>
          <w:rFonts w:ascii="Arial" w:hAnsi="Arial" w:cs="Arial"/>
          <w:b/>
          <w:snapToGrid w:val="0"/>
          <w:color w:val="000000"/>
          <w:sz w:val="24"/>
        </w:rPr>
      </w:pPr>
      <w:r w:rsidRPr="00065440">
        <w:rPr>
          <w:rFonts w:ascii="Arial" w:hAnsi="Arial" w:cs="Arial"/>
          <w:b/>
          <w:snapToGrid w:val="0"/>
          <w:color w:val="000000"/>
          <w:sz w:val="24"/>
        </w:rPr>
        <w:t>7</w:t>
      </w:r>
      <w:r w:rsidR="00A455F3" w:rsidRPr="00065440">
        <w:rPr>
          <w:rFonts w:ascii="Arial" w:hAnsi="Arial" w:cs="Arial"/>
          <w:b/>
          <w:snapToGrid w:val="0"/>
          <w:color w:val="000000"/>
          <w:sz w:val="24"/>
        </w:rPr>
        <w:t>.</w:t>
      </w:r>
      <w:r w:rsidR="00925ED9" w:rsidRPr="00065440">
        <w:rPr>
          <w:rFonts w:ascii="Arial" w:hAnsi="Arial" w:cs="Arial"/>
          <w:b/>
          <w:snapToGrid w:val="0"/>
          <w:color w:val="000000"/>
          <w:sz w:val="24"/>
        </w:rPr>
        <w:t xml:space="preserve"> </w:t>
      </w:r>
      <w:r w:rsidR="00A455F3" w:rsidRPr="00065440">
        <w:rPr>
          <w:rFonts w:ascii="Arial" w:hAnsi="Arial" w:cs="Arial"/>
          <w:b/>
          <w:snapToGrid w:val="0"/>
          <w:color w:val="000000"/>
          <w:sz w:val="24"/>
        </w:rPr>
        <w:t xml:space="preserve"> Contributions receivable</w:t>
      </w:r>
    </w:p>
    <w:p w:rsidR="00606358" w:rsidRPr="00065440" w:rsidRDefault="00606358" w:rsidP="00925ED9">
      <w:pPr>
        <w:widowControl w:val="0"/>
        <w:tabs>
          <w:tab w:val="left" w:pos="180"/>
          <w:tab w:val="right" w:pos="3060"/>
          <w:tab w:val="right" w:pos="4150"/>
        </w:tabs>
        <w:rPr>
          <w:rFonts w:ascii="Arial" w:hAnsi="Arial" w:cs="Arial"/>
          <w:snapToGrid w:val="0"/>
          <w:color w:val="000000"/>
          <w:sz w:val="24"/>
        </w:rPr>
      </w:pPr>
    </w:p>
    <w:p w:rsidR="00606358" w:rsidRPr="00065440" w:rsidRDefault="00606358" w:rsidP="00606358">
      <w:pPr>
        <w:widowControl w:val="0"/>
        <w:tabs>
          <w:tab w:val="left" w:pos="180"/>
          <w:tab w:val="right" w:pos="3060"/>
          <w:tab w:val="right" w:pos="4150"/>
        </w:tabs>
        <w:rPr>
          <w:rFonts w:ascii="Arial" w:hAnsi="Arial" w:cs="Arial"/>
          <w:b/>
          <w:snapToGrid w:val="0"/>
          <w:color w:val="000000"/>
          <w:sz w:val="24"/>
        </w:rPr>
      </w:pPr>
      <w:r w:rsidRPr="00065440">
        <w:rPr>
          <w:rFonts w:ascii="Arial" w:hAnsi="Arial" w:cs="Arial"/>
          <w:b/>
          <w:snapToGrid w:val="0"/>
          <w:color w:val="000000"/>
          <w:sz w:val="24"/>
        </w:rPr>
        <w:t>By category</w:t>
      </w:r>
    </w:p>
    <w:p w:rsidR="00606358" w:rsidRPr="00065440" w:rsidRDefault="00606358" w:rsidP="00606358">
      <w:pPr>
        <w:widowControl w:val="0"/>
        <w:tabs>
          <w:tab w:val="left" w:pos="180"/>
          <w:tab w:val="right" w:pos="3060"/>
          <w:tab w:val="right" w:pos="4150"/>
        </w:tabs>
        <w:rPr>
          <w:rFonts w:ascii="Arial" w:hAnsi="Arial" w:cs="Arial"/>
          <w:snapToGrid w:val="0"/>
          <w:color w:val="000000"/>
          <w:sz w:val="24"/>
        </w:rPr>
      </w:pPr>
      <w:r w:rsidRPr="00065440">
        <w:rPr>
          <w:rFonts w:ascii="Arial" w:hAnsi="Arial" w:cs="Arial"/>
          <w:snapToGrid w:val="0"/>
          <w:color w:val="000000"/>
          <w:sz w:val="24"/>
        </w:rPr>
        <w:tab/>
      </w:r>
      <w:r w:rsidRPr="00065440">
        <w:rPr>
          <w:rFonts w:ascii="Arial" w:hAnsi="Arial" w:cs="Arial"/>
          <w:snapToGrid w:val="0"/>
          <w:color w:val="000000"/>
          <w:sz w:val="24"/>
        </w:rPr>
        <w:tab/>
      </w:r>
      <w:r w:rsidRPr="00065440">
        <w:rPr>
          <w:rFonts w:ascii="Arial" w:hAnsi="Arial" w:cs="Arial"/>
          <w:snapToGrid w:val="0"/>
          <w:color w:val="000000"/>
          <w:sz w:val="24"/>
        </w:rPr>
        <w:tab/>
      </w:r>
      <w:r w:rsidRPr="00065440">
        <w:rPr>
          <w:rFonts w:ascii="Arial" w:hAnsi="Arial" w:cs="Arial"/>
          <w:snapToGrid w:val="0"/>
          <w:color w:val="000000"/>
          <w:sz w:val="24"/>
        </w:rPr>
        <w:tab/>
      </w:r>
      <w:r w:rsidRPr="00065440">
        <w:rPr>
          <w:rFonts w:ascii="Arial" w:hAnsi="Arial" w:cs="Arial"/>
          <w:snapToGrid w:val="0"/>
          <w:color w:val="000000"/>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3"/>
        <w:gridCol w:w="2104"/>
        <w:gridCol w:w="2105"/>
      </w:tblGrid>
      <w:tr w:rsidR="00606358" w:rsidRPr="00065440" w:rsidTr="006A7879">
        <w:tc>
          <w:tcPr>
            <w:tcW w:w="3943" w:type="dxa"/>
          </w:tcPr>
          <w:p w:rsidR="00606358" w:rsidRPr="00065440" w:rsidRDefault="00606358"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606358" w:rsidRPr="00065440" w:rsidRDefault="00C26113" w:rsidP="006A7879">
            <w:pPr>
              <w:widowControl w:val="0"/>
              <w:tabs>
                <w:tab w:val="left" w:pos="180"/>
                <w:tab w:val="right" w:pos="3060"/>
                <w:tab w:val="right" w:pos="4150"/>
              </w:tabs>
              <w:jc w:val="right"/>
              <w:rPr>
                <w:rFonts w:ascii="Arial" w:hAnsi="Arial" w:cs="Arial"/>
                <w:b/>
                <w:snapToGrid w:val="0"/>
                <w:color w:val="000000"/>
                <w:sz w:val="24"/>
              </w:rPr>
            </w:pPr>
            <w:r w:rsidRPr="00065440">
              <w:rPr>
                <w:rFonts w:ascii="Arial" w:hAnsi="Arial" w:cs="Arial"/>
                <w:b/>
                <w:snapToGrid w:val="0"/>
                <w:color w:val="000000"/>
                <w:sz w:val="24"/>
              </w:rPr>
              <w:t>2011/12</w:t>
            </w:r>
          </w:p>
        </w:tc>
        <w:tc>
          <w:tcPr>
            <w:tcW w:w="2105" w:type="dxa"/>
          </w:tcPr>
          <w:p w:rsidR="00606358" w:rsidRPr="00065440" w:rsidRDefault="00C26113" w:rsidP="006A7879">
            <w:pPr>
              <w:widowControl w:val="0"/>
              <w:tabs>
                <w:tab w:val="left" w:pos="180"/>
                <w:tab w:val="right" w:pos="3060"/>
                <w:tab w:val="right" w:pos="4150"/>
              </w:tabs>
              <w:jc w:val="right"/>
              <w:rPr>
                <w:rFonts w:ascii="Arial" w:hAnsi="Arial" w:cs="Arial"/>
                <w:b/>
                <w:snapToGrid w:val="0"/>
                <w:color w:val="000000"/>
                <w:sz w:val="24"/>
              </w:rPr>
            </w:pPr>
            <w:r w:rsidRPr="00065440">
              <w:rPr>
                <w:rFonts w:ascii="Arial" w:hAnsi="Arial" w:cs="Arial"/>
                <w:b/>
                <w:snapToGrid w:val="0"/>
                <w:color w:val="000000"/>
                <w:sz w:val="24"/>
              </w:rPr>
              <w:t>2012/13</w:t>
            </w:r>
          </w:p>
        </w:tc>
      </w:tr>
      <w:tr w:rsidR="00606358" w:rsidRPr="00065440" w:rsidTr="006A7879">
        <w:tc>
          <w:tcPr>
            <w:tcW w:w="3943" w:type="dxa"/>
          </w:tcPr>
          <w:p w:rsidR="00606358" w:rsidRPr="00065440" w:rsidRDefault="00606358"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606358" w:rsidRPr="00065440" w:rsidRDefault="00606358" w:rsidP="006A7879">
            <w:pPr>
              <w:widowControl w:val="0"/>
              <w:tabs>
                <w:tab w:val="left" w:pos="180"/>
                <w:tab w:val="right" w:pos="3060"/>
                <w:tab w:val="right" w:pos="4150"/>
              </w:tabs>
              <w:jc w:val="right"/>
              <w:rPr>
                <w:rFonts w:ascii="Arial" w:hAnsi="Arial" w:cs="Arial"/>
                <w:b/>
                <w:snapToGrid w:val="0"/>
                <w:color w:val="000000"/>
                <w:sz w:val="24"/>
              </w:rPr>
            </w:pPr>
            <w:r w:rsidRPr="00065440">
              <w:rPr>
                <w:rFonts w:ascii="Arial" w:hAnsi="Arial" w:cs="Arial"/>
                <w:b/>
                <w:snapToGrid w:val="0"/>
                <w:color w:val="000000"/>
                <w:sz w:val="24"/>
              </w:rPr>
              <w:t>£’000</w:t>
            </w:r>
          </w:p>
        </w:tc>
        <w:tc>
          <w:tcPr>
            <w:tcW w:w="2105" w:type="dxa"/>
          </w:tcPr>
          <w:p w:rsidR="00606358" w:rsidRPr="00065440" w:rsidRDefault="00606358" w:rsidP="006A7879">
            <w:pPr>
              <w:widowControl w:val="0"/>
              <w:tabs>
                <w:tab w:val="left" w:pos="180"/>
                <w:tab w:val="right" w:pos="3060"/>
                <w:tab w:val="right" w:pos="4150"/>
              </w:tabs>
              <w:jc w:val="right"/>
              <w:rPr>
                <w:rFonts w:ascii="Arial" w:hAnsi="Arial" w:cs="Arial"/>
                <w:b/>
                <w:snapToGrid w:val="0"/>
                <w:color w:val="000000"/>
                <w:sz w:val="24"/>
              </w:rPr>
            </w:pPr>
            <w:r w:rsidRPr="00065440">
              <w:rPr>
                <w:rFonts w:ascii="Arial" w:hAnsi="Arial" w:cs="Arial"/>
                <w:b/>
                <w:snapToGrid w:val="0"/>
                <w:color w:val="000000"/>
                <w:sz w:val="24"/>
              </w:rPr>
              <w:t>£’000</w:t>
            </w:r>
          </w:p>
        </w:tc>
      </w:tr>
      <w:tr w:rsidR="00606358" w:rsidRPr="00065440" w:rsidTr="006A7879">
        <w:tc>
          <w:tcPr>
            <w:tcW w:w="3943" w:type="dxa"/>
          </w:tcPr>
          <w:p w:rsidR="00606358" w:rsidRPr="00065440" w:rsidRDefault="00606358"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606358" w:rsidRPr="00065440" w:rsidRDefault="00606358"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Pr>
          <w:p w:rsidR="00606358" w:rsidRPr="00065440" w:rsidRDefault="00606358" w:rsidP="006A7879">
            <w:pPr>
              <w:widowControl w:val="0"/>
              <w:tabs>
                <w:tab w:val="left" w:pos="180"/>
                <w:tab w:val="right" w:pos="3060"/>
                <w:tab w:val="right" w:pos="4150"/>
              </w:tabs>
              <w:jc w:val="right"/>
              <w:rPr>
                <w:rFonts w:ascii="Arial" w:hAnsi="Arial" w:cs="Arial"/>
                <w:snapToGrid w:val="0"/>
                <w:color w:val="000000"/>
                <w:sz w:val="24"/>
              </w:rPr>
            </w:pPr>
          </w:p>
        </w:tc>
      </w:tr>
      <w:tr w:rsidR="00606358" w:rsidRPr="00065440" w:rsidTr="006A7879">
        <w:tc>
          <w:tcPr>
            <w:tcW w:w="3943" w:type="dxa"/>
          </w:tcPr>
          <w:p w:rsidR="00606358" w:rsidRPr="00065440" w:rsidRDefault="00606358" w:rsidP="003C64BD">
            <w:pPr>
              <w:widowControl w:val="0"/>
              <w:tabs>
                <w:tab w:val="left" w:pos="180"/>
                <w:tab w:val="right" w:pos="3060"/>
                <w:tab w:val="right" w:pos="4150"/>
              </w:tabs>
              <w:rPr>
                <w:rFonts w:ascii="Arial" w:hAnsi="Arial" w:cs="Arial"/>
                <w:snapToGrid w:val="0"/>
                <w:color w:val="000000"/>
                <w:sz w:val="24"/>
              </w:rPr>
            </w:pPr>
            <w:r w:rsidRPr="00065440">
              <w:rPr>
                <w:rFonts w:ascii="Arial" w:hAnsi="Arial" w:cs="Arial"/>
                <w:snapToGrid w:val="0"/>
                <w:color w:val="000000"/>
                <w:sz w:val="24"/>
              </w:rPr>
              <w:t>Employers</w:t>
            </w:r>
          </w:p>
        </w:tc>
        <w:tc>
          <w:tcPr>
            <w:tcW w:w="2104" w:type="dxa"/>
          </w:tcPr>
          <w:p w:rsidR="00606358" w:rsidRPr="00065440" w:rsidRDefault="00C26113" w:rsidP="006A7879">
            <w:pPr>
              <w:widowControl w:val="0"/>
              <w:tabs>
                <w:tab w:val="left" w:pos="180"/>
                <w:tab w:val="right" w:pos="3060"/>
                <w:tab w:val="right" w:pos="4150"/>
              </w:tabs>
              <w:jc w:val="right"/>
              <w:rPr>
                <w:rFonts w:ascii="Arial" w:hAnsi="Arial" w:cs="Arial"/>
                <w:snapToGrid w:val="0"/>
                <w:color w:val="000000"/>
                <w:sz w:val="24"/>
              </w:rPr>
            </w:pPr>
            <w:r w:rsidRPr="00065440">
              <w:rPr>
                <w:rFonts w:ascii="Arial" w:hAnsi="Arial" w:cs="Arial"/>
                <w:snapToGrid w:val="0"/>
                <w:color w:val="000000"/>
                <w:sz w:val="24"/>
              </w:rPr>
              <w:t>33,883</w:t>
            </w:r>
          </w:p>
        </w:tc>
        <w:tc>
          <w:tcPr>
            <w:tcW w:w="2105" w:type="dxa"/>
          </w:tcPr>
          <w:p w:rsidR="00606358" w:rsidRPr="009E3081" w:rsidRDefault="009E3081" w:rsidP="006A7879">
            <w:pPr>
              <w:widowControl w:val="0"/>
              <w:tabs>
                <w:tab w:val="left" w:pos="180"/>
                <w:tab w:val="right" w:pos="3060"/>
                <w:tab w:val="right" w:pos="4150"/>
              </w:tabs>
              <w:jc w:val="right"/>
              <w:rPr>
                <w:rFonts w:ascii="Arial" w:hAnsi="Arial" w:cs="Arial"/>
                <w:snapToGrid w:val="0"/>
                <w:color w:val="000000"/>
                <w:sz w:val="24"/>
              </w:rPr>
            </w:pPr>
            <w:r w:rsidRPr="009E3081">
              <w:rPr>
                <w:rFonts w:ascii="Arial" w:hAnsi="Arial" w:cs="Arial"/>
                <w:snapToGrid w:val="0"/>
                <w:color w:val="000000"/>
                <w:sz w:val="24"/>
              </w:rPr>
              <w:t>36,278</w:t>
            </w:r>
          </w:p>
        </w:tc>
      </w:tr>
      <w:tr w:rsidR="00606358" w:rsidRPr="00065440" w:rsidTr="007A41F4">
        <w:tc>
          <w:tcPr>
            <w:tcW w:w="3943" w:type="dxa"/>
          </w:tcPr>
          <w:p w:rsidR="00606358" w:rsidRPr="00065440" w:rsidRDefault="00606358" w:rsidP="003C64BD">
            <w:pPr>
              <w:widowControl w:val="0"/>
              <w:tabs>
                <w:tab w:val="left" w:pos="180"/>
                <w:tab w:val="right" w:pos="3060"/>
                <w:tab w:val="right" w:pos="4150"/>
              </w:tabs>
              <w:rPr>
                <w:rFonts w:ascii="Arial" w:hAnsi="Arial" w:cs="Arial"/>
                <w:snapToGrid w:val="0"/>
                <w:color w:val="000000"/>
                <w:sz w:val="24"/>
              </w:rPr>
            </w:pPr>
            <w:r w:rsidRPr="00065440">
              <w:rPr>
                <w:rFonts w:ascii="Arial" w:hAnsi="Arial" w:cs="Arial"/>
                <w:snapToGrid w:val="0"/>
                <w:color w:val="000000"/>
                <w:sz w:val="24"/>
              </w:rPr>
              <w:t>Members</w:t>
            </w:r>
          </w:p>
        </w:tc>
        <w:tc>
          <w:tcPr>
            <w:tcW w:w="2104" w:type="dxa"/>
          </w:tcPr>
          <w:p w:rsidR="00606358" w:rsidRPr="00065440" w:rsidRDefault="00065440" w:rsidP="006A7879">
            <w:pPr>
              <w:widowControl w:val="0"/>
              <w:tabs>
                <w:tab w:val="left" w:pos="180"/>
                <w:tab w:val="right" w:pos="3060"/>
                <w:tab w:val="right" w:pos="4150"/>
              </w:tabs>
              <w:jc w:val="right"/>
              <w:rPr>
                <w:rFonts w:ascii="Arial" w:hAnsi="Arial" w:cs="Arial"/>
                <w:snapToGrid w:val="0"/>
                <w:color w:val="000000"/>
                <w:sz w:val="24"/>
              </w:rPr>
            </w:pPr>
            <w:r w:rsidRPr="00065440">
              <w:rPr>
                <w:rFonts w:ascii="Arial" w:hAnsi="Arial" w:cs="Arial"/>
                <w:snapToGrid w:val="0"/>
                <w:color w:val="000000"/>
                <w:sz w:val="24"/>
              </w:rPr>
              <w:t>7,780</w:t>
            </w:r>
          </w:p>
        </w:tc>
        <w:tc>
          <w:tcPr>
            <w:tcW w:w="2105" w:type="dxa"/>
          </w:tcPr>
          <w:p w:rsidR="00606358" w:rsidRPr="009E3081" w:rsidRDefault="009E3081" w:rsidP="006A7879">
            <w:pPr>
              <w:widowControl w:val="0"/>
              <w:tabs>
                <w:tab w:val="left" w:pos="180"/>
                <w:tab w:val="right" w:pos="3060"/>
                <w:tab w:val="right" w:pos="4150"/>
              </w:tabs>
              <w:jc w:val="right"/>
              <w:rPr>
                <w:rFonts w:ascii="Arial" w:hAnsi="Arial" w:cs="Arial"/>
                <w:snapToGrid w:val="0"/>
                <w:color w:val="000000"/>
                <w:sz w:val="24"/>
              </w:rPr>
            </w:pPr>
            <w:r w:rsidRPr="009E3081">
              <w:rPr>
                <w:rFonts w:ascii="Arial" w:hAnsi="Arial" w:cs="Arial"/>
                <w:snapToGrid w:val="0"/>
                <w:color w:val="000000"/>
                <w:sz w:val="24"/>
              </w:rPr>
              <w:t>7,504</w:t>
            </w:r>
          </w:p>
        </w:tc>
      </w:tr>
      <w:tr w:rsidR="007A41F4" w:rsidRPr="00065440" w:rsidTr="007A41F4">
        <w:tc>
          <w:tcPr>
            <w:tcW w:w="3943" w:type="dxa"/>
          </w:tcPr>
          <w:p w:rsidR="007A41F4" w:rsidRPr="00065440" w:rsidRDefault="007A41F4"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Borders>
              <w:bottom w:val="single" w:sz="4" w:space="0" w:color="auto"/>
            </w:tcBorders>
            <w:vAlign w:val="bottom"/>
          </w:tcPr>
          <w:p w:rsidR="007A41F4" w:rsidRPr="00065440" w:rsidRDefault="007A41F4" w:rsidP="00C554A1">
            <w:pPr>
              <w:rPr>
                <w:rFonts w:ascii="Arial" w:hAnsi="Arial" w:cs="Arial"/>
                <w:lang w:eastAsia="en-GB"/>
              </w:rPr>
            </w:pPr>
          </w:p>
        </w:tc>
        <w:tc>
          <w:tcPr>
            <w:tcW w:w="2105" w:type="dxa"/>
            <w:tcBorders>
              <w:bottom w:val="single" w:sz="4" w:space="0" w:color="auto"/>
            </w:tcBorders>
          </w:tcPr>
          <w:p w:rsidR="007A41F4" w:rsidRPr="009E3081" w:rsidRDefault="007A41F4" w:rsidP="006A7879">
            <w:pPr>
              <w:widowControl w:val="0"/>
              <w:tabs>
                <w:tab w:val="left" w:pos="180"/>
                <w:tab w:val="right" w:pos="3060"/>
                <w:tab w:val="right" w:pos="4150"/>
              </w:tabs>
              <w:jc w:val="right"/>
              <w:rPr>
                <w:rFonts w:ascii="Arial" w:hAnsi="Arial" w:cs="Arial"/>
                <w:snapToGrid w:val="0"/>
                <w:color w:val="000000"/>
                <w:sz w:val="24"/>
              </w:rPr>
            </w:pPr>
          </w:p>
        </w:tc>
      </w:tr>
      <w:tr w:rsidR="007A41F4" w:rsidRPr="003D2F7A" w:rsidTr="007A41F4">
        <w:tc>
          <w:tcPr>
            <w:tcW w:w="3943" w:type="dxa"/>
          </w:tcPr>
          <w:p w:rsidR="007A41F4" w:rsidRPr="00065440" w:rsidRDefault="007A41F4" w:rsidP="006A7879">
            <w:pPr>
              <w:widowControl w:val="0"/>
              <w:tabs>
                <w:tab w:val="left" w:pos="180"/>
                <w:tab w:val="right" w:pos="3060"/>
                <w:tab w:val="right" w:pos="4150"/>
              </w:tabs>
              <w:jc w:val="both"/>
              <w:rPr>
                <w:rFonts w:ascii="Arial" w:hAnsi="Arial" w:cs="Arial"/>
                <w:b/>
                <w:snapToGrid w:val="0"/>
                <w:color w:val="000000"/>
                <w:sz w:val="24"/>
              </w:rPr>
            </w:pPr>
            <w:r w:rsidRPr="00065440">
              <w:rPr>
                <w:rFonts w:ascii="Arial" w:hAnsi="Arial" w:cs="Arial"/>
                <w:b/>
                <w:snapToGrid w:val="0"/>
                <w:color w:val="000000"/>
                <w:sz w:val="24"/>
              </w:rPr>
              <w:t>Total</w:t>
            </w:r>
          </w:p>
        </w:tc>
        <w:tc>
          <w:tcPr>
            <w:tcW w:w="2104" w:type="dxa"/>
            <w:tcBorders>
              <w:top w:val="single" w:sz="4" w:space="0" w:color="auto"/>
            </w:tcBorders>
          </w:tcPr>
          <w:p w:rsidR="007A41F4" w:rsidRPr="00065440" w:rsidRDefault="00065440" w:rsidP="006A7879">
            <w:pPr>
              <w:widowControl w:val="0"/>
              <w:tabs>
                <w:tab w:val="left" w:pos="180"/>
                <w:tab w:val="right" w:pos="3060"/>
                <w:tab w:val="right" w:pos="4150"/>
              </w:tabs>
              <w:jc w:val="right"/>
              <w:rPr>
                <w:rFonts w:ascii="Arial" w:hAnsi="Arial" w:cs="Arial"/>
                <w:b/>
                <w:snapToGrid w:val="0"/>
                <w:color w:val="000000"/>
                <w:sz w:val="24"/>
              </w:rPr>
            </w:pPr>
            <w:r w:rsidRPr="00065440">
              <w:rPr>
                <w:rFonts w:ascii="Arial" w:hAnsi="Arial" w:cs="Arial"/>
                <w:b/>
                <w:snapToGrid w:val="0"/>
                <w:color w:val="000000"/>
                <w:sz w:val="24"/>
              </w:rPr>
              <w:t>41,663</w:t>
            </w:r>
          </w:p>
        </w:tc>
        <w:tc>
          <w:tcPr>
            <w:tcW w:w="2105" w:type="dxa"/>
            <w:tcBorders>
              <w:top w:val="single" w:sz="4" w:space="0" w:color="auto"/>
            </w:tcBorders>
          </w:tcPr>
          <w:p w:rsidR="007A41F4" w:rsidRPr="009E3081" w:rsidRDefault="009E3081" w:rsidP="006A7879">
            <w:pPr>
              <w:widowControl w:val="0"/>
              <w:tabs>
                <w:tab w:val="left" w:pos="180"/>
                <w:tab w:val="right" w:pos="3060"/>
                <w:tab w:val="right" w:pos="4150"/>
              </w:tabs>
              <w:jc w:val="right"/>
              <w:rPr>
                <w:rFonts w:ascii="Arial" w:hAnsi="Arial" w:cs="Arial"/>
                <w:b/>
                <w:snapToGrid w:val="0"/>
                <w:color w:val="000000"/>
                <w:sz w:val="24"/>
              </w:rPr>
            </w:pPr>
            <w:r w:rsidRPr="009E3081">
              <w:rPr>
                <w:rFonts w:ascii="Arial" w:hAnsi="Arial" w:cs="Arial"/>
                <w:b/>
                <w:snapToGrid w:val="0"/>
                <w:color w:val="000000"/>
                <w:sz w:val="24"/>
              </w:rPr>
              <w:t>43,782</w:t>
            </w:r>
          </w:p>
        </w:tc>
      </w:tr>
    </w:tbl>
    <w:p w:rsidR="00EC5F1B" w:rsidRDefault="00EC5F1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3"/>
        <w:gridCol w:w="2104"/>
        <w:gridCol w:w="2105"/>
      </w:tblGrid>
      <w:tr w:rsidR="007A41F4" w:rsidRPr="003D2F7A" w:rsidTr="006A7879">
        <w:tc>
          <w:tcPr>
            <w:tcW w:w="3943" w:type="dxa"/>
          </w:tcPr>
          <w:p w:rsidR="007A41F4" w:rsidRPr="00937FF0" w:rsidRDefault="007A41F4" w:rsidP="006A7879">
            <w:pPr>
              <w:widowControl w:val="0"/>
              <w:tabs>
                <w:tab w:val="left" w:pos="180"/>
                <w:tab w:val="right" w:pos="3060"/>
                <w:tab w:val="right" w:pos="4150"/>
              </w:tabs>
              <w:jc w:val="both"/>
              <w:rPr>
                <w:rFonts w:ascii="Arial" w:hAnsi="Arial" w:cs="Arial"/>
                <w:b/>
                <w:snapToGrid w:val="0"/>
                <w:color w:val="000000"/>
                <w:sz w:val="24"/>
              </w:rPr>
            </w:pPr>
            <w:r w:rsidRPr="00937FF0">
              <w:rPr>
                <w:rFonts w:ascii="Arial" w:hAnsi="Arial" w:cs="Arial"/>
                <w:b/>
                <w:snapToGrid w:val="0"/>
                <w:color w:val="000000"/>
                <w:sz w:val="24"/>
              </w:rPr>
              <w:lastRenderedPageBreak/>
              <w:t>By authority</w:t>
            </w:r>
          </w:p>
        </w:tc>
        <w:tc>
          <w:tcPr>
            <w:tcW w:w="2104" w:type="dxa"/>
          </w:tcPr>
          <w:p w:rsidR="007A41F4" w:rsidRPr="00937FF0" w:rsidRDefault="007A41F4"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Pr>
          <w:p w:rsidR="007A41F4" w:rsidRPr="00937FF0" w:rsidRDefault="007A41F4" w:rsidP="006A7879">
            <w:pPr>
              <w:widowControl w:val="0"/>
              <w:tabs>
                <w:tab w:val="left" w:pos="180"/>
                <w:tab w:val="right" w:pos="3060"/>
                <w:tab w:val="right" w:pos="4150"/>
              </w:tabs>
              <w:jc w:val="right"/>
              <w:rPr>
                <w:rFonts w:ascii="Arial" w:hAnsi="Arial" w:cs="Arial"/>
                <w:snapToGrid w:val="0"/>
                <w:color w:val="000000"/>
                <w:sz w:val="24"/>
              </w:rPr>
            </w:pPr>
          </w:p>
        </w:tc>
      </w:tr>
      <w:tr w:rsidR="007A41F4" w:rsidRPr="003D2F7A" w:rsidTr="006A7879">
        <w:tc>
          <w:tcPr>
            <w:tcW w:w="3943" w:type="dxa"/>
          </w:tcPr>
          <w:p w:rsidR="007A41F4" w:rsidRPr="00937FF0" w:rsidRDefault="007A41F4"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7A41F4" w:rsidRPr="00937FF0" w:rsidRDefault="00D27100" w:rsidP="006A7879">
            <w:pPr>
              <w:widowControl w:val="0"/>
              <w:tabs>
                <w:tab w:val="left" w:pos="180"/>
                <w:tab w:val="right" w:pos="3060"/>
                <w:tab w:val="right" w:pos="4150"/>
              </w:tabs>
              <w:jc w:val="right"/>
              <w:rPr>
                <w:rFonts w:ascii="Arial" w:hAnsi="Arial" w:cs="Arial"/>
                <w:b/>
                <w:snapToGrid w:val="0"/>
                <w:color w:val="000000"/>
                <w:sz w:val="24"/>
              </w:rPr>
            </w:pPr>
            <w:r w:rsidRPr="00937FF0">
              <w:rPr>
                <w:rFonts w:ascii="Arial" w:hAnsi="Arial" w:cs="Arial"/>
                <w:b/>
                <w:snapToGrid w:val="0"/>
                <w:color w:val="000000"/>
                <w:sz w:val="24"/>
              </w:rPr>
              <w:t>2011/12</w:t>
            </w:r>
          </w:p>
        </w:tc>
        <w:tc>
          <w:tcPr>
            <w:tcW w:w="2105" w:type="dxa"/>
          </w:tcPr>
          <w:p w:rsidR="007A41F4" w:rsidRPr="00937FF0" w:rsidRDefault="00D27100" w:rsidP="006A7879">
            <w:pPr>
              <w:widowControl w:val="0"/>
              <w:tabs>
                <w:tab w:val="left" w:pos="180"/>
                <w:tab w:val="right" w:pos="3060"/>
                <w:tab w:val="right" w:pos="4150"/>
              </w:tabs>
              <w:jc w:val="right"/>
              <w:rPr>
                <w:rFonts w:ascii="Arial" w:hAnsi="Arial" w:cs="Arial"/>
                <w:b/>
                <w:snapToGrid w:val="0"/>
                <w:color w:val="000000"/>
                <w:sz w:val="24"/>
              </w:rPr>
            </w:pPr>
            <w:r w:rsidRPr="00937FF0">
              <w:rPr>
                <w:rFonts w:ascii="Arial" w:hAnsi="Arial" w:cs="Arial"/>
                <w:b/>
                <w:snapToGrid w:val="0"/>
                <w:color w:val="000000"/>
                <w:sz w:val="24"/>
              </w:rPr>
              <w:t>2012/13</w:t>
            </w:r>
          </w:p>
        </w:tc>
      </w:tr>
      <w:tr w:rsidR="007A41F4" w:rsidRPr="003D2F7A" w:rsidTr="006A7879">
        <w:tc>
          <w:tcPr>
            <w:tcW w:w="3943" w:type="dxa"/>
          </w:tcPr>
          <w:p w:rsidR="007A41F4" w:rsidRPr="00937FF0" w:rsidRDefault="007A41F4"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7A41F4" w:rsidRPr="00937FF0" w:rsidRDefault="007A41F4" w:rsidP="006A7879">
            <w:pPr>
              <w:widowControl w:val="0"/>
              <w:tabs>
                <w:tab w:val="left" w:pos="180"/>
                <w:tab w:val="right" w:pos="3060"/>
                <w:tab w:val="right" w:pos="4150"/>
              </w:tabs>
              <w:jc w:val="right"/>
              <w:rPr>
                <w:rFonts w:ascii="Arial" w:hAnsi="Arial" w:cs="Arial"/>
                <w:b/>
                <w:snapToGrid w:val="0"/>
                <w:color w:val="000000"/>
                <w:sz w:val="24"/>
              </w:rPr>
            </w:pPr>
            <w:r w:rsidRPr="00937FF0">
              <w:rPr>
                <w:rFonts w:ascii="Arial" w:hAnsi="Arial" w:cs="Arial"/>
                <w:b/>
                <w:snapToGrid w:val="0"/>
                <w:color w:val="000000"/>
                <w:sz w:val="24"/>
              </w:rPr>
              <w:t>£’000</w:t>
            </w:r>
          </w:p>
        </w:tc>
        <w:tc>
          <w:tcPr>
            <w:tcW w:w="2105" w:type="dxa"/>
          </w:tcPr>
          <w:p w:rsidR="007A41F4" w:rsidRPr="00937FF0" w:rsidRDefault="007A41F4" w:rsidP="006A7879">
            <w:pPr>
              <w:widowControl w:val="0"/>
              <w:tabs>
                <w:tab w:val="left" w:pos="180"/>
                <w:tab w:val="right" w:pos="3060"/>
                <w:tab w:val="right" w:pos="4150"/>
              </w:tabs>
              <w:jc w:val="right"/>
              <w:rPr>
                <w:rFonts w:ascii="Arial" w:hAnsi="Arial" w:cs="Arial"/>
                <w:b/>
                <w:snapToGrid w:val="0"/>
                <w:color w:val="000000"/>
                <w:sz w:val="24"/>
              </w:rPr>
            </w:pPr>
            <w:r w:rsidRPr="00937FF0">
              <w:rPr>
                <w:rFonts w:ascii="Arial" w:hAnsi="Arial" w:cs="Arial"/>
                <w:b/>
                <w:snapToGrid w:val="0"/>
                <w:color w:val="000000"/>
                <w:sz w:val="24"/>
              </w:rPr>
              <w:t>£’000</w:t>
            </w:r>
          </w:p>
        </w:tc>
      </w:tr>
      <w:tr w:rsidR="007A41F4" w:rsidRPr="003D2F7A" w:rsidTr="006A7879">
        <w:tc>
          <w:tcPr>
            <w:tcW w:w="3943" w:type="dxa"/>
          </w:tcPr>
          <w:p w:rsidR="007A41F4" w:rsidRPr="00937FF0" w:rsidRDefault="007A41F4"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7A41F4" w:rsidRPr="00937FF0" w:rsidRDefault="007A41F4"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Pr>
          <w:p w:rsidR="007A41F4" w:rsidRPr="00937FF0" w:rsidRDefault="007A41F4" w:rsidP="006A7879">
            <w:pPr>
              <w:widowControl w:val="0"/>
              <w:tabs>
                <w:tab w:val="left" w:pos="180"/>
                <w:tab w:val="right" w:pos="3060"/>
                <w:tab w:val="right" w:pos="4150"/>
              </w:tabs>
              <w:jc w:val="right"/>
              <w:rPr>
                <w:rFonts w:ascii="Arial" w:hAnsi="Arial" w:cs="Arial"/>
                <w:snapToGrid w:val="0"/>
                <w:color w:val="000000"/>
                <w:sz w:val="24"/>
              </w:rPr>
            </w:pPr>
          </w:p>
        </w:tc>
      </w:tr>
      <w:tr w:rsidR="007A41F4" w:rsidRPr="003D2F7A" w:rsidTr="006A7879">
        <w:tc>
          <w:tcPr>
            <w:tcW w:w="3943" w:type="dxa"/>
          </w:tcPr>
          <w:p w:rsidR="007A41F4" w:rsidRPr="00937FF0" w:rsidRDefault="007A41F4" w:rsidP="003C64BD">
            <w:pPr>
              <w:widowControl w:val="0"/>
              <w:tabs>
                <w:tab w:val="left" w:pos="180"/>
                <w:tab w:val="right" w:pos="3060"/>
                <w:tab w:val="right" w:pos="4150"/>
              </w:tabs>
              <w:rPr>
                <w:rFonts w:ascii="Arial" w:hAnsi="Arial" w:cs="Arial"/>
                <w:snapToGrid w:val="0"/>
                <w:color w:val="000000"/>
                <w:sz w:val="24"/>
              </w:rPr>
            </w:pPr>
            <w:r w:rsidRPr="00937FF0">
              <w:rPr>
                <w:rFonts w:ascii="Arial" w:hAnsi="Arial" w:cs="Arial"/>
                <w:snapToGrid w:val="0"/>
                <w:color w:val="000000"/>
                <w:sz w:val="24"/>
              </w:rPr>
              <w:t>Scheduled bodies</w:t>
            </w:r>
          </w:p>
        </w:tc>
        <w:tc>
          <w:tcPr>
            <w:tcW w:w="2104" w:type="dxa"/>
          </w:tcPr>
          <w:p w:rsidR="007A41F4" w:rsidRPr="00937FF0" w:rsidRDefault="008B522F" w:rsidP="006A7879">
            <w:pPr>
              <w:widowControl w:val="0"/>
              <w:tabs>
                <w:tab w:val="left" w:pos="180"/>
                <w:tab w:val="right" w:pos="3060"/>
                <w:tab w:val="right" w:pos="4150"/>
              </w:tabs>
              <w:jc w:val="right"/>
              <w:rPr>
                <w:rFonts w:ascii="Arial" w:hAnsi="Arial" w:cs="Arial"/>
                <w:snapToGrid w:val="0"/>
                <w:color w:val="000000"/>
                <w:sz w:val="24"/>
              </w:rPr>
            </w:pPr>
            <w:r w:rsidRPr="00937FF0">
              <w:rPr>
                <w:rFonts w:ascii="Arial" w:hAnsi="Arial" w:cs="Arial"/>
                <w:snapToGrid w:val="0"/>
                <w:color w:val="000000"/>
                <w:sz w:val="24"/>
              </w:rPr>
              <w:t>40,</w:t>
            </w:r>
            <w:r w:rsidR="00B94253">
              <w:rPr>
                <w:rFonts w:ascii="Arial" w:hAnsi="Arial" w:cs="Arial"/>
                <w:snapToGrid w:val="0"/>
                <w:color w:val="000000"/>
                <w:sz w:val="24"/>
              </w:rPr>
              <w:t>727</w:t>
            </w:r>
          </w:p>
        </w:tc>
        <w:tc>
          <w:tcPr>
            <w:tcW w:w="2105" w:type="dxa"/>
          </w:tcPr>
          <w:p w:rsidR="007A41F4" w:rsidRPr="00634EFD" w:rsidRDefault="007A78DA" w:rsidP="006A7879">
            <w:pPr>
              <w:widowControl w:val="0"/>
              <w:tabs>
                <w:tab w:val="left" w:pos="180"/>
                <w:tab w:val="right" w:pos="3060"/>
                <w:tab w:val="right" w:pos="4150"/>
              </w:tabs>
              <w:jc w:val="right"/>
              <w:rPr>
                <w:rFonts w:ascii="Arial" w:hAnsi="Arial" w:cs="Arial"/>
                <w:snapToGrid w:val="0"/>
                <w:color w:val="000000"/>
                <w:sz w:val="24"/>
              </w:rPr>
            </w:pPr>
            <w:r w:rsidRPr="00634EFD">
              <w:rPr>
                <w:rFonts w:ascii="Arial" w:hAnsi="Arial" w:cs="Arial"/>
                <w:snapToGrid w:val="0"/>
                <w:color w:val="000000"/>
                <w:sz w:val="24"/>
              </w:rPr>
              <w:t>42</w:t>
            </w:r>
            <w:r w:rsidR="00E5056C" w:rsidRPr="00634EFD">
              <w:rPr>
                <w:rFonts w:ascii="Arial" w:hAnsi="Arial" w:cs="Arial"/>
                <w:snapToGrid w:val="0"/>
                <w:color w:val="000000"/>
                <w:sz w:val="24"/>
              </w:rPr>
              <w:t>,626</w:t>
            </w:r>
          </w:p>
        </w:tc>
      </w:tr>
      <w:tr w:rsidR="007A41F4" w:rsidRPr="003D2F7A" w:rsidTr="006A7879">
        <w:tc>
          <w:tcPr>
            <w:tcW w:w="3943" w:type="dxa"/>
          </w:tcPr>
          <w:p w:rsidR="007A41F4" w:rsidRPr="00937FF0" w:rsidRDefault="007A41F4" w:rsidP="003C64BD">
            <w:pPr>
              <w:widowControl w:val="0"/>
              <w:tabs>
                <w:tab w:val="left" w:pos="180"/>
                <w:tab w:val="right" w:pos="3060"/>
                <w:tab w:val="right" w:pos="4150"/>
              </w:tabs>
              <w:rPr>
                <w:rFonts w:ascii="Arial" w:hAnsi="Arial" w:cs="Arial"/>
                <w:snapToGrid w:val="0"/>
                <w:color w:val="000000"/>
                <w:sz w:val="24"/>
              </w:rPr>
            </w:pPr>
            <w:r w:rsidRPr="00937FF0">
              <w:rPr>
                <w:rFonts w:ascii="Arial" w:hAnsi="Arial" w:cs="Arial"/>
                <w:snapToGrid w:val="0"/>
                <w:color w:val="000000"/>
                <w:sz w:val="24"/>
              </w:rPr>
              <w:t>Admitted bodies</w:t>
            </w:r>
          </w:p>
        </w:tc>
        <w:tc>
          <w:tcPr>
            <w:tcW w:w="2104" w:type="dxa"/>
          </w:tcPr>
          <w:p w:rsidR="007A41F4" w:rsidRPr="00937FF0" w:rsidRDefault="000E1BC2"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936</w:t>
            </w:r>
          </w:p>
        </w:tc>
        <w:tc>
          <w:tcPr>
            <w:tcW w:w="2105" w:type="dxa"/>
          </w:tcPr>
          <w:p w:rsidR="007A41F4" w:rsidRPr="00634EFD" w:rsidRDefault="00E5056C" w:rsidP="006A7879">
            <w:pPr>
              <w:widowControl w:val="0"/>
              <w:tabs>
                <w:tab w:val="left" w:pos="180"/>
                <w:tab w:val="right" w:pos="3060"/>
                <w:tab w:val="right" w:pos="4150"/>
              </w:tabs>
              <w:jc w:val="right"/>
              <w:rPr>
                <w:rFonts w:ascii="Arial" w:hAnsi="Arial" w:cs="Arial"/>
                <w:snapToGrid w:val="0"/>
                <w:color w:val="000000"/>
                <w:sz w:val="24"/>
              </w:rPr>
            </w:pPr>
            <w:r w:rsidRPr="00634EFD">
              <w:rPr>
                <w:rFonts w:ascii="Arial" w:hAnsi="Arial" w:cs="Arial"/>
                <w:snapToGrid w:val="0"/>
                <w:color w:val="000000"/>
                <w:sz w:val="24"/>
              </w:rPr>
              <w:t>1,156</w:t>
            </w:r>
          </w:p>
        </w:tc>
      </w:tr>
      <w:tr w:rsidR="007A41F4" w:rsidRPr="003D2F7A" w:rsidTr="00F64F1E">
        <w:tc>
          <w:tcPr>
            <w:tcW w:w="3943" w:type="dxa"/>
          </w:tcPr>
          <w:p w:rsidR="007A41F4" w:rsidRPr="00937FF0" w:rsidRDefault="007A41F4" w:rsidP="006A7879">
            <w:pPr>
              <w:widowControl w:val="0"/>
              <w:tabs>
                <w:tab w:val="left" w:pos="180"/>
                <w:tab w:val="right" w:pos="3060"/>
                <w:tab w:val="right" w:pos="4150"/>
              </w:tabs>
              <w:jc w:val="both"/>
              <w:rPr>
                <w:rFonts w:ascii="Arial" w:hAnsi="Arial" w:cs="Arial"/>
                <w:b/>
                <w:snapToGrid w:val="0"/>
                <w:color w:val="000000"/>
                <w:sz w:val="24"/>
              </w:rPr>
            </w:pPr>
          </w:p>
        </w:tc>
        <w:tc>
          <w:tcPr>
            <w:tcW w:w="2104" w:type="dxa"/>
            <w:tcBorders>
              <w:bottom w:val="single" w:sz="4" w:space="0" w:color="auto"/>
            </w:tcBorders>
          </w:tcPr>
          <w:p w:rsidR="007A41F4" w:rsidRPr="00937FF0" w:rsidRDefault="007A41F4" w:rsidP="006A7879">
            <w:pPr>
              <w:widowControl w:val="0"/>
              <w:tabs>
                <w:tab w:val="left" w:pos="180"/>
                <w:tab w:val="right" w:pos="3060"/>
                <w:tab w:val="right" w:pos="4150"/>
              </w:tabs>
              <w:jc w:val="right"/>
              <w:rPr>
                <w:rFonts w:ascii="Arial" w:hAnsi="Arial" w:cs="Arial"/>
                <w:b/>
                <w:snapToGrid w:val="0"/>
                <w:color w:val="000000"/>
                <w:sz w:val="24"/>
              </w:rPr>
            </w:pPr>
          </w:p>
        </w:tc>
        <w:tc>
          <w:tcPr>
            <w:tcW w:w="2105" w:type="dxa"/>
            <w:tcBorders>
              <w:bottom w:val="single" w:sz="4" w:space="0" w:color="auto"/>
            </w:tcBorders>
          </w:tcPr>
          <w:p w:rsidR="007A41F4" w:rsidRPr="00634EFD" w:rsidRDefault="007A41F4" w:rsidP="006A7879">
            <w:pPr>
              <w:widowControl w:val="0"/>
              <w:tabs>
                <w:tab w:val="left" w:pos="180"/>
                <w:tab w:val="right" w:pos="3060"/>
                <w:tab w:val="right" w:pos="4150"/>
              </w:tabs>
              <w:jc w:val="right"/>
              <w:rPr>
                <w:rFonts w:ascii="Arial" w:hAnsi="Arial" w:cs="Arial"/>
                <w:b/>
                <w:snapToGrid w:val="0"/>
                <w:color w:val="000000"/>
                <w:sz w:val="24"/>
              </w:rPr>
            </w:pPr>
          </w:p>
        </w:tc>
      </w:tr>
      <w:tr w:rsidR="007A41F4" w:rsidRPr="003D2F7A" w:rsidTr="00F64F1E">
        <w:tc>
          <w:tcPr>
            <w:tcW w:w="3943" w:type="dxa"/>
          </w:tcPr>
          <w:p w:rsidR="007A41F4" w:rsidRPr="00937FF0" w:rsidRDefault="007A41F4" w:rsidP="006A7879">
            <w:pPr>
              <w:widowControl w:val="0"/>
              <w:tabs>
                <w:tab w:val="left" w:pos="180"/>
                <w:tab w:val="right" w:pos="3060"/>
                <w:tab w:val="right" w:pos="4150"/>
              </w:tabs>
              <w:jc w:val="both"/>
              <w:rPr>
                <w:rFonts w:ascii="Arial" w:hAnsi="Arial" w:cs="Arial"/>
                <w:b/>
                <w:snapToGrid w:val="0"/>
                <w:color w:val="000000"/>
                <w:sz w:val="24"/>
              </w:rPr>
            </w:pPr>
            <w:r w:rsidRPr="00937FF0">
              <w:rPr>
                <w:rFonts w:ascii="Arial" w:hAnsi="Arial" w:cs="Arial"/>
                <w:b/>
                <w:snapToGrid w:val="0"/>
                <w:color w:val="000000"/>
                <w:sz w:val="24"/>
              </w:rPr>
              <w:t>Total</w:t>
            </w:r>
          </w:p>
        </w:tc>
        <w:tc>
          <w:tcPr>
            <w:tcW w:w="2104" w:type="dxa"/>
            <w:tcBorders>
              <w:top w:val="single" w:sz="4" w:space="0" w:color="auto"/>
            </w:tcBorders>
          </w:tcPr>
          <w:p w:rsidR="007A41F4" w:rsidRPr="00937FF0" w:rsidRDefault="00937FF0" w:rsidP="006A7879">
            <w:pPr>
              <w:widowControl w:val="0"/>
              <w:tabs>
                <w:tab w:val="left" w:pos="180"/>
                <w:tab w:val="right" w:pos="3060"/>
                <w:tab w:val="right" w:pos="4150"/>
              </w:tabs>
              <w:jc w:val="right"/>
              <w:rPr>
                <w:rFonts w:ascii="Arial" w:hAnsi="Arial" w:cs="Arial"/>
                <w:b/>
                <w:snapToGrid w:val="0"/>
                <w:color w:val="000000"/>
                <w:sz w:val="24"/>
              </w:rPr>
            </w:pPr>
            <w:r w:rsidRPr="00937FF0">
              <w:rPr>
                <w:rFonts w:ascii="Arial" w:hAnsi="Arial" w:cs="Arial"/>
                <w:b/>
                <w:snapToGrid w:val="0"/>
                <w:color w:val="000000"/>
                <w:sz w:val="24"/>
              </w:rPr>
              <w:t>41,663</w:t>
            </w:r>
          </w:p>
        </w:tc>
        <w:tc>
          <w:tcPr>
            <w:tcW w:w="2105" w:type="dxa"/>
            <w:tcBorders>
              <w:top w:val="single" w:sz="4" w:space="0" w:color="auto"/>
            </w:tcBorders>
          </w:tcPr>
          <w:p w:rsidR="007A41F4" w:rsidRPr="00634EFD" w:rsidRDefault="00E5056C" w:rsidP="006A7879">
            <w:pPr>
              <w:widowControl w:val="0"/>
              <w:tabs>
                <w:tab w:val="left" w:pos="180"/>
                <w:tab w:val="right" w:pos="3060"/>
                <w:tab w:val="right" w:pos="4150"/>
              </w:tabs>
              <w:jc w:val="right"/>
              <w:rPr>
                <w:rFonts w:ascii="Arial" w:hAnsi="Arial" w:cs="Arial"/>
                <w:b/>
                <w:snapToGrid w:val="0"/>
                <w:color w:val="000000"/>
                <w:sz w:val="24"/>
              </w:rPr>
            </w:pPr>
            <w:r w:rsidRPr="00634EFD">
              <w:rPr>
                <w:rFonts w:ascii="Arial" w:hAnsi="Arial" w:cs="Arial"/>
                <w:b/>
                <w:snapToGrid w:val="0"/>
                <w:color w:val="000000"/>
                <w:sz w:val="24"/>
              </w:rPr>
              <w:t>43,</w:t>
            </w:r>
            <w:r w:rsidR="00634EFD" w:rsidRPr="00634EFD">
              <w:rPr>
                <w:rFonts w:ascii="Arial" w:hAnsi="Arial" w:cs="Arial"/>
                <w:b/>
                <w:snapToGrid w:val="0"/>
                <w:color w:val="000000"/>
                <w:sz w:val="24"/>
              </w:rPr>
              <w:t>782</w:t>
            </w:r>
          </w:p>
        </w:tc>
      </w:tr>
    </w:tbl>
    <w:p w:rsidR="00606358" w:rsidRPr="003D2F7A" w:rsidRDefault="00606358" w:rsidP="00606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highlight w:val="yellow"/>
        </w:rPr>
      </w:pPr>
    </w:p>
    <w:p w:rsidR="00606358" w:rsidRPr="005E27D0" w:rsidRDefault="00606358" w:rsidP="00925ED9">
      <w:pPr>
        <w:widowControl w:val="0"/>
        <w:tabs>
          <w:tab w:val="left" w:pos="180"/>
          <w:tab w:val="right" w:pos="3060"/>
          <w:tab w:val="right" w:pos="4150"/>
        </w:tabs>
        <w:rPr>
          <w:rFonts w:ascii="Arial" w:hAnsi="Arial" w:cs="Arial"/>
          <w:snapToGrid w:val="0"/>
          <w:color w:val="000000"/>
          <w:sz w:val="24"/>
        </w:rPr>
      </w:pPr>
    </w:p>
    <w:p w:rsidR="00F619EB" w:rsidRPr="005E27D0" w:rsidRDefault="00F619EB" w:rsidP="00F619EB">
      <w:pPr>
        <w:widowControl w:val="0"/>
        <w:tabs>
          <w:tab w:val="left" w:pos="180"/>
          <w:tab w:val="right" w:pos="3060"/>
          <w:tab w:val="right" w:pos="4150"/>
        </w:tabs>
        <w:rPr>
          <w:rFonts w:ascii="Arial" w:hAnsi="Arial" w:cs="Arial"/>
          <w:b/>
          <w:snapToGrid w:val="0"/>
          <w:color w:val="000000"/>
          <w:sz w:val="24"/>
        </w:rPr>
      </w:pPr>
      <w:r w:rsidRPr="005E27D0">
        <w:rPr>
          <w:rFonts w:ascii="Arial" w:hAnsi="Arial" w:cs="Arial"/>
          <w:b/>
          <w:snapToGrid w:val="0"/>
          <w:color w:val="000000"/>
          <w:sz w:val="24"/>
        </w:rPr>
        <w:t>8</w:t>
      </w:r>
      <w:r w:rsidR="00A455F3" w:rsidRPr="005E27D0">
        <w:rPr>
          <w:rFonts w:ascii="Arial" w:hAnsi="Arial" w:cs="Arial"/>
          <w:b/>
          <w:snapToGrid w:val="0"/>
          <w:color w:val="000000"/>
          <w:sz w:val="24"/>
        </w:rPr>
        <w:t>.</w:t>
      </w:r>
      <w:r w:rsidRPr="005E27D0">
        <w:rPr>
          <w:rFonts w:ascii="Arial" w:hAnsi="Arial" w:cs="Arial"/>
          <w:b/>
          <w:snapToGrid w:val="0"/>
          <w:color w:val="000000"/>
          <w:sz w:val="24"/>
        </w:rPr>
        <w:t xml:space="preserve"> </w:t>
      </w:r>
      <w:r w:rsidR="00A2676E" w:rsidRPr="005E27D0">
        <w:rPr>
          <w:rFonts w:ascii="Arial" w:hAnsi="Arial" w:cs="Arial"/>
          <w:b/>
          <w:snapToGrid w:val="0"/>
          <w:color w:val="000000"/>
          <w:sz w:val="24"/>
        </w:rPr>
        <w:t xml:space="preserve"> </w:t>
      </w:r>
      <w:r w:rsidR="00F91071" w:rsidRPr="005E27D0">
        <w:rPr>
          <w:rFonts w:ascii="Arial" w:hAnsi="Arial" w:cs="Arial"/>
          <w:b/>
          <w:snapToGrid w:val="0"/>
          <w:color w:val="000000"/>
          <w:sz w:val="24"/>
        </w:rPr>
        <w:t>Transfers in from other pension f</w:t>
      </w:r>
      <w:r w:rsidR="00A455F3" w:rsidRPr="005E27D0">
        <w:rPr>
          <w:rFonts w:ascii="Arial" w:hAnsi="Arial" w:cs="Arial"/>
          <w:b/>
          <w:snapToGrid w:val="0"/>
          <w:color w:val="000000"/>
          <w:sz w:val="24"/>
        </w:rPr>
        <w:t>unds</w:t>
      </w:r>
    </w:p>
    <w:p w:rsidR="00F619EB" w:rsidRPr="005E27D0" w:rsidRDefault="00F619EB" w:rsidP="00F619EB">
      <w:pPr>
        <w:widowControl w:val="0"/>
        <w:tabs>
          <w:tab w:val="left" w:pos="180"/>
          <w:tab w:val="right" w:pos="3060"/>
          <w:tab w:val="right" w:pos="4150"/>
        </w:tabs>
        <w:rPr>
          <w:rFonts w:ascii="Arial" w:hAnsi="Arial" w:cs="Arial"/>
          <w:b/>
          <w:snapToGrid w:val="0"/>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1"/>
        <w:gridCol w:w="2110"/>
        <w:gridCol w:w="2111"/>
      </w:tblGrid>
      <w:tr w:rsidR="00F619EB" w:rsidRPr="005E27D0" w:rsidTr="00ED5EE0">
        <w:tc>
          <w:tcPr>
            <w:tcW w:w="3931" w:type="dxa"/>
          </w:tcPr>
          <w:p w:rsidR="00F619EB" w:rsidRPr="005E27D0"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10" w:type="dxa"/>
          </w:tcPr>
          <w:p w:rsidR="00F619EB" w:rsidRPr="005E27D0" w:rsidRDefault="000D3D22" w:rsidP="006A7879">
            <w:pPr>
              <w:widowControl w:val="0"/>
              <w:tabs>
                <w:tab w:val="left" w:pos="180"/>
                <w:tab w:val="right" w:pos="3060"/>
                <w:tab w:val="right" w:pos="4150"/>
              </w:tabs>
              <w:jc w:val="right"/>
              <w:rPr>
                <w:rFonts w:ascii="Arial" w:hAnsi="Arial" w:cs="Arial"/>
                <w:b/>
                <w:snapToGrid w:val="0"/>
                <w:color w:val="000000"/>
                <w:sz w:val="24"/>
              </w:rPr>
            </w:pPr>
            <w:r w:rsidRPr="005E27D0">
              <w:rPr>
                <w:rFonts w:ascii="Arial" w:hAnsi="Arial" w:cs="Arial"/>
                <w:b/>
                <w:snapToGrid w:val="0"/>
                <w:color w:val="000000"/>
                <w:sz w:val="24"/>
              </w:rPr>
              <w:t>2011</w:t>
            </w:r>
            <w:r w:rsidR="00ED5EE0" w:rsidRPr="005E27D0">
              <w:rPr>
                <w:rFonts w:ascii="Arial" w:hAnsi="Arial" w:cs="Arial"/>
                <w:b/>
                <w:snapToGrid w:val="0"/>
                <w:color w:val="000000"/>
                <w:sz w:val="24"/>
              </w:rPr>
              <w:t>/1</w:t>
            </w:r>
            <w:r w:rsidRPr="005E27D0">
              <w:rPr>
                <w:rFonts w:ascii="Arial" w:hAnsi="Arial" w:cs="Arial"/>
                <w:b/>
                <w:snapToGrid w:val="0"/>
                <w:color w:val="000000"/>
                <w:sz w:val="24"/>
              </w:rPr>
              <w:t>2</w:t>
            </w:r>
          </w:p>
        </w:tc>
        <w:tc>
          <w:tcPr>
            <w:tcW w:w="2111" w:type="dxa"/>
          </w:tcPr>
          <w:p w:rsidR="00F619EB" w:rsidRPr="005E27D0" w:rsidRDefault="00F619EB" w:rsidP="006A7879">
            <w:pPr>
              <w:widowControl w:val="0"/>
              <w:tabs>
                <w:tab w:val="left" w:pos="180"/>
                <w:tab w:val="right" w:pos="3060"/>
                <w:tab w:val="right" w:pos="4150"/>
              </w:tabs>
              <w:jc w:val="right"/>
              <w:rPr>
                <w:rFonts w:ascii="Arial" w:hAnsi="Arial" w:cs="Arial"/>
                <w:b/>
                <w:snapToGrid w:val="0"/>
                <w:color w:val="000000"/>
                <w:sz w:val="24"/>
              </w:rPr>
            </w:pPr>
            <w:r w:rsidRPr="005E27D0">
              <w:rPr>
                <w:rFonts w:ascii="Arial" w:hAnsi="Arial" w:cs="Arial"/>
                <w:b/>
                <w:snapToGrid w:val="0"/>
                <w:color w:val="000000"/>
                <w:sz w:val="24"/>
              </w:rPr>
              <w:t>201</w:t>
            </w:r>
            <w:r w:rsidR="000D3D22" w:rsidRPr="005E27D0">
              <w:rPr>
                <w:rFonts w:ascii="Arial" w:hAnsi="Arial" w:cs="Arial"/>
                <w:b/>
                <w:snapToGrid w:val="0"/>
                <w:color w:val="000000"/>
                <w:sz w:val="24"/>
              </w:rPr>
              <w:t>2</w:t>
            </w:r>
            <w:r w:rsidR="00ED5EE0" w:rsidRPr="005E27D0">
              <w:rPr>
                <w:rFonts w:ascii="Arial" w:hAnsi="Arial" w:cs="Arial"/>
                <w:b/>
                <w:snapToGrid w:val="0"/>
                <w:color w:val="000000"/>
                <w:sz w:val="24"/>
              </w:rPr>
              <w:t>/1</w:t>
            </w:r>
            <w:r w:rsidR="000D3D22" w:rsidRPr="005E27D0">
              <w:rPr>
                <w:rFonts w:ascii="Arial" w:hAnsi="Arial" w:cs="Arial"/>
                <w:b/>
                <w:snapToGrid w:val="0"/>
                <w:color w:val="000000"/>
                <w:sz w:val="24"/>
              </w:rPr>
              <w:t>3</w:t>
            </w:r>
          </w:p>
        </w:tc>
      </w:tr>
      <w:tr w:rsidR="00F619EB" w:rsidRPr="005E27D0" w:rsidTr="00ED5EE0">
        <w:tc>
          <w:tcPr>
            <w:tcW w:w="3931" w:type="dxa"/>
          </w:tcPr>
          <w:p w:rsidR="00F619EB" w:rsidRPr="005E27D0"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10" w:type="dxa"/>
          </w:tcPr>
          <w:p w:rsidR="00F619EB" w:rsidRPr="005E27D0" w:rsidRDefault="00F619EB" w:rsidP="006A7879">
            <w:pPr>
              <w:widowControl w:val="0"/>
              <w:tabs>
                <w:tab w:val="left" w:pos="180"/>
                <w:tab w:val="right" w:pos="3060"/>
                <w:tab w:val="right" w:pos="4150"/>
              </w:tabs>
              <w:jc w:val="right"/>
              <w:rPr>
                <w:rFonts w:ascii="Arial" w:hAnsi="Arial" w:cs="Arial"/>
                <w:b/>
                <w:snapToGrid w:val="0"/>
                <w:color w:val="000000"/>
                <w:sz w:val="24"/>
              </w:rPr>
            </w:pPr>
            <w:r w:rsidRPr="005E27D0">
              <w:rPr>
                <w:rFonts w:ascii="Arial" w:hAnsi="Arial" w:cs="Arial"/>
                <w:b/>
                <w:snapToGrid w:val="0"/>
                <w:color w:val="000000"/>
                <w:sz w:val="24"/>
              </w:rPr>
              <w:t>£’000</w:t>
            </w:r>
          </w:p>
        </w:tc>
        <w:tc>
          <w:tcPr>
            <w:tcW w:w="2111" w:type="dxa"/>
          </w:tcPr>
          <w:p w:rsidR="00F619EB" w:rsidRPr="005E27D0" w:rsidRDefault="00F619EB" w:rsidP="006A7879">
            <w:pPr>
              <w:widowControl w:val="0"/>
              <w:tabs>
                <w:tab w:val="left" w:pos="180"/>
                <w:tab w:val="right" w:pos="3060"/>
                <w:tab w:val="right" w:pos="4150"/>
              </w:tabs>
              <w:jc w:val="right"/>
              <w:rPr>
                <w:rFonts w:ascii="Arial" w:hAnsi="Arial" w:cs="Arial"/>
                <w:b/>
                <w:snapToGrid w:val="0"/>
                <w:color w:val="000000"/>
                <w:sz w:val="24"/>
              </w:rPr>
            </w:pPr>
            <w:r w:rsidRPr="005E27D0">
              <w:rPr>
                <w:rFonts w:ascii="Arial" w:hAnsi="Arial" w:cs="Arial"/>
                <w:b/>
                <w:snapToGrid w:val="0"/>
                <w:color w:val="000000"/>
                <w:sz w:val="24"/>
              </w:rPr>
              <w:t>£’000</w:t>
            </w:r>
          </w:p>
        </w:tc>
      </w:tr>
      <w:tr w:rsidR="00F619EB" w:rsidRPr="005E27D0" w:rsidTr="00ED5EE0">
        <w:tc>
          <w:tcPr>
            <w:tcW w:w="3931" w:type="dxa"/>
          </w:tcPr>
          <w:p w:rsidR="00F619EB" w:rsidRPr="005E27D0" w:rsidRDefault="00F619EB" w:rsidP="006A7879">
            <w:pPr>
              <w:widowControl w:val="0"/>
              <w:tabs>
                <w:tab w:val="left" w:pos="180"/>
                <w:tab w:val="right" w:pos="3060"/>
                <w:tab w:val="right" w:pos="4150"/>
              </w:tabs>
              <w:jc w:val="both"/>
              <w:rPr>
                <w:rFonts w:ascii="Arial" w:hAnsi="Arial" w:cs="Arial"/>
                <w:b/>
                <w:snapToGrid w:val="0"/>
                <w:color w:val="000000"/>
                <w:sz w:val="24"/>
              </w:rPr>
            </w:pPr>
          </w:p>
        </w:tc>
        <w:tc>
          <w:tcPr>
            <w:tcW w:w="2110" w:type="dxa"/>
          </w:tcPr>
          <w:p w:rsidR="00F619EB" w:rsidRPr="005E27D0" w:rsidRDefault="00F619EB" w:rsidP="006A7879">
            <w:pPr>
              <w:widowControl w:val="0"/>
              <w:tabs>
                <w:tab w:val="left" w:pos="180"/>
                <w:tab w:val="right" w:pos="3060"/>
                <w:tab w:val="right" w:pos="4150"/>
              </w:tabs>
              <w:jc w:val="right"/>
              <w:rPr>
                <w:rFonts w:ascii="Arial" w:hAnsi="Arial" w:cs="Arial"/>
                <w:snapToGrid w:val="0"/>
                <w:color w:val="000000"/>
                <w:sz w:val="24"/>
              </w:rPr>
            </w:pPr>
          </w:p>
        </w:tc>
        <w:tc>
          <w:tcPr>
            <w:tcW w:w="2111" w:type="dxa"/>
          </w:tcPr>
          <w:p w:rsidR="00F619EB" w:rsidRPr="005E27D0" w:rsidRDefault="00F619EB"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5E27D0" w:rsidTr="00F64F1E">
        <w:tc>
          <w:tcPr>
            <w:tcW w:w="3931" w:type="dxa"/>
          </w:tcPr>
          <w:p w:rsidR="00F619EB" w:rsidRPr="005E27D0" w:rsidRDefault="00ED5EE0" w:rsidP="003C64BD">
            <w:pPr>
              <w:widowControl w:val="0"/>
              <w:tabs>
                <w:tab w:val="left" w:pos="180"/>
                <w:tab w:val="right" w:pos="3060"/>
                <w:tab w:val="right" w:pos="4150"/>
              </w:tabs>
              <w:rPr>
                <w:rFonts w:ascii="Arial" w:hAnsi="Arial" w:cs="Arial"/>
                <w:snapToGrid w:val="0"/>
                <w:color w:val="000000"/>
                <w:sz w:val="24"/>
              </w:rPr>
            </w:pPr>
            <w:r w:rsidRPr="005E27D0">
              <w:rPr>
                <w:rFonts w:ascii="Arial" w:hAnsi="Arial" w:cs="Arial"/>
                <w:snapToGrid w:val="0"/>
                <w:color w:val="000000"/>
                <w:sz w:val="24"/>
              </w:rPr>
              <w:t>Individual transfers</w:t>
            </w:r>
          </w:p>
        </w:tc>
        <w:tc>
          <w:tcPr>
            <w:tcW w:w="2110" w:type="dxa"/>
          </w:tcPr>
          <w:p w:rsidR="00F619EB" w:rsidRPr="005E27D0" w:rsidRDefault="005E27D0" w:rsidP="006A7879">
            <w:pPr>
              <w:widowControl w:val="0"/>
              <w:tabs>
                <w:tab w:val="left" w:pos="180"/>
                <w:tab w:val="right" w:pos="3060"/>
                <w:tab w:val="right" w:pos="4150"/>
              </w:tabs>
              <w:jc w:val="right"/>
              <w:rPr>
                <w:rFonts w:ascii="Arial" w:hAnsi="Arial" w:cs="Arial"/>
                <w:snapToGrid w:val="0"/>
                <w:color w:val="000000"/>
                <w:sz w:val="24"/>
              </w:rPr>
            </w:pPr>
            <w:r w:rsidRPr="005E27D0">
              <w:rPr>
                <w:rFonts w:ascii="Arial" w:hAnsi="Arial" w:cs="Arial"/>
                <w:snapToGrid w:val="0"/>
                <w:color w:val="000000"/>
                <w:sz w:val="24"/>
              </w:rPr>
              <w:t>2,152</w:t>
            </w:r>
          </w:p>
        </w:tc>
        <w:tc>
          <w:tcPr>
            <w:tcW w:w="2111" w:type="dxa"/>
          </w:tcPr>
          <w:p w:rsidR="00F619EB" w:rsidRPr="005170DE" w:rsidRDefault="005170DE" w:rsidP="006A7879">
            <w:pPr>
              <w:widowControl w:val="0"/>
              <w:tabs>
                <w:tab w:val="left" w:pos="180"/>
                <w:tab w:val="right" w:pos="3060"/>
                <w:tab w:val="right" w:pos="4150"/>
              </w:tabs>
              <w:jc w:val="right"/>
              <w:rPr>
                <w:rFonts w:ascii="Arial" w:hAnsi="Arial" w:cs="Arial"/>
                <w:snapToGrid w:val="0"/>
                <w:color w:val="000000"/>
                <w:sz w:val="24"/>
              </w:rPr>
            </w:pPr>
            <w:r w:rsidRPr="005170DE">
              <w:rPr>
                <w:rFonts w:ascii="Arial" w:hAnsi="Arial" w:cs="Arial"/>
                <w:snapToGrid w:val="0"/>
                <w:color w:val="000000"/>
                <w:sz w:val="24"/>
              </w:rPr>
              <w:t>1,361</w:t>
            </w:r>
          </w:p>
        </w:tc>
      </w:tr>
      <w:tr w:rsidR="00F619EB" w:rsidRPr="005E27D0" w:rsidTr="00F64F1E">
        <w:tc>
          <w:tcPr>
            <w:tcW w:w="3931" w:type="dxa"/>
          </w:tcPr>
          <w:p w:rsidR="00F619EB" w:rsidRPr="005E27D0"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10" w:type="dxa"/>
            <w:tcBorders>
              <w:bottom w:val="single" w:sz="4" w:space="0" w:color="auto"/>
            </w:tcBorders>
          </w:tcPr>
          <w:p w:rsidR="00F619EB" w:rsidRPr="005E27D0" w:rsidRDefault="00F619EB" w:rsidP="006A7879">
            <w:pPr>
              <w:widowControl w:val="0"/>
              <w:tabs>
                <w:tab w:val="left" w:pos="180"/>
                <w:tab w:val="right" w:pos="3060"/>
                <w:tab w:val="right" w:pos="4150"/>
              </w:tabs>
              <w:jc w:val="right"/>
              <w:rPr>
                <w:rFonts w:ascii="Arial" w:hAnsi="Arial" w:cs="Arial"/>
                <w:snapToGrid w:val="0"/>
                <w:color w:val="000000"/>
                <w:sz w:val="24"/>
              </w:rPr>
            </w:pPr>
          </w:p>
        </w:tc>
        <w:tc>
          <w:tcPr>
            <w:tcW w:w="2111" w:type="dxa"/>
            <w:tcBorders>
              <w:bottom w:val="single" w:sz="4" w:space="0" w:color="auto"/>
            </w:tcBorders>
          </w:tcPr>
          <w:p w:rsidR="00F619EB" w:rsidRPr="005170DE" w:rsidRDefault="00F619EB"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5E27D0" w:rsidTr="00F64F1E">
        <w:tc>
          <w:tcPr>
            <w:tcW w:w="3931" w:type="dxa"/>
          </w:tcPr>
          <w:p w:rsidR="00F619EB" w:rsidRPr="005E27D0" w:rsidRDefault="00F619EB" w:rsidP="006A7879">
            <w:pPr>
              <w:widowControl w:val="0"/>
              <w:tabs>
                <w:tab w:val="left" w:pos="180"/>
                <w:tab w:val="right" w:pos="3060"/>
                <w:tab w:val="right" w:pos="4150"/>
              </w:tabs>
              <w:jc w:val="both"/>
              <w:rPr>
                <w:rFonts w:ascii="Arial" w:hAnsi="Arial" w:cs="Arial"/>
                <w:b/>
                <w:snapToGrid w:val="0"/>
                <w:color w:val="000000"/>
                <w:sz w:val="24"/>
              </w:rPr>
            </w:pPr>
            <w:r w:rsidRPr="005E27D0">
              <w:rPr>
                <w:rFonts w:ascii="Arial" w:hAnsi="Arial" w:cs="Arial"/>
                <w:b/>
                <w:snapToGrid w:val="0"/>
                <w:color w:val="000000"/>
                <w:sz w:val="24"/>
              </w:rPr>
              <w:t>Total</w:t>
            </w:r>
          </w:p>
        </w:tc>
        <w:tc>
          <w:tcPr>
            <w:tcW w:w="2110" w:type="dxa"/>
            <w:tcBorders>
              <w:top w:val="single" w:sz="4" w:space="0" w:color="auto"/>
            </w:tcBorders>
          </w:tcPr>
          <w:p w:rsidR="00F619EB" w:rsidRPr="005E27D0" w:rsidRDefault="005E27D0" w:rsidP="006A7879">
            <w:pPr>
              <w:widowControl w:val="0"/>
              <w:tabs>
                <w:tab w:val="left" w:pos="180"/>
                <w:tab w:val="right" w:pos="3060"/>
                <w:tab w:val="right" w:pos="4150"/>
              </w:tabs>
              <w:jc w:val="right"/>
              <w:rPr>
                <w:rFonts w:ascii="Arial" w:hAnsi="Arial" w:cs="Arial"/>
                <w:b/>
                <w:snapToGrid w:val="0"/>
                <w:color w:val="000000"/>
                <w:sz w:val="24"/>
              </w:rPr>
            </w:pPr>
            <w:r w:rsidRPr="005E27D0">
              <w:rPr>
                <w:rFonts w:ascii="Arial" w:hAnsi="Arial" w:cs="Arial"/>
                <w:b/>
                <w:snapToGrid w:val="0"/>
                <w:color w:val="000000"/>
                <w:sz w:val="24"/>
              </w:rPr>
              <w:t>2,152</w:t>
            </w:r>
          </w:p>
        </w:tc>
        <w:tc>
          <w:tcPr>
            <w:tcW w:w="2111" w:type="dxa"/>
            <w:tcBorders>
              <w:top w:val="single" w:sz="4" w:space="0" w:color="auto"/>
            </w:tcBorders>
          </w:tcPr>
          <w:p w:rsidR="00F619EB" w:rsidRPr="005170DE" w:rsidRDefault="005170DE" w:rsidP="006A7879">
            <w:pPr>
              <w:widowControl w:val="0"/>
              <w:tabs>
                <w:tab w:val="left" w:pos="180"/>
                <w:tab w:val="right" w:pos="3060"/>
                <w:tab w:val="right" w:pos="4150"/>
              </w:tabs>
              <w:jc w:val="right"/>
              <w:rPr>
                <w:rFonts w:ascii="Arial" w:hAnsi="Arial" w:cs="Arial"/>
                <w:b/>
                <w:snapToGrid w:val="0"/>
                <w:color w:val="000000"/>
                <w:sz w:val="24"/>
              </w:rPr>
            </w:pPr>
            <w:r w:rsidRPr="005170DE">
              <w:rPr>
                <w:rFonts w:ascii="Arial" w:hAnsi="Arial" w:cs="Arial"/>
                <w:b/>
                <w:snapToGrid w:val="0"/>
                <w:color w:val="000000"/>
                <w:sz w:val="24"/>
              </w:rPr>
              <w:t>1,361</w:t>
            </w:r>
          </w:p>
        </w:tc>
      </w:tr>
      <w:tr w:rsidR="00F619EB" w:rsidRPr="003D2F7A" w:rsidTr="00ED5EE0">
        <w:tc>
          <w:tcPr>
            <w:tcW w:w="3931" w:type="dxa"/>
          </w:tcPr>
          <w:p w:rsidR="00F619EB" w:rsidRPr="005E27D0"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10" w:type="dxa"/>
          </w:tcPr>
          <w:p w:rsidR="00F619EB" w:rsidRPr="005E27D0" w:rsidRDefault="00F619EB" w:rsidP="006A7879">
            <w:pPr>
              <w:widowControl w:val="0"/>
              <w:tabs>
                <w:tab w:val="left" w:pos="180"/>
                <w:tab w:val="right" w:pos="3060"/>
                <w:tab w:val="right" w:pos="4150"/>
              </w:tabs>
              <w:jc w:val="right"/>
              <w:rPr>
                <w:rFonts w:ascii="Arial" w:hAnsi="Arial" w:cs="Arial"/>
                <w:snapToGrid w:val="0"/>
                <w:color w:val="000000"/>
                <w:sz w:val="24"/>
              </w:rPr>
            </w:pPr>
          </w:p>
        </w:tc>
        <w:tc>
          <w:tcPr>
            <w:tcW w:w="2111" w:type="dxa"/>
          </w:tcPr>
          <w:p w:rsidR="00F619EB" w:rsidRPr="005E27D0" w:rsidRDefault="00F619EB" w:rsidP="006A7879">
            <w:pPr>
              <w:widowControl w:val="0"/>
              <w:tabs>
                <w:tab w:val="left" w:pos="180"/>
                <w:tab w:val="right" w:pos="3060"/>
                <w:tab w:val="right" w:pos="4150"/>
              </w:tabs>
              <w:jc w:val="right"/>
              <w:rPr>
                <w:rFonts w:ascii="Arial" w:hAnsi="Arial" w:cs="Arial"/>
                <w:snapToGrid w:val="0"/>
                <w:color w:val="000000"/>
                <w:sz w:val="24"/>
              </w:rPr>
            </w:pPr>
          </w:p>
        </w:tc>
      </w:tr>
    </w:tbl>
    <w:p w:rsidR="003C67D5" w:rsidRPr="003D2F7A" w:rsidRDefault="003C67D5" w:rsidP="00925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highlight w:val="yellow"/>
        </w:rPr>
      </w:pPr>
    </w:p>
    <w:p w:rsidR="00F619EB" w:rsidRPr="003124AE" w:rsidRDefault="00A455F3" w:rsidP="00F619EB">
      <w:pPr>
        <w:widowControl w:val="0"/>
        <w:tabs>
          <w:tab w:val="left" w:pos="180"/>
          <w:tab w:val="right" w:pos="3060"/>
          <w:tab w:val="right" w:pos="4150"/>
        </w:tabs>
        <w:rPr>
          <w:rFonts w:ascii="Arial" w:hAnsi="Arial" w:cs="Arial"/>
          <w:b/>
          <w:snapToGrid w:val="0"/>
          <w:color w:val="000000"/>
          <w:sz w:val="24"/>
        </w:rPr>
      </w:pPr>
      <w:r w:rsidRPr="003124AE">
        <w:rPr>
          <w:rFonts w:ascii="Arial" w:hAnsi="Arial" w:cs="Arial"/>
          <w:b/>
          <w:snapToGrid w:val="0"/>
          <w:color w:val="000000"/>
          <w:sz w:val="24"/>
        </w:rPr>
        <w:t>9.  Benefits payable</w:t>
      </w:r>
    </w:p>
    <w:p w:rsidR="00F619EB" w:rsidRPr="003124AE" w:rsidRDefault="00F619EB" w:rsidP="00F619EB">
      <w:pPr>
        <w:widowControl w:val="0"/>
        <w:tabs>
          <w:tab w:val="left" w:pos="180"/>
          <w:tab w:val="right" w:pos="3060"/>
          <w:tab w:val="right" w:pos="4150"/>
        </w:tabs>
        <w:rPr>
          <w:rFonts w:ascii="Arial" w:hAnsi="Arial" w:cs="Arial"/>
          <w:b/>
          <w:snapToGrid w:val="0"/>
          <w:color w:val="000000"/>
          <w:sz w:val="16"/>
          <w:szCs w:val="16"/>
        </w:rPr>
      </w:pPr>
    </w:p>
    <w:p w:rsidR="00F619EB" w:rsidRPr="003124AE" w:rsidRDefault="00DD6BEE" w:rsidP="00F619EB">
      <w:pPr>
        <w:widowControl w:val="0"/>
        <w:tabs>
          <w:tab w:val="left" w:pos="180"/>
          <w:tab w:val="right" w:pos="3060"/>
          <w:tab w:val="right" w:pos="4150"/>
        </w:tabs>
        <w:rPr>
          <w:rFonts w:ascii="Arial" w:hAnsi="Arial" w:cs="Arial"/>
          <w:b/>
          <w:snapToGrid w:val="0"/>
          <w:color w:val="000000"/>
          <w:sz w:val="24"/>
        </w:rPr>
      </w:pPr>
      <w:r w:rsidRPr="003124AE">
        <w:rPr>
          <w:rFonts w:ascii="Arial" w:hAnsi="Arial" w:cs="Arial"/>
          <w:b/>
          <w:snapToGrid w:val="0"/>
          <w:color w:val="000000"/>
          <w:sz w:val="24"/>
        </w:rPr>
        <w:t>By category</w:t>
      </w:r>
    </w:p>
    <w:p w:rsidR="00F619EB" w:rsidRPr="003124AE" w:rsidRDefault="00F619EB" w:rsidP="00F619EB">
      <w:pPr>
        <w:widowControl w:val="0"/>
        <w:tabs>
          <w:tab w:val="left" w:pos="180"/>
          <w:tab w:val="right" w:pos="3060"/>
          <w:tab w:val="right" w:pos="4150"/>
        </w:tabs>
        <w:rPr>
          <w:rFonts w:ascii="Arial" w:hAnsi="Arial" w:cs="Arial"/>
          <w:snapToGrid w:val="0"/>
          <w:color w:val="000000"/>
          <w:sz w:val="24"/>
        </w:rPr>
      </w:pPr>
      <w:r w:rsidRPr="003124AE">
        <w:rPr>
          <w:rFonts w:ascii="Arial" w:hAnsi="Arial" w:cs="Arial"/>
          <w:snapToGrid w:val="0"/>
          <w:color w:val="000000"/>
          <w:sz w:val="24"/>
        </w:rPr>
        <w:tab/>
      </w:r>
      <w:r w:rsidRPr="003124AE">
        <w:rPr>
          <w:rFonts w:ascii="Arial" w:hAnsi="Arial" w:cs="Arial"/>
          <w:snapToGrid w:val="0"/>
          <w:color w:val="000000"/>
          <w:sz w:val="24"/>
        </w:rPr>
        <w:tab/>
      </w:r>
      <w:r w:rsidRPr="003124AE">
        <w:rPr>
          <w:rFonts w:ascii="Arial" w:hAnsi="Arial" w:cs="Arial"/>
          <w:snapToGrid w:val="0"/>
          <w:color w:val="000000"/>
          <w:sz w:val="24"/>
        </w:rPr>
        <w:tab/>
      </w:r>
      <w:r w:rsidRPr="003124AE">
        <w:rPr>
          <w:rFonts w:ascii="Arial" w:hAnsi="Arial" w:cs="Arial"/>
          <w:snapToGrid w:val="0"/>
          <w:color w:val="000000"/>
          <w:sz w:val="24"/>
        </w:rPr>
        <w:tab/>
      </w:r>
      <w:r w:rsidRPr="003124AE">
        <w:rPr>
          <w:rFonts w:ascii="Arial" w:hAnsi="Arial" w:cs="Arial"/>
          <w:snapToGrid w:val="0"/>
          <w:color w:val="000000"/>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3"/>
        <w:gridCol w:w="2104"/>
        <w:gridCol w:w="2105"/>
      </w:tblGrid>
      <w:tr w:rsidR="00F619EB" w:rsidRPr="003124AE" w:rsidTr="00DD6BEE">
        <w:tc>
          <w:tcPr>
            <w:tcW w:w="3943" w:type="dxa"/>
          </w:tcPr>
          <w:p w:rsidR="00F619EB" w:rsidRPr="003124AE"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F619EB" w:rsidRPr="003124AE" w:rsidRDefault="002A7090" w:rsidP="006A7879">
            <w:pPr>
              <w:widowControl w:val="0"/>
              <w:tabs>
                <w:tab w:val="left" w:pos="180"/>
                <w:tab w:val="right" w:pos="3060"/>
                <w:tab w:val="right" w:pos="4150"/>
              </w:tabs>
              <w:jc w:val="right"/>
              <w:rPr>
                <w:rFonts w:ascii="Arial" w:hAnsi="Arial" w:cs="Arial"/>
                <w:b/>
                <w:snapToGrid w:val="0"/>
                <w:color w:val="000000"/>
                <w:sz w:val="24"/>
              </w:rPr>
            </w:pPr>
            <w:r w:rsidRPr="003124AE">
              <w:rPr>
                <w:rFonts w:ascii="Arial" w:hAnsi="Arial" w:cs="Arial"/>
                <w:b/>
                <w:snapToGrid w:val="0"/>
                <w:color w:val="000000"/>
                <w:sz w:val="24"/>
              </w:rPr>
              <w:t>2011</w:t>
            </w:r>
            <w:r w:rsidR="007550C3" w:rsidRPr="003124AE">
              <w:rPr>
                <w:rFonts w:ascii="Arial" w:hAnsi="Arial" w:cs="Arial"/>
                <w:b/>
                <w:snapToGrid w:val="0"/>
                <w:color w:val="000000"/>
                <w:sz w:val="24"/>
              </w:rPr>
              <w:t>/1</w:t>
            </w:r>
            <w:r w:rsidRPr="003124AE">
              <w:rPr>
                <w:rFonts w:ascii="Arial" w:hAnsi="Arial" w:cs="Arial"/>
                <w:b/>
                <w:snapToGrid w:val="0"/>
                <w:color w:val="000000"/>
                <w:sz w:val="24"/>
              </w:rPr>
              <w:t>2</w:t>
            </w:r>
          </w:p>
        </w:tc>
        <w:tc>
          <w:tcPr>
            <w:tcW w:w="2105" w:type="dxa"/>
          </w:tcPr>
          <w:p w:rsidR="00F619EB" w:rsidRPr="003124AE" w:rsidRDefault="002A7090" w:rsidP="006A7879">
            <w:pPr>
              <w:widowControl w:val="0"/>
              <w:tabs>
                <w:tab w:val="left" w:pos="180"/>
                <w:tab w:val="right" w:pos="3060"/>
                <w:tab w:val="right" w:pos="4150"/>
              </w:tabs>
              <w:jc w:val="right"/>
              <w:rPr>
                <w:rFonts w:ascii="Arial" w:hAnsi="Arial" w:cs="Arial"/>
                <w:b/>
                <w:snapToGrid w:val="0"/>
                <w:color w:val="000000"/>
                <w:sz w:val="24"/>
              </w:rPr>
            </w:pPr>
            <w:r w:rsidRPr="003124AE">
              <w:rPr>
                <w:rFonts w:ascii="Arial" w:hAnsi="Arial" w:cs="Arial"/>
                <w:b/>
                <w:snapToGrid w:val="0"/>
                <w:color w:val="000000"/>
                <w:sz w:val="24"/>
              </w:rPr>
              <w:t>2012</w:t>
            </w:r>
            <w:r w:rsidR="007550C3" w:rsidRPr="003124AE">
              <w:rPr>
                <w:rFonts w:ascii="Arial" w:hAnsi="Arial" w:cs="Arial"/>
                <w:b/>
                <w:snapToGrid w:val="0"/>
                <w:color w:val="000000"/>
                <w:sz w:val="24"/>
              </w:rPr>
              <w:t>/1</w:t>
            </w:r>
            <w:r w:rsidRPr="003124AE">
              <w:rPr>
                <w:rFonts w:ascii="Arial" w:hAnsi="Arial" w:cs="Arial"/>
                <w:b/>
                <w:snapToGrid w:val="0"/>
                <w:color w:val="000000"/>
                <w:sz w:val="24"/>
              </w:rPr>
              <w:t>3</w:t>
            </w:r>
          </w:p>
        </w:tc>
      </w:tr>
      <w:tr w:rsidR="00F619EB" w:rsidRPr="003124AE" w:rsidTr="00DD6BEE">
        <w:tc>
          <w:tcPr>
            <w:tcW w:w="3943" w:type="dxa"/>
          </w:tcPr>
          <w:p w:rsidR="00F619EB" w:rsidRPr="003124AE"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F619EB" w:rsidRPr="003124AE" w:rsidRDefault="00F619EB" w:rsidP="006A7879">
            <w:pPr>
              <w:widowControl w:val="0"/>
              <w:tabs>
                <w:tab w:val="left" w:pos="180"/>
                <w:tab w:val="right" w:pos="3060"/>
                <w:tab w:val="right" w:pos="4150"/>
              </w:tabs>
              <w:jc w:val="right"/>
              <w:rPr>
                <w:rFonts w:ascii="Arial" w:hAnsi="Arial" w:cs="Arial"/>
                <w:b/>
                <w:snapToGrid w:val="0"/>
                <w:color w:val="000000"/>
                <w:sz w:val="24"/>
              </w:rPr>
            </w:pPr>
            <w:r w:rsidRPr="003124AE">
              <w:rPr>
                <w:rFonts w:ascii="Arial" w:hAnsi="Arial" w:cs="Arial"/>
                <w:b/>
                <w:snapToGrid w:val="0"/>
                <w:color w:val="000000"/>
                <w:sz w:val="24"/>
              </w:rPr>
              <w:t>£’000</w:t>
            </w:r>
          </w:p>
        </w:tc>
        <w:tc>
          <w:tcPr>
            <w:tcW w:w="2105" w:type="dxa"/>
          </w:tcPr>
          <w:p w:rsidR="00F619EB" w:rsidRPr="003124AE" w:rsidRDefault="00F619EB" w:rsidP="006A7879">
            <w:pPr>
              <w:widowControl w:val="0"/>
              <w:tabs>
                <w:tab w:val="left" w:pos="180"/>
                <w:tab w:val="right" w:pos="3060"/>
                <w:tab w:val="right" w:pos="4150"/>
              </w:tabs>
              <w:jc w:val="right"/>
              <w:rPr>
                <w:rFonts w:ascii="Arial" w:hAnsi="Arial" w:cs="Arial"/>
                <w:b/>
                <w:snapToGrid w:val="0"/>
                <w:color w:val="000000"/>
                <w:sz w:val="24"/>
              </w:rPr>
            </w:pPr>
            <w:r w:rsidRPr="003124AE">
              <w:rPr>
                <w:rFonts w:ascii="Arial" w:hAnsi="Arial" w:cs="Arial"/>
                <w:b/>
                <w:snapToGrid w:val="0"/>
                <w:color w:val="000000"/>
                <w:sz w:val="24"/>
              </w:rPr>
              <w:t>£’000</w:t>
            </w:r>
          </w:p>
        </w:tc>
      </w:tr>
      <w:tr w:rsidR="00606358" w:rsidRPr="003124AE" w:rsidTr="00DD6BEE">
        <w:tc>
          <w:tcPr>
            <w:tcW w:w="3943" w:type="dxa"/>
          </w:tcPr>
          <w:p w:rsidR="00606358" w:rsidRPr="003124AE" w:rsidRDefault="00606358"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606358" w:rsidRPr="003124AE" w:rsidRDefault="00606358"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Pr>
          <w:p w:rsidR="00606358" w:rsidRPr="003124AE" w:rsidRDefault="00606358"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3124AE" w:rsidTr="00DD6BEE">
        <w:tc>
          <w:tcPr>
            <w:tcW w:w="3943" w:type="dxa"/>
          </w:tcPr>
          <w:p w:rsidR="00F619EB" w:rsidRPr="003124AE" w:rsidRDefault="00DD6BEE" w:rsidP="003C64BD">
            <w:pPr>
              <w:widowControl w:val="0"/>
              <w:tabs>
                <w:tab w:val="left" w:pos="180"/>
                <w:tab w:val="right" w:pos="3060"/>
                <w:tab w:val="right" w:pos="4150"/>
              </w:tabs>
              <w:rPr>
                <w:rFonts w:ascii="Arial" w:hAnsi="Arial" w:cs="Arial"/>
                <w:snapToGrid w:val="0"/>
                <w:color w:val="000000"/>
                <w:sz w:val="24"/>
              </w:rPr>
            </w:pPr>
            <w:r w:rsidRPr="003124AE">
              <w:rPr>
                <w:rFonts w:ascii="Arial" w:hAnsi="Arial" w:cs="Arial"/>
                <w:snapToGrid w:val="0"/>
                <w:color w:val="000000"/>
                <w:sz w:val="24"/>
              </w:rPr>
              <w:t>Pensions</w:t>
            </w:r>
          </w:p>
        </w:tc>
        <w:tc>
          <w:tcPr>
            <w:tcW w:w="2104" w:type="dxa"/>
          </w:tcPr>
          <w:p w:rsidR="00F619EB" w:rsidRPr="003124AE" w:rsidRDefault="00612F1E" w:rsidP="006A7879">
            <w:pPr>
              <w:widowControl w:val="0"/>
              <w:tabs>
                <w:tab w:val="left" w:pos="180"/>
                <w:tab w:val="right" w:pos="3060"/>
                <w:tab w:val="right" w:pos="4150"/>
              </w:tabs>
              <w:jc w:val="right"/>
              <w:rPr>
                <w:rFonts w:ascii="Arial" w:hAnsi="Arial" w:cs="Arial"/>
                <w:snapToGrid w:val="0"/>
                <w:color w:val="000000"/>
                <w:sz w:val="24"/>
              </w:rPr>
            </w:pPr>
            <w:r w:rsidRPr="003124AE">
              <w:rPr>
                <w:rFonts w:ascii="Arial" w:hAnsi="Arial" w:cs="Arial"/>
                <w:snapToGrid w:val="0"/>
                <w:color w:val="000000"/>
                <w:sz w:val="24"/>
              </w:rPr>
              <w:t>25,642</w:t>
            </w:r>
          </w:p>
        </w:tc>
        <w:tc>
          <w:tcPr>
            <w:tcW w:w="2105" w:type="dxa"/>
          </w:tcPr>
          <w:p w:rsidR="00F619EB" w:rsidRPr="001F6BC4" w:rsidRDefault="003C02AB" w:rsidP="006A7879">
            <w:pPr>
              <w:widowControl w:val="0"/>
              <w:tabs>
                <w:tab w:val="left" w:pos="180"/>
                <w:tab w:val="right" w:pos="3060"/>
                <w:tab w:val="right" w:pos="4150"/>
              </w:tabs>
              <w:jc w:val="right"/>
              <w:rPr>
                <w:rFonts w:ascii="Arial" w:hAnsi="Arial" w:cs="Arial"/>
                <w:snapToGrid w:val="0"/>
                <w:color w:val="000000"/>
                <w:sz w:val="24"/>
              </w:rPr>
            </w:pPr>
            <w:r w:rsidRPr="001F6BC4">
              <w:rPr>
                <w:rFonts w:ascii="Arial" w:hAnsi="Arial" w:cs="Arial"/>
                <w:snapToGrid w:val="0"/>
                <w:color w:val="000000"/>
                <w:sz w:val="24"/>
              </w:rPr>
              <w:t>28,183</w:t>
            </w:r>
          </w:p>
        </w:tc>
      </w:tr>
      <w:tr w:rsidR="00F619EB" w:rsidRPr="003124AE" w:rsidTr="00DD6BEE">
        <w:tc>
          <w:tcPr>
            <w:tcW w:w="3943" w:type="dxa"/>
          </w:tcPr>
          <w:p w:rsidR="00F619EB" w:rsidRPr="003124AE" w:rsidRDefault="00DD6BEE" w:rsidP="003C64BD">
            <w:pPr>
              <w:widowControl w:val="0"/>
              <w:tabs>
                <w:tab w:val="left" w:pos="180"/>
                <w:tab w:val="right" w:pos="3060"/>
                <w:tab w:val="right" w:pos="4150"/>
              </w:tabs>
              <w:rPr>
                <w:rFonts w:ascii="Arial" w:hAnsi="Arial" w:cs="Arial"/>
                <w:snapToGrid w:val="0"/>
                <w:color w:val="000000"/>
                <w:sz w:val="24"/>
              </w:rPr>
            </w:pPr>
            <w:r w:rsidRPr="003124AE">
              <w:rPr>
                <w:rFonts w:ascii="Arial" w:hAnsi="Arial" w:cs="Arial"/>
                <w:snapToGrid w:val="0"/>
                <w:color w:val="000000"/>
                <w:sz w:val="24"/>
              </w:rPr>
              <w:t>Commutation and lump sum retirement benefits</w:t>
            </w:r>
          </w:p>
        </w:tc>
        <w:tc>
          <w:tcPr>
            <w:tcW w:w="2104" w:type="dxa"/>
          </w:tcPr>
          <w:p w:rsidR="00F619EB" w:rsidRPr="003124AE" w:rsidRDefault="003124AE" w:rsidP="006A7879">
            <w:pPr>
              <w:widowControl w:val="0"/>
              <w:tabs>
                <w:tab w:val="left" w:pos="180"/>
                <w:tab w:val="right" w:pos="3060"/>
                <w:tab w:val="right" w:pos="4150"/>
              </w:tabs>
              <w:jc w:val="right"/>
              <w:rPr>
                <w:rFonts w:ascii="Arial" w:hAnsi="Arial" w:cs="Arial"/>
                <w:snapToGrid w:val="0"/>
                <w:color w:val="000000"/>
                <w:sz w:val="24"/>
              </w:rPr>
            </w:pPr>
            <w:r w:rsidRPr="003124AE">
              <w:rPr>
                <w:rFonts w:ascii="Arial" w:hAnsi="Arial" w:cs="Arial"/>
                <w:snapToGrid w:val="0"/>
                <w:color w:val="000000"/>
                <w:sz w:val="24"/>
              </w:rPr>
              <w:t>7,805</w:t>
            </w:r>
          </w:p>
        </w:tc>
        <w:tc>
          <w:tcPr>
            <w:tcW w:w="2105" w:type="dxa"/>
          </w:tcPr>
          <w:p w:rsidR="00F619EB" w:rsidRPr="001F6BC4" w:rsidRDefault="00B612F5" w:rsidP="006A7879">
            <w:pPr>
              <w:widowControl w:val="0"/>
              <w:tabs>
                <w:tab w:val="left" w:pos="180"/>
                <w:tab w:val="right" w:pos="3060"/>
                <w:tab w:val="right" w:pos="4150"/>
              </w:tabs>
              <w:jc w:val="right"/>
              <w:rPr>
                <w:rFonts w:ascii="Arial" w:hAnsi="Arial" w:cs="Arial"/>
                <w:snapToGrid w:val="0"/>
                <w:color w:val="000000"/>
                <w:sz w:val="24"/>
              </w:rPr>
            </w:pPr>
            <w:r w:rsidRPr="001F6BC4">
              <w:rPr>
                <w:rFonts w:ascii="Arial" w:hAnsi="Arial" w:cs="Arial"/>
                <w:snapToGrid w:val="0"/>
                <w:color w:val="000000"/>
                <w:sz w:val="24"/>
              </w:rPr>
              <w:t>5,590</w:t>
            </w:r>
          </w:p>
        </w:tc>
      </w:tr>
      <w:tr w:rsidR="00F619EB" w:rsidRPr="003124AE" w:rsidTr="00F64F1E">
        <w:tc>
          <w:tcPr>
            <w:tcW w:w="3943" w:type="dxa"/>
          </w:tcPr>
          <w:p w:rsidR="00F619EB" w:rsidRPr="003124AE" w:rsidRDefault="00DD6BEE" w:rsidP="003C64BD">
            <w:pPr>
              <w:widowControl w:val="0"/>
              <w:tabs>
                <w:tab w:val="left" w:pos="180"/>
                <w:tab w:val="right" w:pos="3060"/>
                <w:tab w:val="right" w:pos="4150"/>
              </w:tabs>
              <w:rPr>
                <w:rFonts w:ascii="Arial" w:hAnsi="Arial" w:cs="Arial"/>
                <w:snapToGrid w:val="0"/>
                <w:color w:val="000000"/>
                <w:sz w:val="24"/>
              </w:rPr>
            </w:pPr>
            <w:r w:rsidRPr="003124AE">
              <w:rPr>
                <w:rFonts w:ascii="Arial" w:hAnsi="Arial" w:cs="Arial"/>
                <w:snapToGrid w:val="0"/>
                <w:color w:val="000000"/>
                <w:sz w:val="24"/>
              </w:rPr>
              <w:t>Lump sum death benefits</w:t>
            </w:r>
          </w:p>
        </w:tc>
        <w:tc>
          <w:tcPr>
            <w:tcW w:w="2104" w:type="dxa"/>
          </w:tcPr>
          <w:p w:rsidR="00F619EB" w:rsidRPr="003124AE" w:rsidRDefault="003124AE" w:rsidP="006A7879">
            <w:pPr>
              <w:widowControl w:val="0"/>
              <w:tabs>
                <w:tab w:val="left" w:pos="180"/>
                <w:tab w:val="right" w:pos="3060"/>
                <w:tab w:val="right" w:pos="4150"/>
              </w:tabs>
              <w:jc w:val="right"/>
              <w:rPr>
                <w:rFonts w:ascii="Arial" w:hAnsi="Arial" w:cs="Arial"/>
                <w:snapToGrid w:val="0"/>
                <w:color w:val="000000"/>
                <w:sz w:val="24"/>
              </w:rPr>
            </w:pPr>
            <w:r w:rsidRPr="003124AE">
              <w:rPr>
                <w:rFonts w:ascii="Arial" w:hAnsi="Arial" w:cs="Arial"/>
                <w:snapToGrid w:val="0"/>
                <w:color w:val="000000"/>
                <w:sz w:val="24"/>
              </w:rPr>
              <w:t>845</w:t>
            </w:r>
          </w:p>
        </w:tc>
        <w:tc>
          <w:tcPr>
            <w:tcW w:w="2105" w:type="dxa"/>
          </w:tcPr>
          <w:p w:rsidR="00F619EB" w:rsidRPr="001F6BC4" w:rsidRDefault="00B612F5" w:rsidP="006A7879">
            <w:pPr>
              <w:widowControl w:val="0"/>
              <w:tabs>
                <w:tab w:val="left" w:pos="180"/>
                <w:tab w:val="right" w:pos="3060"/>
                <w:tab w:val="right" w:pos="4150"/>
              </w:tabs>
              <w:jc w:val="right"/>
              <w:rPr>
                <w:rFonts w:ascii="Arial" w:hAnsi="Arial" w:cs="Arial"/>
                <w:snapToGrid w:val="0"/>
                <w:color w:val="000000"/>
                <w:sz w:val="24"/>
              </w:rPr>
            </w:pPr>
            <w:r w:rsidRPr="001F6BC4">
              <w:rPr>
                <w:rFonts w:ascii="Arial" w:hAnsi="Arial" w:cs="Arial"/>
                <w:snapToGrid w:val="0"/>
                <w:color w:val="000000"/>
                <w:sz w:val="24"/>
              </w:rPr>
              <w:t>399</w:t>
            </w:r>
          </w:p>
        </w:tc>
      </w:tr>
      <w:tr w:rsidR="00F619EB" w:rsidRPr="003124AE" w:rsidTr="00F64F1E">
        <w:tc>
          <w:tcPr>
            <w:tcW w:w="3943" w:type="dxa"/>
          </w:tcPr>
          <w:p w:rsidR="00F619EB" w:rsidRPr="003124AE"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Borders>
              <w:bottom w:val="single" w:sz="4" w:space="0" w:color="auto"/>
            </w:tcBorders>
          </w:tcPr>
          <w:p w:rsidR="00F619EB" w:rsidRPr="003124AE" w:rsidRDefault="00F619EB"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Borders>
              <w:bottom w:val="single" w:sz="4" w:space="0" w:color="auto"/>
            </w:tcBorders>
          </w:tcPr>
          <w:p w:rsidR="00F619EB" w:rsidRPr="001F6BC4" w:rsidRDefault="00F619EB"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3124AE" w:rsidTr="00F64F1E">
        <w:tc>
          <w:tcPr>
            <w:tcW w:w="3943" w:type="dxa"/>
          </w:tcPr>
          <w:p w:rsidR="00F619EB" w:rsidRPr="003124AE" w:rsidRDefault="00F619EB" w:rsidP="006A7879">
            <w:pPr>
              <w:widowControl w:val="0"/>
              <w:tabs>
                <w:tab w:val="left" w:pos="180"/>
                <w:tab w:val="right" w:pos="3060"/>
                <w:tab w:val="right" w:pos="4150"/>
              </w:tabs>
              <w:jc w:val="both"/>
              <w:rPr>
                <w:rFonts w:ascii="Arial" w:hAnsi="Arial" w:cs="Arial"/>
                <w:b/>
                <w:snapToGrid w:val="0"/>
                <w:color w:val="000000"/>
                <w:sz w:val="24"/>
              </w:rPr>
            </w:pPr>
            <w:r w:rsidRPr="003124AE">
              <w:rPr>
                <w:rFonts w:ascii="Arial" w:hAnsi="Arial" w:cs="Arial"/>
                <w:b/>
                <w:snapToGrid w:val="0"/>
                <w:color w:val="000000"/>
                <w:sz w:val="24"/>
              </w:rPr>
              <w:t>Total</w:t>
            </w:r>
          </w:p>
        </w:tc>
        <w:tc>
          <w:tcPr>
            <w:tcW w:w="2104" w:type="dxa"/>
            <w:tcBorders>
              <w:top w:val="single" w:sz="4" w:space="0" w:color="auto"/>
            </w:tcBorders>
          </w:tcPr>
          <w:p w:rsidR="00F619EB" w:rsidRPr="003124AE" w:rsidRDefault="00A870D7" w:rsidP="006A7879">
            <w:pPr>
              <w:widowControl w:val="0"/>
              <w:tabs>
                <w:tab w:val="left" w:pos="180"/>
                <w:tab w:val="right" w:pos="3060"/>
                <w:tab w:val="right" w:pos="4150"/>
              </w:tabs>
              <w:jc w:val="right"/>
              <w:rPr>
                <w:rFonts w:ascii="Arial" w:hAnsi="Arial" w:cs="Arial"/>
                <w:b/>
                <w:snapToGrid w:val="0"/>
                <w:color w:val="000000"/>
                <w:sz w:val="24"/>
              </w:rPr>
            </w:pPr>
            <w:r w:rsidRPr="003124AE">
              <w:rPr>
                <w:rFonts w:ascii="Arial" w:hAnsi="Arial" w:cs="Arial"/>
                <w:b/>
                <w:snapToGrid w:val="0"/>
                <w:color w:val="000000"/>
                <w:sz w:val="24"/>
              </w:rPr>
              <w:t>34,292</w:t>
            </w:r>
          </w:p>
        </w:tc>
        <w:tc>
          <w:tcPr>
            <w:tcW w:w="2105" w:type="dxa"/>
            <w:tcBorders>
              <w:top w:val="single" w:sz="4" w:space="0" w:color="auto"/>
            </w:tcBorders>
          </w:tcPr>
          <w:p w:rsidR="00F619EB" w:rsidRPr="001F6BC4" w:rsidRDefault="003C02AB" w:rsidP="006A7879">
            <w:pPr>
              <w:widowControl w:val="0"/>
              <w:tabs>
                <w:tab w:val="left" w:pos="180"/>
                <w:tab w:val="right" w:pos="3060"/>
                <w:tab w:val="right" w:pos="4150"/>
              </w:tabs>
              <w:jc w:val="right"/>
              <w:rPr>
                <w:rFonts w:ascii="Arial" w:hAnsi="Arial" w:cs="Arial"/>
                <w:b/>
                <w:snapToGrid w:val="0"/>
                <w:color w:val="000000"/>
                <w:sz w:val="24"/>
              </w:rPr>
            </w:pPr>
            <w:r w:rsidRPr="001F6BC4">
              <w:rPr>
                <w:rFonts w:ascii="Arial" w:hAnsi="Arial" w:cs="Arial"/>
                <w:b/>
                <w:snapToGrid w:val="0"/>
                <w:color w:val="000000"/>
                <w:sz w:val="24"/>
              </w:rPr>
              <w:t>34,172</w:t>
            </w:r>
          </w:p>
        </w:tc>
      </w:tr>
      <w:tr w:rsidR="00DD6BEE" w:rsidRPr="003124AE" w:rsidTr="00DD6BEE">
        <w:tc>
          <w:tcPr>
            <w:tcW w:w="3943" w:type="dxa"/>
          </w:tcPr>
          <w:p w:rsidR="002B0AB7" w:rsidRPr="003124AE" w:rsidRDefault="002B0AB7" w:rsidP="006A7879">
            <w:pPr>
              <w:widowControl w:val="0"/>
              <w:tabs>
                <w:tab w:val="left" w:pos="180"/>
                <w:tab w:val="right" w:pos="3060"/>
                <w:tab w:val="right" w:pos="4150"/>
              </w:tabs>
              <w:jc w:val="both"/>
              <w:rPr>
                <w:rFonts w:ascii="Arial" w:hAnsi="Arial" w:cs="Arial"/>
                <w:b/>
                <w:snapToGrid w:val="0"/>
                <w:color w:val="000000"/>
                <w:sz w:val="24"/>
              </w:rPr>
            </w:pPr>
            <w:r w:rsidRPr="003124AE">
              <w:rPr>
                <w:rFonts w:ascii="Arial" w:hAnsi="Arial" w:cs="Arial"/>
                <w:b/>
                <w:snapToGrid w:val="0"/>
                <w:color w:val="000000"/>
                <w:sz w:val="24"/>
              </w:rPr>
              <w:br w:type="textWrapping" w:clear="all"/>
              <w:t>By authority</w:t>
            </w:r>
          </w:p>
        </w:tc>
        <w:tc>
          <w:tcPr>
            <w:tcW w:w="2104" w:type="dxa"/>
          </w:tcPr>
          <w:p w:rsidR="00DD6BEE" w:rsidRPr="003124AE" w:rsidRDefault="00DD6BEE"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Pr>
          <w:p w:rsidR="00DD6BEE" w:rsidRPr="001F6BC4" w:rsidRDefault="00DD6BEE" w:rsidP="006A7879">
            <w:pPr>
              <w:widowControl w:val="0"/>
              <w:tabs>
                <w:tab w:val="left" w:pos="180"/>
                <w:tab w:val="right" w:pos="3060"/>
                <w:tab w:val="right" w:pos="4150"/>
              </w:tabs>
              <w:jc w:val="right"/>
              <w:rPr>
                <w:rFonts w:ascii="Arial" w:hAnsi="Arial" w:cs="Arial"/>
                <w:snapToGrid w:val="0"/>
                <w:color w:val="000000"/>
                <w:sz w:val="24"/>
              </w:rPr>
            </w:pPr>
          </w:p>
        </w:tc>
      </w:tr>
      <w:tr w:rsidR="002B0AB7" w:rsidRPr="003124AE" w:rsidTr="006A7879">
        <w:tc>
          <w:tcPr>
            <w:tcW w:w="3943" w:type="dxa"/>
          </w:tcPr>
          <w:p w:rsidR="002B0AB7" w:rsidRPr="003124AE" w:rsidRDefault="002B0AB7"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2B0AB7" w:rsidRPr="003124AE" w:rsidRDefault="003124AE" w:rsidP="006A7879">
            <w:pPr>
              <w:widowControl w:val="0"/>
              <w:tabs>
                <w:tab w:val="left" w:pos="180"/>
                <w:tab w:val="right" w:pos="3060"/>
                <w:tab w:val="right" w:pos="4150"/>
              </w:tabs>
              <w:jc w:val="right"/>
              <w:rPr>
                <w:rFonts w:ascii="Arial" w:hAnsi="Arial" w:cs="Arial"/>
                <w:b/>
                <w:snapToGrid w:val="0"/>
                <w:color w:val="000000"/>
                <w:sz w:val="24"/>
              </w:rPr>
            </w:pPr>
            <w:r>
              <w:rPr>
                <w:rFonts w:ascii="Arial" w:hAnsi="Arial" w:cs="Arial"/>
                <w:b/>
                <w:snapToGrid w:val="0"/>
                <w:color w:val="000000"/>
                <w:sz w:val="24"/>
              </w:rPr>
              <w:t>2011</w:t>
            </w:r>
            <w:r w:rsidR="002B0AB7" w:rsidRPr="003124AE">
              <w:rPr>
                <w:rFonts w:ascii="Arial" w:hAnsi="Arial" w:cs="Arial"/>
                <w:b/>
                <w:snapToGrid w:val="0"/>
                <w:color w:val="000000"/>
                <w:sz w:val="24"/>
              </w:rPr>
              <w:t>/</w:t>
            </w:r>
            <w:r>
              <w:rPr>
                <w:rFonts w:ascii="Arial" w:hAnsi="Arial" w:cs="Arial"/>
                <w:b/>
                <w:snapToGrid w:val="0"/>
                <w:color w:val="000000"/>
                <w:sz w:val="24"/>
              </w:rPr>
              <w:t>12</w:t>
            </w:r>
          </w:p>
        </w:tc>
        <w:tc>
          <w:tcPr>
            <w:tcW w:w="2105" w:type="dxa"/>
          </w:tcPr>
          <w:p w:rsidR="002B0AB7" w:rsidRPr="001F6BC4" w:rsidRDefault="003124AE" w:rsidP="006A7879">
            <w:pPr>
              <w:widowControl w:val="0"/>
              <w:tabs>
                <w:tab w:val="left" w:pos="180"/>
                <w:tab w:val="right" w:pos="3060"/>
                <w:tab w:val="right" w:pos="4150"/>
              </w:tabs>
              <w:jc w:val="right"/>
              <w:rPr>
                <w:rFonts w:ascii="Arial" w:hAnsi="Arial" w:cs="Arial"/>
                <w:b/>
                <w:snapToGrid w:val="0"/>
                <w:color w:val="000000"/>
                <w:sz w:val="24"/>
              </w:rPr>
            </w:pPr>
            <w:r w:rsidRPr="001F6BC4">
              <w:rPr>
                <w:rFonts w:ascii="Arial" w:hAnsi="Arial" w:cs="Arial"/>
                <w:b/>
                <w:snapToGrid w:val="0"/>
                <w:color w:val="000000"/>
                <w:sz w:val="24"/>
              </w:rPr>
              <w:t>2012/13</w:t>
            </w:r>
          </w:p>
        </w:tc>
      </w:tr>
      <w:tr w:rsidR="002B0AB7" w:rsidRPr="003124AE" w:rsidTr="006A7879">
        <w:tc>
          <w:tcPr>
            <w:tcW w:w="3943" w:type="dxa"/>
          </w:tcPr>
          <w:p w:rsidR="002B0AB7" w:rsidRPr="003124AE" w:rsidRDefault="002B0AB7"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2B0AB7" w:rsidRPr="003124AE" w:rsidRDefault="002B0AB7" w:rsidP="006A7879">
            <w:pPr>
              <w:widowControl w:val="0"/>
              <w:tabs>
                <w:tab w:val="left" w:pos="180"/>
                <w:tab w:val="right" w:pos="3060"/>
                <w:tab w:val="right" w:pos="4150"/>
              </w:tabs>
              <w:jc w:val="right"/>
              <w:rPr>
                <w:rFonts w:ascii="Arial" w:hAnsi="Arial" w:cs="Arial"/>
                <w:b/>
                <w:snapToGrid w:val="0"/>
                <w:color w:val="000000"/>
                <w:sz w:val="24"/>
              </w:rPr>
            </w:pPr>
            <w:r w:rsidRPr="003124AE">
              <w:rPr>
                <w:rFonts w:ascii="Arial" w:hAnsi="Arial" w:cs="Arial"/>
                <w:b/>
                <w:snapToGrid w:val="0"/>
                <w:color w:val="000000"/>
                <w:sz w:val="24"/>
              </w:rPr>
              <w:t>£’000</w:t>
            </w:r>
          </w:p>
        </w:tc>
        <w:tc>
          <w:tcPr>
            <w:tcW w:w="2105" w:type="dxa"/>
          </w:tcPr>
          <w:p w:rsidR="002B0AB7" w:rsidRPr="001F6BC4" w:rsidRDefault="002B0AB7" w:rsidP="006A7879">
            <w:pPr>
              <w:widowControl w:val="0"/>
              <w:tabs>
                <w:tab w:val="left" w:pos="180"/>
                <w:tab w:val="right" w:pos="3060"/>
                <w:tab w:val="right" w:pos="4150"/>
              </w:tabs>
              <w:jc w:val="right"/>
              <w:rPr>
                <w:rFonts w:ascii="Arial" w:hAnsi="Arial" w:cs="Arial"/>
                <w:b/>
                <w:snapToGrid w:val="0"/>
                <w:color w:val="000000"/>
                <w:sz w:val="24"/>
              </w:rPr>
            </w:pPr>
            <w:r w:rsidRPr="001F6BC4">
              <w:rPr>
                <w:rFonts w:ascii="Arial" w:hAnsi="Arial" w:cs="Arial"/>
                <w:b/>
                <w:snapToGrid w:val="0"/>
                <w:color w:val="000000"/>
                <w:sz w:val="24"/>
              </w:rPr>
              <w:t>£’000</w:t>
            </w:r>
          </w:p>
        </w:tc>
      </w:tr>
      <w:tr w:rsidR="002B0AB7" w:rsidRPr="003124AE" w:rsidTr="00DD6BEE">
        <w:tc>
          <w:tcPr>
            <w:tcW w:w="3943" w:type="dxa"/>
          </w:tcPr>
          <w:p w:rsidR="002B0AB7" w:rsidRPr="003124AE" w:rsidRDefault="002B0AB7" w:rsidP="006A7879">
            <w:pPr>
              <w:widowControl w:val="0"/>
              <w:tabs>
                <w:tab w:val="left" w:pos="180"/>
                <w:tab w:val="right" w:pos="3060"/>
                <w:tab w:val="right" w:pos="4150"/>
              </w:tabs>
              <w:jc w:val="both"/>
              <w:rPr>
                <w:rFonts w:ascii="Arial" w:hAnsi="Arial" w:cs="Arial"/>
                <w:snapToGrid w:val="0"/>
                <w:color w:val="000000"/>
                <w:sz w:val="24"/>
              </w:rPr>
            </w:pPr>
          </w:p>
        </w:tc>
        <w:tc>
          <w:tcPr>
            <w:tcW w:w="2104" w:type="dxa"/>
          </w:tcPr>
          <w:p w:rsidR="002B0AB7" w:rsidRPr="003124AE" w:rsidRDefault="002B0AB7" w:rsidP="006A7879">
            <w:pPr>
              <w:widowControl w:val="0"/>
              <w:tabs>
                <w:tab w:val="left" w:pos="180"/>
                <w:tab w:val="right" w:pos="3060"/>
                <w:tab w:val="right" w:pos="4150"/>
              </w:tabs>
              <w:jc w:val="right"/>
              <w:rPr>
                <w:rFonts w:ascii="Arial" w:hAnsi="Arial" w:cs="Arial"/>
                <w:snapToGrid w:val="0"/>
                <w:color w:val="000000"/>
                <w:sz w:val="24"/>
              </w:rPr>
            </w:pPr>
          </w:p>
        </w:tc>
        <w:tc>
          <w:tcPr>
            <w:tcW w:w="2105" w:type="dxa"/>
          </w:tcPr>
          <w:p w:rsidR="002B0AB7" w:rsidRPr="001F6BC4" w:rsidRDefault="002B0AB7"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3124AE" w:rsidTr="00DD6BEE">
        <w:tc>
          <w:tcPr>
            <w:tcW w:w="3943" w:type="dxa"/>
          </w:tcPr>
          <w:p w:rsidR="00F619EB" w:rsidRPr="003124AE" w:rsidRDefault="00F619EB" w:rsidP="003C64BD">
            <w:pPr>
              <w:widowControl w:val="0"/>
              <w:tabs>
                <w:tab w:val="left" w:pos="180"/>
                <w:tab w:val="right" w:pos="3060"/>
                <w:tab w:val="right" w:pos="4150"/>
              </w:tabs>
              <w:rPr>
                <w:rFonts w:ascii="Arial" w:hAnsi="Arial" w:cs="Arial"/>
                <w:snapToGrid w:val="0"/>
                <w:color w:val="000000"/>
                <w:sz w:val="24"/>
              </w:rPr>
            </w:pPr>
            <w:r w:rsidRPr="003124AE">
              <w:rPr>
                <w:rFonts w:ascii="Arial" w:hAnsi="Arial" w:cs="Arial"/>
                <w:snapToGrid w:val="0"/>
                <w:color w:val="000000"/>
                <w:sz w:val="24"/>
              </w:rPr>
              <w:t>Scheduled bodies</w:t>
            </w:r>
          </w:p>
        </w:tc>
        <w:tc>
          <w:tcPr>
            <w:tcW w:w="2104" w:type="dxa"/>
          </w:tcPr>
          <w:p w:rsidR="00F619EB" w:rsidRPr="003124AE" w:rsidRDefault="00E72623" w:rsidP="007034C4">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32,553</w:t>
            </w:r>
          </w:p>
        </w:tc>
        <w:tc>
          <w:tcPr>
            <w:tcW w:w="2105" w:type="dxa"/>
          </w:tcPr>
          <w:p w:rsidR="00F619EB" w:rsidRPr="001F6BC4" w:rsidRDefault="001F6BC4" w:rsidP="006A7879">
            <w:pPr>
              <w:widowControl w:val="0"/>
              <w:tabs>
                <w:tab w:val="left" w:pos="180"/>
                <w:tab w:val="right" w:pos="3060"/>
                <w:tab w:val="right" w:pos="4150"/>
              </w:tabs>
              <w:jc w:val="right"/>
              <w:rPr>
                <w:rFonts w:ascii="Arial" w:hAnsi="Arial" w:cs="Arial"/>
                <w:snapToGrid w:val="0"/>
                <w:color w:val="000000"/>
                <w:sz w:val="24"/>
              </w:rPr>
            </w:pPr>
            <w:r w:rsidRPr="001F6BC4">
              <w:rPr>
                <w:rFonts w:ascii="Arial" w:hAnsi="Arial" w:cs="Arial"/>
                <w:snapToGrid w:val="0"/>
                <w:color w:val="000000"/>
                <w:sz w:val="24"/>
              </w:rPr>
              <w:t>32,941</w:t>
            </w:r>
          </w:p>
        </w:tc>
      </w:tr>
      <w:tr w:rsidR="002B0AB7" w:rsidRPr="003124AE" w:rsidTr="006A7879">
        <w:tc>
          <w:tcPr>
            <w:tcW w:w="3943" w:type="dxa"/>
          </w:tcPr>
          <w:p w:rsidR="002B0AB7" w:rsidRPr="003124AE" w:rsidRDefault="002B0AB7" w:rsidP="003C64BD">
            <w:pPr>
              <w:widowControl w:val="0"/>
              <w:tabs>
                <w:tab w:val="left" w:pos="180"/>
                <w:tab w:val="right" w:pos="3060"/>
                <w:tab w:val="right" w:pos="4150"/>
              </w:tabs>
              <w:rPr>
                <w:rFonts w:ascii="Arial" w:hAnsi="Arial" w:cs="Arial"/>
                <w:snapToGrid w:val="0"/>
                <w:color w:val="000000"/>
                <w:sz w:val="24"/>
              </w:rPr>
            </w:pPr>
            <w:r w:rsidRPr="003124AE">
              <w:rPr>
                <w:rFonts w:ascii="Arial" w:hAnsi="Arial" w:cs="Arial"/>
                <w:snapToGrid w:val="0"/>
                <w:color w:val="000000"/>
                <w:sz w:val="24"/>
              </w:rPr>
              <w:t>Admitted bodies</w:t>
            </w:r>
          </w:p>
        </w:tc>
        <w:tc>
          <w:tcPr>
            <w:tcW w:w="2104" w:type="dxa"/>
          </w:tcPr>
          <w:p w:rsidR="002B0AB7" w:rsidRPr="003124AE" w:rsidRDefault="00216D89"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1,739</w:t>
            </w:r>
          </w:p>
        </w:tc>
        <w:tc>
          <w:tcPr>
            <w:tcW w:w="2105" w:type="dxa"/>
          </w:tcPr>
          <w:p w:rsidR="002B0AB7" w:rsidRPr="001F6BC4" w:rsidRDefault="001F6BC4" w:rsidP="006A7879">
            <w:pPr>
              <w:widowControl w:val="0"/>
              <w:tabs>
                <w:tab w:val="left" w:pos="180"/>
                <w:tab w:val="right" w:pos="3060"/>
                <w:tab w:val="right" w:pos="4150"/>
              </w:tabs>
              <w:jc w:val="right"/>
              <w:rPr>
                <w:rFonts w:ascii="Arial" w:hAnsi="Arial" w:cs="Arial"/>
                <w:snapToGrid w:val="0"/>
                <w:color w:val="000000"/>
                <w:sz w:val="24"/>
              </w:rPr>
            </w:pPr>
            <w:r w:rsidRPr="001F6BC4">
              <w:rPr>
                <w:rFonts w:ascii="Arial" w:hAnsi="Arial" w:cs="Arial"/>
                <w:snapToGrid w:val="0"/>
                <w:color w:val="000000"/>
                <w:sz w:val="24"/>
              </w:rPr>
              <w:t>1,231</w:t>
            </w:r>
          </w:p>
        </w:tc>
      </w:tr>
      <w:tr w:rsidR="00F619EB" w:rsidRPr="003124AE" w:rsidTr="00F64F1E">
        <w:tc>
          <w:tcPr>
            <w:tcW w:w="3943" w:type="dxa"/>
          </w:tcPr>
          <w:p w:rsidR="00F619EB" w:rsidRPr="003124AE" w:rsidRDefault="00F619EB" w:rsidP="006A7879">
            <w:pPr>
              <w:widowControl w:val="0"/>
              <w:tabs>
                <w:tab w:val="left" w:pos="180"/>
                <w:tab w:val="right" w:pos="3060"/>
                <w:tab w:val="right" w:pos="4150"/>
              </w:tabs>
              <w:jc w:val="both"/>
              <w:rPr>
                <w:rFonts w:ascii="Arial" w:hAnsi="Arial" w:cs="Arial"/>
                <w:b/>
                <w:snapToGrid w:val="0"/>
                <w:color w:val="000000"/>
                <w:sz w:val="24"/>
              </w:rPr>
            </w:pPr>
          </w:p>
        </w:tc>
        <w:tc>
          <w:tcPr>
            <w:tcW w:w="2104" w:type="dxa"/>
            <w:tcBorders>
              <w:bottom w:val="single" w:sz="4" w:space="0" w:color="auto"/>
            </w:tcBorders>
          </w:tcPr>
          <w:p w:rsidR="00F619EB" w:rsidRPr="003124AE" w:rsidRDefault="00F619EB" w:rsidP="006A7879">
            <w:pPr>
              <w:widowControl w:val="0"/>
              <w:tabs>
                <w:tab w:val="left" w:pos="180"/>
                <w:tab w:val="right" w:pos="3060"/>
                <w:tab w:val="right" w:pos="4150"/>
              </w:tabs>
              <w:jc w:val="right"/>
              <w:rPr>
                <w:rFonts w:ascii="Arial" w:hAnsi="Arial" w:cs="Arial"/>
                <w:b/>
                <w:snapToGrid w:val="0"/>
                <w:color w:val="000000"/>
                <w:sz w:val="24"/>
              </w:rPr>
            </w:pPr>
          </w:p>
        </w:tc>
        <w:tc>
          <w:tcPr>
            <w:tcW w:w="2105" w:type="dxa"/>
            <w:tcBorders>
              <w:bottom w:val="single" w:sz="4" w:space="0" w:color="auto"/>
            </w:tcBorders>
          </w:tcPr>
          <w:p w:rsidR="00F619EB" w:rsidRPr="001F6BC4" w:rsidRDefault="00F619EB" w:rsidP="006A7879">
            <w:pPr>
              <w:widowControl w:val="0"/>
              <w:tabs>
                <w:tab w:val="left" w:pos="180"/>
                <w:tab w:val="right" w:pos="3060"/>
                <w:tab w:val="right" w:pos="4150"/>
              </w:tabs>
              <w:jc w:val="right"/>
              <w:rPr>
                <w:rFonts w:ascii="Arial" w:hAnsi="Arial" w:cs="Arial"/>
                <w:b/>
                <w:snapToGrid w:val="0"/>
                <w:color w:val="000000"/>
                <w:sz w:val="24"/>
              </w:rPr>
            </w:pPr>
          </w:p>
        </w:tc>
      </w:tr>
      <w:tr w:rsidR="00F619EB" w:rsidRPr="003124AE" w:rsidTr="00F64F1E">
        <w:tc>
          <w:tcPr>
            <w:tcW w:w="3943" w:type="dxa"/>
          </w:tcPr>
          <w:p w:rsidR="00F619EB" w:rsidRPr="003124AE" w:rsidRDefault="00F619EB" w:rsidP="006A7879">
            <w:pPr>
              <w:widowControl w:val="0"/>
              <w:tabs>
                <w:tab w:val="left" w:pos="180"/>
                <w:tab w:val="right" w:pos="3060"/>
                <w:tab w:val="right" w:pos="4150"/>
              </w:tabs>
              <w:jc w:val="both"/>
              <w:rPr>
                <w:rFonts w:ascii="Arial" w:hAnsi="Arial" w:cs="Arial"/>
                <w:b/>
                <w:snapToGrid w:val="0"/>
                <w:color w:val="000000"/>
                <w:sz w:val="24"/>
              </w:rPr>
            </w:pPr>
            <w:r w:rsidRPr="003124AE">
              <w:rPr>
                <w:rFonts w:ascii="Arial" w:hAnsi="Arial" w:cs="Arial"/>
                <w:b/>
                <w:snapToGrid w:val="0"/>
                <w:color w:val="000000"/>
                <w:sz w:val="24"/>
              </w:rPr>
              <w:t>Total</w:t>
            </w:r>
          </w:p>
        </w:tc>
        <w:tc>
          <w:tcPr>
            <w:tcW w:w="2104" w:type="dxa"/>
            <w:tcBorders>
              <w:top w:val="single" w:sz="4" w:space="0" w:color="auto"/>
            </w:tcBorders>
          </w:tcPr>
          <w:p w:rsidR="00F619EB" w:rsidRPr="003124AE" w:rsidRDefault="00E448ED" w:rsidP="006A7879">
            <w:pPr>
              <w:widowControl w:val="0"/>
              <w:tabs>
                <w:tab w:val="left" w:pos="180"/>
                <w:tab w:val="right" w:pos="3060"/>
                <w:tab w:val="right" w:pos="4150"/>
              </w:tabs>
              <w:jc w:val="right"/>
              <w:rPr>
                <w:rFonts w:ascii="Arial" w:hAnsi="Arial" w:cs="Arial"/>
                <w:b/>
                <w:snapToGrid w:val="0"/>
                <w:color w:val="000000"/>
                <w:sz w:val="24"/>
              </w:rPr>
            </w:pPr>
            <w:r>
              <w:rPr>
                <w:rFonts w:ascii="Arial" w:hAnsi="Arial" w:cs="Arial"/>
                <w:b/>
                <w:snapToGrid w:val="0"/>
                <w:color w:val="000000"/>
                <w:sz w:val="24"/>
              </w:rPr>
              <w:t>34,292</w:t>
            </w:r>
          </w:p>
        </w:tc>
        <w:tc>
          <w:tcPr>
            <w:tcW w:w="2105" w:type="dxa"/>
            <w:tcBorders>
              <w:top w:val="single" w:sz="4" w:space="0" w:color="auto"/>
            </w:tcBorders>
          </w:tcPr>
          <w:p w:rsidR="00F619EB" w:rsidRPr="001F6BC4" w:rsidRDefault="001F6BC4" w:rsidP="006A7879">
            <w:pPr>
              <w:widowControl w:val="0"/>
              <w:tabs>
                <w:tab w:val="left" w:pos="180"/>
                <w:tab w:val="right" w:pos="3060"/>
                <w:tab w:val="right" w:pos="4150"/>
              </w:tabs>
              <w:jc w:val="right"/>
              <w:rPr>
                <w:rFonts w:ascii="Arial" w:hAnsi="Arial" w:cs="Arial"/>
                <w:b/>
                <w:snapToGrid w:val="0"/>
                <w:color w:val="000000"/>
                <w:sz w:val="24"/>
              </w:rPr>
            </w:pPr>
            <w:r w:rsidRPr="001F6BC4">
              <w:rPr>
                <w:rFonts w:ascii="Arial" w:hAnsi="Arial" w:cs="Arial"/>
                <w:b/>
                <w:snapToGrid w:val="0"/>
                <w:color w:val="000000"/>
                <w:sz w:val="24"/>
              </w:rPr>
              <w:t>34,172</w:t>
            </w:r>
          </w:p>
        </w:tc>
      </w:tr>
    </w:tbl>
    <w:p w:rsidR="00422347" w:rsidRDefault="00422347">
      <w:pPr>
        <w:rPr>
          <w:rFonts w:ascii="Arial" w:hAnsi="Arial" w:cs="Arial"/>
          <w:b/>
          <w:snapToGrid w:val="0"/>
          <w:color w:val="000000"/>
          <w:sz w:val="24"/>
        </w:rPr>
      </w:pPr>
      <w:r>
        <w:rPr>
          <w:rFonts w:ascii="Arial" w:hAnsi="Arial" w:cs="Arial"/>
          <w:b/>
          <w:snapToGrid w:val="0"/>
          <w:color w:val="000000"/>
          <w:sz w:val="24"/>
        </w:rPr>
        <w:br w:type="page"/>
      </w:r>
    </w:p>
    <w:p w:rsidR="00F619EB" w:rsidRPr="007131D5" w:rsidRDefault="00A455F3" w:rsidP="00F619EB">
      <w:pPr>
        <w:widowControl w:val="0"/>
        <w:tabs>
          <w:tab w:val="left" w:pos="180"/>
          <w:tab w:val="right" w:pos="3060"/>
          <w:tab w:val="right" w:pos="4150"/>
        </w:tabs>
        <w:rPr>
          <w:rFonts w:ascii="Arial" w:hAnsi="Arial" w:cs="Arial"/>
          <w:b/>
          <w:snapToGrid w:val="0"/>
          <w:color w:val="000000"/>
          <w:sz w:val="24"/>
        </w:rPr>
      </w:pPr>
      <w:r w:rsidRPr="007131D5">
        <w:rPr>
          <w:rFonts w:ascii="Arial" w:hAnsi="Arial" w:cs="Arial"/>
          <w:b/>
          <w:snapToGrid w:val="0"/>
          <w:color w:val="000000"/>
          <w:sz w:val="24"/>
        </w:rPr>
        <w:lastRenderedPageBreak/>
        <w:t>10</w:t>
      </w:r>
      <w:r w:rsidR="0083647D" w:rsidRPr="007131D5">
        <w:rPr>
          <w:rFonts w:ascii="Arial" w:hAnsi="Arial" w:cs="Arial"/>
          <w:b/>
          <w:snapToGrid w:val="0"/>
          <w:color w:val="000000"/>
          <w:sz w:val="24"/>
        </w:rPr>
        <w:t>.</w:t>
      </w:r>
      <w:r w:rsidRPr="007131D5">
        <w:rPr>
          <w:rFonts w:ascii="Arial" w:hAnsi="Arial" w:cs="Arial"/>
          <w:b/>
          <w:snapToGrid w:val="0"/>
          <w:color w:val="000000"/>
          <w:sz w:val="24"/>
        </w:rPr>
        <w:t xml:space="preserve"> </w:t>
      </w:r>
      <w:r w:rsidR="0083647D" w:rsidRPr="007131D5">
        <w:rPr>
          <w:rFonts w:ascii="Arial" w:hAnsi="Arial" w:cs="Arial"/>
          <w:b/>
          <w:snapToGrid w:val="0"/>
          <w:color w:val="000000"/>
          <w:sz w:val="24"/>
        </w:rPr>
        <w:t xml:space="preserve"> </w:t>
      </w:r>
      <w:r w:rsidRPr="007131D5">
        <w:rPr>
          <w:rFonts w:ascii="Arial" w:hAnsi="Arial" w:cs="Arial"/>
          <w:b/>
          <w:snapToGrid w:val="0"/>
          <w:color w:val="000000"/>
          <w:sz w:val="24"/>
        </w:rPr>
        <w:t>Payments to and on account of leavers</w:t>
      </w:r>
    </w:p>
    <w:p w:rsidR="00F619EB" w:rsidRPr="007131D5" w:rsidRDefault="00F619EB" w:rsidP="00F619EB">
      <w:pPr>
        <w:widowControl w:val="0"/>
        <w:tabs>
          <w:tab w:val="left" w:pos="180"/>
          <w:tab w:val="right" w:pos="3060"/>
          <w:tab w:val="right" w:pos="4150"/>
        </w:tabs>
        <w:rPr>
          <w:rFonts w:ascii="Arial" w:hAnsi="Arial" w:cs="Arial"/>
          <w:b/>
          <w:snapToGrid w:val="0"/>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1514"/>
        <w:gridCol w:w="1966"/>
      </w:tblGrid>
      <w:tr w:rsidR="00F619EB" w:rsidRPr="007131D5" w:rsidTr="00DB7F46">
        <w:tc>
          <w:tcPr>
            <w:tcW w:w="4548" w:type="dxa"/>
          </w:tcPr>
          <w:p w:rsidR="00F619EB" w:rsidRPr="007131D5"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1514" w:type="dxa"/>
          </w:tcPr>
          <w:p w:rsidR="00F619EB" w:rsidRPr="007131D5" w:rsidRDefault="00E448ED" w:rsidP="006A7879">
            <w:pPr>
              <w:widowControl w:val="0"/>
              <w:tabs>
                <w:tab w:val="left" w:pos="180"/>
                <w:tab w:val="right" w:pos="3060"/>
                <w:tab w:val="right" w:pos="4150"/>
              </w:tabs>
              <w:jc w:val="right"/>
              <w:rPr>
                <w:rFonts w:ascii="Arial" w:hAnsi="Arial" w:cs="Arial"/>
                <w:b/>
                <w:snapToGrid w:val="0"/>
                <w:color w:val="000000"/>
                <w:sz w:val="24"/>
              </w:rPr>
            </w:pPr>
            <w:r w:rsidRPr="007131D5">
              <w:rPr>
                <w:rFonts w:ascii="Arial" w:hAnsi="Arial" w:cs="Arial"/>
                <w:b/>
                <w:snapToGrid w:val="0"/>
                <w:color w:val="000000"/>
                <w:sz w:val="24"/>
              </w:rPr>
              <w:t>2011</w:t>
            </w:r>
            <w:r w:rsidR="007550C3" w:rsidRPr="007131D5">
              <w:rPr>
                <w:rFonts w:ascii="Arial" w:hAnsi="Arial" w:cs="Arial"/>
                <w:b/>
                <w:snapToGrid w:val="0"/>
                <w:color w:val="000000"/>
                <w:sz w:val="24"/>
              </w:rPr>
              <w:t>/1</w:t>
            </w:r>
            <w:r w:rsidRPr="007131D5">
              <w:rPr>
                <w:rFonts w:ascii="Arial" w:hAnsi="Arial" w:cs="Arial"/>
                <w:b/>
                <w:snapToGrid w:val="0"/>
                <w:color w:val="000000"/>
                <w:sz w:val="24"/>
              </w:rPr>
              <w:t>2</w:t>
            </w:r>
          </w:p>
        </w:tc>
        <w:tc>
          <w:tcPr>
            <w:tcW w:w="1966" w:type="dxa"/>
          </w:tcPr>
          <w:p w:rsidR="00F619EB" w:rsidRPr="007131D5" w:rsidRDefault="00E448ED" w:rsidP="006A7879">
            <w:pPr>
              <w:widowControl w:val="0"/>
              <w:tabs>
                <w:tab w:val="left" w:pos="180"/>
                <w:tab w:val="right" w:pos="3060"/>
                <w:tab w:val="right" w:pos="4150"/>
              </w:tabs>
              <w:jc w:val="right"/>
              <w:rPr>
                <w:rFonts w:ascii="Arial" w:hAnsi="Arial" w:cs="Arial"/>
                <w:b/>
                <w:snapToGrid w:val="0"/>
                <w:color w:val="000000"/>
                <w:sz w:val="24"/>
              </w:rPr>
            </w:pPr>
            <w:r w:rsidRPr="007131D5">
              <w:rPr>
                <w:rFonts w:ascii="Arial" w:hAnsi="Arial" w:cs="Arial"/>
                <w:b/>
                <w:snapToGrid w:val="0"/>
                <w:color w:val="000000"/>
                <w:sz w:val="24"/>
              </w:rPr>
              <w:t>2012</w:t>
            </w:r>
            <w:r w:rsidR="007550C3" w:rsidRPr="007131D5">
              <w:rPr>
                <w:rFonts w:ascii="Arial" w:hAnsi="Arial" w:cs="Arial"/>
                <w:b/>
                <w:snapToGrid w:val="0"/>
                <w:color w:val="000000"/>
                <w:sz w:val="24"/>
              </w:rPr>
              <w:t>/1</w:t>
            </w:r>
            <w:r w:rsidRPr="007131D5">
              <w:rPr>
                <w:rFonts w:ascii="Arial" w:hAnsi="Arial" w:cs="Arial"/>
                <w:b/>
                <w:snapToGrid w:val="0"/>
                <w:color w:val="000000"/>
                <w:sz w:val="24"/>
              </w:rPr>
              <w:t>3</w:t>
            </w:r>
          </w:p>
        </w:tc>
      </w:tr>
      <w:tr w:rsidR="00F619EB" w:rsidRPr="007131D5" w:rsidTr="00DB7F46">
        <w:tc>
          <w:tcPr>
            <w:tcW w:w="4548" w:type="dxa"/>
          </w:tcPr>
          <w:p w:rsidR="00F619EB" w:rsidRPr="007131D5"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1514" w:type="dxa"/>
          </w:tcPr>
          <w:p w:rsidR="00F619EB" w:rsidRPr="007131D5" w:rsidRDefault="00F619EB" w:rsidP="006A7879">
            <w:pPr>
              <w:widowControl w:val="0"/>
              <w:tabs>
                <w:tab w:val="left" w:pos="180"/>
                <w:tab w:val="right" w:pos="3060"/>
                <w:tab w:val="right" w:pos="4150"/>
              </w:tabs>
              <w:jc w:val="right"/>
              <w:rPr>
                <w:rFonts w:ascii="Arial" w:hAnsi="Arial" w:cs="Arial"/>
                <w:b/>
                <w:snapToGrid w:val="0"/>
                <w:color w:val="000000"/>
                <w:sz w:val="24"/>
              </w:rPr>
            </w:pPr>
            <w:r w:rsidRPr="007131D5">
              <w:rPr>
                <w:rFonts w:ascii="Arial" w:hAnsi="Arial" w:cs="Arial"/>
                <w:b/>
                <w:snapToGrid w:val="0"/>
                <w:color w:val="000000"/>
                <w:sz w:val="24"/>
              </w:rPr>
              <w:t>£’000</w:t>
            </w:r>
          </w:p>
        </w:tc>
        <w:tc>
          <w:tcPr>
            <w:tcW w:w="1966" w:type="dxa"/>
          </w:tcPr>
          <w:p w:rsidR="00F619EB" w:rsidRPr="007131D5" w:rsidRDefault="00F619EB" w:rsidP="006A7879">
            <w:pPr>
              <w:widowControl w:val="0"/>
              <w:tabs>
                <w:tab w:val="left" w:pos="180"/>
                <w:tab w:val="right" w:pos="3060"/>
                <w:tab w:val="right" w:pos="4150"/>
              </w:tabs>
              <w:jc w:val="right"/>
              <w:rPr>
                <w:rFonts w:ascii="Arial" w:hAnsi="Arial" w:cs="Arial"/>
                <w:b/>
                <w:snapToGrid w:val="0"/>
                <w:color w:val="000000"/>
                <w:sz w:val="24"/>
              </w:rPr>
            </w:pPr>
            <w:r w:rsidRPr="007131D5">
              <w:rPr>
                <w:rFonts w:ascii="Arial" w:hAnsi="Arial" w:cs="Arial"/>
                <w:b/>
                <w:snapToGrid w:val="0"/>
                <w:color w:val="000000"/>
                <w:sz w:val="24"/>
              </w:rPr>
              <w:t>£’000</w:t>
            </w:r>
          </w:p>
        </w:tc>
      </w:tr>
      <w:tr w:rsidR="007550C3" w:rsidRPr="007131D5" w:rsidTr="00DB7F46">
        <w:tc>
          <w:tcPr>
            <w:tcW w:w="4548" w:type="dxa"/>
          </w:tcPr>
          <w:p w:rsidR="007550C3" w:rsidRPr="007131D5" w:rsidRDefault="007550C3" w:rsidP="006A7879">
            <w:pPr>
              <w:widowControl w:val="0"/>
              <w:tabs>
                <w:tab w:val="left" w:pos="180"/>
                <w:tab w:val="right" w:pos="3060"/>
                <w:tab w:val="right" w:pos="4150"/>
              </w:tabs>
              <w:jc w:val="both"/>
              <w:rPr>
                <w:rFonts w:ascii="Arial" w:hAnsi="Arial" w:cs="Arial"/>
                <w:snapToGrid w:val="0"/>
                <w:color w:val="000000"/>
                <w:sz w:val="24"/>
              </w:rPr>
            </w:pPr>
          </w:p>
        </w:tc>
        <w:tc>
          <w:tcPr>
            <w:tcW w:w="1514" w:type="dxa"/>
          </w:tcPr>
          <w:p w:rsidR="007550C3" w:rsidRPr="007131D5" w:rsidRDefault="007550C3" w:rsidP="006A7879">
            <w:pPr>
              <w:widowControl w:val="0"/>
              <w:tabs>
                <w:tab w:val="left" w:pos="180"/>
                <w:tab w:val="right" w:pos="3060"/>
                <w:tab w:val="right" w:pos="4150"/>
              </w:tabs>
              <w:jc w:val="right"/>
              <w:rPr>
                <w:rFonts w:ascii="Arial" w:hAnsi="Arial" w:cs="Arial"/>
                <w:snapToGrid w:val="0"/>
                <w:color w:val="000000"/>
                <w:sz w:val="24"/>
              </w:rPr>
            </w:pPr>
          </w:p>
        </w:tc>
        <w:tc>
          <w:tcPr>
            <w:tcW w:w="1966" w:type="dxa"/>
          </w:tcPr>
          <w:p w:rsidR="007550C3" w:rsidRPr="007131D5" w:rsidRDefault="007550C3"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7131D5" w:rsidTr="00DB7F46">
        <w:tc>
          <w:tcPr>
            <w:tcW w:w="4548" w:type="dxa"/>
          </w:tcPr>
          <w:p w:rsidR="00F619EB" w:rsidRPr="007131D5" w:rsidRDefault="007550C3" w:rsidP="00981DB8">
            <w:pPr>
              <w:widowControl w:val="0"/>
              <w:tabs>
                <w:tab w:val="left" w:pos="180"/>
                <w:tab w:val="right" w:pos="3060"/>
                <w:tab w:val="right" w:pos="4150"/>
              </w:tabs>
              <w:rPr>
                <w:rFonts w:ascii="Arial" w:hAnsi="Arial" w:cs="Arial"/>
                <w:snapToGrid w:val="0"/>
                <w:color w:val="000000"/>
                <w:sz w:val="24"/>
              </w:rPr>
            </w:pPr>
            <w:r w:rsidRPr="007131D5">
              <w:rPr>
                <w:rFonts w:ascii="Arial" w:hAnsi="Arial" w:cs="Arial"/>
                <w:snapToGrid w:val="0"/>
                <w:color w:val="000000"/>
                <w:sz w:val="24"/>
              </w:rPr>
              <w:t>Refunds to members leaving service</w:t>
            </w:r>
          </w:p>
        </w:tc>
        <w:tc>
          <w:tcPr>
            <w:tcW w:w="1514" w:type="dxa"/>
          </w:tcPr>
          <w:p w:rsidR="00F619EB" w:rsidRPr="007131D5" w:rsidRDefault="008A5309"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w:t>
            </w:r>
            <w:r w:rsidR="0031367A">
              <w:rPr>
                <w:rFonts w:ascii="Arial" w:hAnsi="Arial" w:cs="Arial"/>
                <w:snapToGrid w:val="0"/>
                <w:color w:val="000000"/>
                <w:sz w:val="24"/>
              </w:rPr>
              <w:t>5</w:t>
            </w:r>
          </w:p>
        </w:tc>
        <w:tc>
          <w:tcPr>
            <w:tcW w:w="1966" w:type="dxa"/>
          </w:tcPr>
          <w:p w:rsidR="00F619EB" w:rsidRPr="000306CA" w:rsidRDefault="00EE75D3"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w:t>
            </w:r>
            <w:r w:rsidR="00FB15EA">
              <w:rPr>
                <w:rFonts w:ascii="Arial" w:hAnsi="Arial" w:cs="Arial"/>
                <w:snapToGrid w:val="0"/>
                <w:color w:val="000000"/>
                <w:sz w:val="24"/>
              </w:rPr>
              <w:t>4</w:t>
            </w:r>
          </w:p>
        </w:tc>
      </w:tr>
      <w:tr w:rsidR="00F619EB" w:rsidRPr="007131D5" w:rsidTr="00DB7F46">
        <w:tc>
          <w:tcPr>
            <w:tcW w:w="4548" w:type="dxa"/>
          </w:tcPr>
          <w:p w:rsidR="00F619EB" w:rsidRPr="007131D5" w:rsidRDefault="007550C3" w:rsidP="00981DB8">
            <w:pPr>
              <w:widowControl w:val="0"/>
              <w:tabs>
                <w:tab w:val="left" w:pos="180"/>
                <w:tab w:val="right" w:pos="3060"/>
                <w:tab w:val="right" w:pos="4150"/>
              </w:tabs>
              <w:rPr>
                <w:rFonts w:ascii="Arial" w:hAnsi="Arial" w:cs="Arial"/>
                <w:snapToGrid w:val="0"/>
                <w:color w:val="000000"/>
                <w:sz w:val="24"/>
              </w:rPr>
            </w:pPr>
            <w:r w:rsidRPr="007131D5">
              <w:rPr>
                <w:rFonts w:ascii="Arial" w:hAnsi="Arial" w:cs="Arial"/>
                <w:snapToGrid w:val="0"/>
                <w:color w:val="000000"/>
                <w:sz w:val="24"/>
              </w:rPr>
              <w:t>Payments for members joining state scheme</w:t>
            </w:r>
          </w:p>
        </w:tc>
        <w:tc>
          <w:tcPr>
            <w:tcW w:w="1514" w:type="dxa"/>
          </w:tcPr>
          <w:p w:rsidR="00F619EB" w:rsidRPr="007131D5" w:rsidRDefault="008A5309"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w:t>
            </w:r>
          </w:p>
        </w:tc>
        <w:tc>
          <w:tcPr>
            <w:tcW w:w="1966" w:type="dxa"/>
          </w:tcPr>
          <w:p w:rsidR="00F619EB" w:rsidRPr="000306CA" w:rsidRDefault="00FB15EA"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w:t>
            </w:r>
          </w:p>
        </w:tc>
      </w:tr>
      <w:tr w:rsidR="007550C3" w:rsidRPr="007131D5" w:rsidTr="00DB7F46">
        <w:tc>
          <w:tcPr>
            <w:tcW w:w="4548" w:type="dxa"/>
          </w:tcPr>
          <w:p w:rsidR="007550C3" w:rsidRPr="007131D5" w:rsidRDefault="007550C3" w:rsidP="00981DB8">
            <w:pPr>
              <w:widowControl w:val="0"/>
              <w:tabs>
                <w:tab w:val="left" w:pos="180"/>
                <w:tab w:val="right" w:pos="3060"/>
                <w:tab w:val="right" w:pos="4150"/>
              </w:tabs>
              <w:rPr>
                <w:rFonts w:ascii="Arial" w:hAnsi="Arial" w:cs="Arial"/>
                <w:snapToGrid w:val="0"/>
                <w:color w:val="000000"/>
                <w:sz w:val="24"/>
              </w:rPr>
            </w:pPr>
            <w:r w:rsidRPr="007131D5">
              <w:rPr>
                <w:rFonts w:ascii="Arial" w:hAnsi="Arial" w:cs="Arial"/>
                <w:snapToGrid w:val="0"/>
                <w:color w:val="000000"/>
                <w:sz w:val="24"/>
              </w:rPr>
              <w:t>Individual transfers</w:t>
            </w:r>
          </w:p>
        </w:tc>
        <w:tc>
          <w:tcPr>
            <w:tcW w:w="1514" w:type="dxa"/>
          </w:tcPr>
          <w:p w:rsidR="007550C3" w:rsidRPr="007131D5" w:rsidRDefault="00A62A3F" w:rsidP="006A7879">
            <w:pPr>
              <w:widowControl w:val="0"/>
              <w:tabs>
                <w:tab w:val="left" w:pos="180"/>
                <w:tab w:val="right" w:pos="3060"/>
                <w:tab w:val="right" w:pos="4150"/>
              </w:tabs>
              <w:jc w:val="right"/>
              <w:rPr>
                <w:rFonts w:ascii="Arial" w:hAnsi="Arial" w:cs="Arial"/>
                <w:snapToGrid w:val="0"/>
                <w:color w:val="000000"/>
                <w:sz w:val="24"/>
              </w:rPr>
            </w:pPr>
            <w:r w:rsidRPr="007131D5">
              <w:rPr>
                <w:rFonts w:ascii="Arial" w:hAnsi="Arial" w:cs="Arial"/>
                <w:snapToGrid w:val="0"/>
                <w:color w:val="000000"/>
                <w:sz w:val="24"/>
              </w:rPr>
              <w:t>3,1</w:t>
            </w:r>
            <w:r w:rsidR="008A5309">
              <w:rPr>
                <w:rFonts w:ascii="Arial" w:hAnsi="Arial" w:cs="Arial"/>
                <w:snapToGrid w:val="0"/>
                <w:color w:val="000000"/>
                <w:sz w:val="24"/>
              </w:rPr>
              <w:t>10</w:t>
            </w:r>
          </w:p>
        </w:tc>
        <w:tc>
          <w:tcPr>
            <w:tcW w:w="1966" w:type="dxa"/>
          </w:tcPr>
          <w:p w:rsidR="007550C3" w:rsidRPr="000306CA" w:rsidRDefault="00455DD3"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3,27</w:t>
            </w:r>
            <w:r w:rsidR="000306CA" w:rsidRPr="000306CA">
              <w:rPr>
                <w:rFonts w:ascii="Arial" w:hAnsi="Arial" w:cs="Arial"/>
                <w:snapToGrid w:val="0"/>
                <w:color w:val="000000"/>
                <w:sz w:val="24"/>
              </w:rPr>
              <w:t>1</w:t>
            </w:r>
          </w:p>
        </w:tc>
      </w:tr>
      <w:tr w:rsidR="00F619EB" w:rsidRPr="007131D5" w:rsidTr="00DB7F46">
        <w:tc>
          <w:tcPr>
            <w:tcW w:w="4548" w:type="dxa"/>
          </w:tcPr>
          <w:p w:rsidR="00F619EB" w:rsidRPr="007131D5" w:rsidRDefault="00F619EB" w:rsidP="006A7879">
            <w:pPr>
              <w:widowControl w:val="0"/>
              <w:tabs>
                <w:tab w:val="left" w:pos="180"/>
                <w:tab w:val="right" w:pos="3060"/>
                <w:tab w:val="right" w:pos="4150"/>
              </w:tabs>
              <w:jc w:val="both"/>
              <w:rPr>
                <w:rFonts w:ascii="Arial" w:hAnsi="Arial" w:cs="Arial"/>
                <w:snapToGrid w:val="0"/>
                <w:color w:val="000000"/>
                <w:sz w:val="24"/>
              </w:rPr>
            </w:pPr>
          </w:p>
        </w:tc>
        <w:tc>
          <w:tcPr>
            <w:tcW w:w="1514" w:type="dxa"/>
            <w:tcBorders>
              <w:bottom w:val="single" w:sz="4" w:space="0" w:color="auto"/>
            </w:tcBorders>
          </w:tcPr>
          <w:p w:rsidR="00F619EB" w:rsidRPr="007131D5" w:rsidRDefault="00F619EB" w:rsidP="006A7879">
            <w:pPr>
              <w:widowControl w:val="0"/>
              <w:tabs>
                <w:tab w:val="left" w:pos="180"/>
                <w:tab w:val="right" w:pos="3060"/>
                <w:tab w:val="right" w:pos="4150"/>
              </w:tabs>
              <w:jc w:val="right"/>
              <w:rPr>
                <w:rFonts w:ascii="Arial" w:hAnsi="Arial" w:cs="Arial"/>
                <w:snapToGrid w:val="0"/>
                <w:color w:val="000000"/>
                <w:sz w:val="24"/>
              </w:rPr>
            </w:pPr>
          </w:p>
        </w:tc>
        <w:tc>
          <w:tcPr>
            <w:tcW w:w="1966" w:type="dxa"/>
            <w:tcBorders>
              <w:bottom w:val="single" w:sz="4" w:space="0" w:color="auto"/>
            </w:tcBorders>
          </w:tcPr>
          <w:p w:rsidR="00F619EB" w:rsidRPr="000306CA" w:rsidRDefault="00F619EB" w:rsidP="006A7879">
            <w:pPr>
              <w:widowControl w:val="0"/>
              <w:tabs>
                <w:tab w:val="left" w:pos="180"/>
                <w:tab w:val="right" w:pos="3060"/>
                <w:tab w:val="right" w:pos="4150"/>
              </w:tabs>
              <w:jc w:val="right"/>
              <w:rPr>
                <w:rFonts w:ascii="Arial" w:hAnsi="Arial" w:cs="Arial"/>
                <w:snapToGrid w:val="0"/>
                <w:color w:val="000000"/>
                <w:sz w:val="24"/>
              </w:rPr>
            </w:pPr>
          </w:p>
        </w:tc>
      </w:tr>
      <w:tr w:rsidR="00F619EB" w:rsidRPr="003D2F7A" w:rsidTr="00DB7F46">
        <w:tc>
          <w:tcPr>
            <w:tcW w:w="4548" w:type="dxa"/>
          </w:tcPr>
          <w:p w:rsidR="00F619EB" w:rsidRPr="007131D5" w:rsidRDefault="00F619EB" w:rsidP="006A7879">
            <w:pPr>
              <w:widowControl w:val="0"/>
              <w:tabs>
                <w:tab w:val="left" w:pos="180"/>
                <w:tab w:val="right" w:pos="3060"/>
                <w:tab w:val="right" w:pos="4150"/>
              </w:tabs>
              <w:jc w:val="both"/>
              <w:rPr>
                <w:rFonts w:ascii="Arial" w:hAnsi="Arial" w:cs="Arial"/>
                <w:b/>
                <w:snapToGrid w:val="0"/>
                <w:color w:val="000000"/>
                <w:sz w:val="24"/>
              </w:rPr>
            </w:pPr>
            <w:r w:rsidRPr="007131D5">
              <w:rPr>
                <w:rFonts w:ascii="Arial" w:hAnsi="Arial" w:cs="Arial"/>
                <w:b/>
                <w:snapToGrid w:val="0"/>
                <w:color w:val="000000"/>
                <w:sz w:val="24"/>
              </w:rPr>
              <w:t>Total</w:t>
            </w:r>
          </w:p>
        </w:tc>
        <w:tc>
          <w:tcPr>
            <w:tcW w:w="1514" w:type="dxa"/>
            <w:tcBorders>
              <w:top w:val="single" w:sz="4" w:space="0" w:color="auto"/>
            </w:tcBorders>
          </w:tcPr>
          <w:p w:rsidR="00F619EB" w:rsidRPr="007131D5" w:rsidRDefault="00A62A3F" w:rsidP="006A7879">
            <w:pPr>
              <w:widowControl w:val="0"/>
              <w:tabs>
                <w:tab w:val="left" w:pos="180"/>
                <w:tab w:val="right" w:pos="3060"/>
                <w:tab w:val="right" w:pos="4150"/>
              </w:tabs>
              <w:jc w:val="right"/>
              <w:rPr>
                <w:rFonts w:ascii="Arial" w:hAnsi="Arial" w:cs="Arial"/>
                <w:b/>
                <w:snapToGrid w:val="0"/>
                <w:color w:val="000000"/>
                <w:sz w:val="24"/>
              </w:rPr>
            </w:pPr>
            <w:r w:rsidRPr="007131D5">
              <w:rPr>
                <w:rFonts w:ascii="Arial" w:hAnsi="Arial" w:cs="Arial"/>
                <w:b/>
                <w:snapToGrid w:val="0"/>
                <w:color w:val="000000"/>
                <w:sz w:val="24"/>
              </w:rPr>
              <w:t>3,132</w:t>
            </w:r>
          </w:p>
        </w:tc>
        <w:tc>
          <w:tcPr>
            <w:tcW w:w="1966" w:type="dxa"/>
            <w:tcBorders>
              <w:top w:val="single" w:sz="4" w:space="0" w:color="auto"/>
            </w:tcBorders>
          </w:tcPr>
          <w:p w:rsidR="00F619EB" w:rsidRPr="000306CA" w:rsidRDefault="000306CA" w:rsidP="006A7879">
            <w:pPr>
              <w:widowControl w:val="0"/>
              <w:tabs>
                <w:tab w:val="left" w:pos="180"/>
                <w:tab w:val="right" w:pos="3060"/>
                <w:tab w:val="right" w:pos="4150"/>
              </w:tabs>
              <w:jc w:val="right"/>
              <w:rPr>
                <w:rFonts w:ascii="Arial" w:hAnsi="Arial" w:cs="Arial"/>
                <w:b/>
                <w:snapToGrid w:val="0"/>
                <w:color w:val="000000"/>
                <w:sz w:val="24"/>
              </w:rPr>
            </w:pPr>
            <w:r w:rsidRPr="000306CA">
              <w:rPr>
                <w:rFonts w:ascii="Arial" w:hAnsi="Arial" w:cs="Arial"/>
                <w:b/>
                <w:snapToGrid w:val="0"/>
                <w:color w:val="000000"/>
                <w:sz w:val="24"/>
              </w:rPr>
              <w:t>3,283</w:t>
            </w:r>
          </w:p>
        </w:tc>
      </w:tr>
    </w:tbl>
    <w:p w:rsidR="000727E0" w:rsidRDefault="000727E0" w:rsidP="00925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highlight w:val="yellow"/>
        </w:rPr>
      </w:pPr>
    </w:p>
    <w:p w:rsidR="002A7090" w:rsidRDefault="002A7090" w:rsidP="00925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highlight w:val="yellow"/>
        </w:rPr>
      </w:pPr>
    </w:p>
    <w:p w:rsidR="00925ED9" w:rsidRPr="00114592" w:rsidRDefault="00DA7859" w:rsidP="00925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114592">
        <w:rPr>
          <w:rFonts w:ascii="Arial" w:hAnsi="Arial" w:cs="Arial"/>
          <w:b/>
          <w:snapToGrid w:val="0"/>
          <w:color w:val="000000"/>
          <w:sz w:val="24"/>
        </w:rPr>
        <w:t>11.  Administration</w:t>
      </w:r>
      <w:r w:rsidR="00A455F3" w:rsidRPr="00114592">
        <w:rPr>
          <w:rFonts w:ascii="Arial" w:hAnsi="Arial" w:cs="Arial"/>
          <w:b/>
          <w:snapToGrid w:val="0"/>
          <w:color w:val="000000"/>
          <w:sz w:val="24"/>
        </w:rPr>
        <w:t xml:space="preserve"> expenses</w:t>
      </w:r>
    </w:p>
    <w:p w:rsidR="00925ED9" w:rsidRPr="00114592" w:rsidRDefault="00925ED9" w:rsidP="00925ED9">
      <w:pPr>
        <w:widowControl w:val="0"/>
        <w:tabs>
          <w:tab w:val="right" w:pos="5067"/>
          <w:tab w:val="right" w:pos="7224"/>
        </w:tabs>
        <w:rPr>
          <w:rFonts w:ascii="Arial" w:hAnsi="Arial" w:cs="Arial"/>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7"/>
        <w:gridCol w:w="2097"/>
        <w:gridCol w:w="1974"/>
      </w:tblGrid>
      <w:tr w:rsidR="00925ED9" w:rsidRPr="00114592" w:rsidTr="001963D8">
        <w:tc>
          <w:tcPr>
            <w:tcW w:w="3957" w:type="dxa"/>
          </w:tcPr>
          <w:p w:rsidR="00925ED9" w:rsidRPr="00114592" w:rsidRDefault="00925ED9" w:rsidP="00925ED9">
            <w:pPr>
              <w:widowControl w:val="0"/>
              <w:tabs>
                <w:tab w:val="left" w:pos="180"/>
                <w:tab w:val="right" w:pos="3060"/>
                <w:tab w:val="right" w:pos="4150"/>
              </w:tabs>
              <w:rPr>
                <w:rFonts w:ascii="Arial" w:hAnsi="Arial" w:cs="Arial"/>
                <w:snapToGrid w:val="0"/>
                <w:color w:val="000000"/>
                <w:sz w:val="24"/>
              </w:rPr>
            </w:pPr>
          </w:p>
        </w:tc>
        <w:tc>
          <w:tcPr>
            <w:tcW w:w="2097" w:type="dxa"/>
          </w:tcPr>
          <w:p w:rsidR="00925ED9" w:rsidRPr="00114592" w:rsidRDefault="000727E0" w:rsidP="00925ED9">
            <w:pPr>
              <w:widowControl w:val="0"/>
              <w:tabs>
                <w:tab w:val="left" w:pos="180"/>
                <w:tab w:val="right" w:pos="3060"/>
                <w:tab w:val="right" w:pos="4150"/>
              </w:tabs>
              <w:jc w:val="right"/>
              <w:rPr>
                <w:rFonts w:ascii="Arial" w:hAnsi="Arial" w:cs="Arial"/>
                <w:b/>
                <w:snapToGrid w:val="0"/>
                <w:color w:val="000000"/>
                <w:sz w:val="24"/>
              </w:rPr>
            </w:pPr>
            <w:r w:rsidRPr="00114592">
              <w:rPr>
                <w:rFonts w:ascii="Arial" w:hAnsi="Arial" w:cs="Arial"/>
                <w:b/>
                <w:snapToGrid w:val="0"/>
                <w:color w:val="000000"/>
                <w:sz w:val="24"/>
              </w:rPr>
              <w:t>2011</w:t>
            </w:r>
            <w:r w:rsidR="00925ED9" w:rsidRPr="00114592">
              <w:rPr>
                <w:rFonts w:ascii="Arial" w:hAnsi="Arial" w:cs="Arial"/>
                <w:b/>
                <w:snapToGrid w:val="0"/>
                <w:color w:val="000000"/>
                <w:sz w:val="24"/>
              </w:rPr>
              <w:t>/</w:t>
            </w:r>
            <w:r w:rsidR="000D05B0" w:rsidRPr="00114592">
              <w:rPr>
                <w:rFonts w:ascii="Arial" w:hAnsi="Arial" w:cs="Arial"/>
                <w:b/>
                <w:snapToGrid w:val="0"/>
                <w:color w:val="000000"/>
                <w:sz w:val="24"/>
              </w:rPr>
              <w:t>1</w:t>
            </w:r>
            <w:r w:rsidRPr="00114592">
              <w:rPr>
                <w:rFonts w:ascii="Arial" w:hAnsi="Arial" w:cs="Arial"/>
                <w:b/>
                <w:snapToGrid w:val="0"/>
                <w:color w:val="000000"/>
                <w:sz w:val="24"/>
              </w:rPr>
              <w:t>2</w:t>
            </w:r>
          </w:p>
        </w:tc>
        <w:tc>
          <w:tcPr>
            <w:tcW w:w="1974" w:type="dxa"/>
          </w:tcPr>
          <w:p w:rsidR="00925ED9" w:rsidRPr="00114592" w:rsidRDefault="000727E0" w:rsidP="00925ED9">
            <w:pPr>
              <w:widowControl w:val="0"/>
              <w:tabs>
                <w:tab w:val="left" w:pos="180"/>
                <w:tab w:val="right" w:pos="3060"/>
                <w:tab w:val="right" w:pos="4150"/>
              </w:tabs>
              <w:jc w:val="right"/>
              <w:rPr>
                <w:rFonts w:ascii="Arial" w:hAnsi="Arial" w:cs="Arial"/>
                <w:b/>
                <w:snapToGrid w:val="0"/>
                <w:color w:val="000000"/>
                <w:sz w:val="24"/>
              </w:rPr>
            </w:pPr>
            <w:r w:rsidRPr="00114592">
              <w:rPr>
                <w:rFonts w:ascii="Arial" w:hAnsi="Arial" w:cs="Arial"/>
                <w:b/>
                <w:snapToGrid w:val="0"/>
                <w:color w:val="000000"/>
                <w:sz w:val="24"/>
              </w:rPr>
              <w:t>2012</w:t>
            </w:r>
            <w:r w:rsidR="00925ED9" w:rsidRPr="00114592">
              <w:rPr>
                <w:rFonts w:ascii="Arial" w:hAnsi="Arial" w:cs="Arial"/>
                <w:b/>
                <w:snapToGrid w:val="0"/>
                <w:color w:val="000000"/>
                <w:sz w:val="24"/>
              </w:rPr>
              <w:t>/</w:t>
            </w:r>
            <w:r w:rsidR="00BF76E9" w:rsidRPr="00114592">
              <w:rPr>
                <w:rFonts w:ascii="Arial" w:hAnsi="Arial" w:cs="Arial"/>
                <w:b/>
                <w:snapToGrid w:val="0"/>
                <w:color w:val="000000"/>
                <w:sz w:val="24"/>
              </w:rPr>
              <w:t>1</w:t>
            </w:r>
            <w:r w:rsidRPr="00114592">
              <w:rPr>
                <w:rFonts w:ascii="Arial" w:hAnsi="Arial" w:cs="Arial"/>
                <w:b/>
                <w:snapToGrid w:val="0"/>
                <w:color w:val="000000"/>
                <w:sz w:val="24"/>
              </w:rPr>
              <w:t>3</w:t>
            </w:r>
          </w:p>
        </w:tc>
      </w:tr>
      <w:tr w:rsidR="00925ED9" w:rsidRPr="00114592" w:rsidTr="001963D8">
        <w:tc>
          <w:tcPr>
            <w:tcW w:w="3957" w:type="dxa"/>
          </w:tcPr>
          <w:p w:rsidR="00925ED9" w:rsidRPr="00114592" w:rsidRDefault="00925ED9" w:rsidP="00925ED9">
            <w:pPr>
              <w:widowControl w:val="0"/>
              <w:tabs>
                <w:tab w:val="left" w:pos="180"/>
                <w:tab w:val="right" w:pos="3060"/>
                <w:tab w:val="right" w:pos="4150"/>
              </w:tabs>
              <w:rPr>
                <w:rFonts w:ascii="Arial" w:hAnsi="Arial" w:cs="Arial"/>
                <w:snapToGrid w:val="0"/>
                <w:color w:val="000000"/>
                <w:sz w:val="24"/>
              </w:rPr>
            </w:pPr>
          </w:p>
        </w:tc>
        <w:tc>
          <w:tcPr>
            <w:tcW w:w="2097" w:type="dxa"/>
          </w:tcPr>
          <w:p w:rsidR="00925ED9" w:rsidRPr="00114592" w:rsidRDefault="00925ED9" w:rsidP="00925ED9">
            <w:pPr>
              <w:widowControl w:val="0"/>
              <w:tabs>
                <w:tab w:val="left" w:pos="180"/>
                <w:tab w:val="right" w:pos="3060"/>
                <w:tab w:val="right" w:pos="4150"/>
              </w:tabs>
              <w:jc w:val="right"/>
              <w:rPr>
                <w:rFonts w:ascii="Arial" w:hAnsi="Arial" w:cs="Arial"/>
                <w:b/>
                <w:snapToGrid w:val="0"/>
                <w:color w:val="000000"/>
                <w:sz w:val="24"/>
              </w:rPr>
            </w:pPr>
            <w:r w:rsidRPr="00114592">
              <w:rPr>
                <w:rFonts w:ascii="Arial" w:hAnsi="Arial" w:cs="Arial"/>
                <w:b/>
                <w:snapToGrid w:val="0"/>
                <w:color w:val="000000"/>
                <w:sz w:val="24"/>
              </w:rPr>
              <w:t>£’000</w:t>
            </w:r>
          </w:p>
        </w:tc>
        <w:tc>
          <w:tcPr>
            <w:tcW w:w="1974" w:type="dxa"/>
          </w:tcPr>
          <w:p w:rsidR="00925ED9" w:rsidRPr="00114592" w:rsidRDefault="00925ED9" w:rsidP="00925ED9">
            <w:pPr>
              <w:widowControl w:val="0"/>
              <w:tabs>
                <w:tab w:val="left" w:pos="180"/>
                <w:tab w:val="right" w:pos="3060"/>
                <w:tab w:val="right" w:pos="4150"/>
              </w:tabs>
              <w:jc w:val="right"/>
              <w:rPr>
                <w:rFonts w:ascii="Arial" w:hAnsi="Arial" w:cs="Arial"/>
                <w:b/>
                <w:snapToGrid w:val="0"/>
                <w:color w:val="000000"/>
                <w:sz w:val="24"/>
              </w:rPr>
            </w:pPr>
            <w:r w:rsidRPr="00114592">
              <w:rPr>
                <w:rFonts w:ascii="Arial" w:hAnsi="Arial" w:cs="Arial"/>
                <w:b/>
                <w:snapToGrid w:val="0"/>
                <w:color w:val="000000"/>
                <w:sz w:val="24"/>
              </w:rPr>
              <w:t>£’000</w:t>
            </w:r>
          </w:p>
        </w:tc>
      </w:tr>
      <w:tr w:rsidR="00925ED9" w:rsidRPr="00114592" w:rsidTr="001963D8">
        <w:tc>
          <w:tcPr>
            <w:tcW w:w="3957" w:type="dxa"/>
          </w:tcPr>
          <w:p w:rsidR="00925ED9" w:rsidRPr="00114592" w:rsidRDefault="00925ED9" w:rsidP="00925ED9">
            <w:pPr>
              <w:widowControl w:val="0"/>
              <w:tabs>
                <w:tab w:val="left" w:pos="180"/>
                <w:tab w:val="right" w:pos="3060"/>
                <w:tab w:val="right" w:pos="4150"/>
              </w:tabs>
              <w:rPr>
                <w:rFonts w:ascii="Arial" w:hAnsi="Arial" w:cs="Arial"/>
                <w:b/>
                <w:snapToGrid w:val="0"/>
                <w:color w:val="000000"/>
                <w:sz w:val="24"/>
              </w:rPr>
            </w:pPr>
          </w:p>
        </w:tc>
        <w:tc>
          <w:tcPr>
            <w:tcW w:w="2097" w:type="dxa"/>
          </w:tcPr>
          <w:p w:rsidR="00925ED9" w:rsidRPr="00114592" w:rsidRDefault="00925ED9" w:rsidP="00925ED9">
            <w:pPr>
              <w:widowControl w:val="0"/>
              <w:tabs>
                <w:tab w:val="left" w:pos="180"/>
                <w:tab w:val="right" w:pos="3060"/>
                <w:tab w:val="right" w:pos="4150"/>
              </w:tabs>
              <w:jc w:val="right"/>
              <w:rPr>
                <w:rFonts w:ascii="Arial" w:hAnsi="Arial" w:cs="Arial"/>
                <w:snapToGrid w:val="0"/>
                <w:color w:val="000000"/>
                <w:sz w:val="24"/>
              </w:rPr>
            </w:pPr>
          </w:p>
        </w:tc>
        <w:tc>
          <w:tcPr>
            <w:tcW w:w="1974" w:type="dxa"/>
          </w:tcPr>
          <w:p w:rsidR="00925ED9" w:rsidRPr="00114592" w:rsidRDefault="00925ED9" w:rsidP="00925ED9">
            <w:pPr>
              <w:widowControl w:val="0"/>
              <w:tabs>
                <w:tab w:val="left" w:pos="180"/>
                <w:tab w:val="right" w:pos="3060"/>
                <w:tab w:val="right" w:pos="4150"/>
              </w:tabs>
              <w:jc w:val="right"/>
              <w:rPr>
                <w:rFonts w:ascii="Arial" w:hAnsi="Arial" w:cs="Arial"/>
                <w:snapToGrid w:val="0"/>
                <w:color w:val="000000"/>
                <w:sz w:val="24"/>
              </w:rPr>
            </w:pPr>
          </w:p>
        </w:tc>
      </w:tr>
      <w:tr w:rsidR="00925ED9" w:rsidRPr="00114592" w:rsidTr="001963D8">
        <w:tc>
          <w:tcPr>
            <w:tcW w:w="3957" w:type="dxa"/>
          </w:tcPr>
          <w:p w:rsidR="00925ED9" w:rsidRPr="00114592" w:rsidRDefault="00925ED9" w:rsidP="00925ED9">
            <w:pPr>
              <w:widowControl w:val="0"/>
              <w:tabs>
                <w:tab w:val="left" w:pos="180"/>
                <w:tab w:val="right" w:pos="3060"/>
                <w:tab w:val="right" w:pos="4150"/>
              </w:tabs>
              <w:rPr>
                <w:rFonts w:ascii="Arial" w:hAnsi="Arial" w:cs="Arial"/>
                <w:snapToGrid w:val="0"/>
                <w:color w:val="000000"/>
                <w:sz w:val="24"/>
              </w:rPr>
            </w:pPr>
            <w:r w:rsidRPr="00114592">
              <w:rPr>
                <w:rFonts w:ascii="Arial" w:hAnsi="Arial" w:cs="Arial"/>
                <w:snapToGrid w:val="0"/>
                <w:color w:val="000000"/>
                <w:sz w:val="24"/>
              </w:rPr>
              <w:t>Pension administration costs</w:t>
            </w:r>
          </w:p>
        </w:tc>
        <w:tc>
          <w:tcPr>
            <w:tcW w:w="2097" w:type="dxa"/>
          </w:tcPr>
          <w:p w:rsidR="00925ED9" w:rsidRPr="00114592" w:rsidRDefault="000727E0" w:rsidP="00925ED9">
            <w:pPr>
              <w:widowControl w:val="0"/>
              <w:tabs>
                <w:tab w:val="left" w:pos="180"/>
                <w:tab w:val="right" w:pos="3060"/>
                <w:tab w:val="right" w:pos="4150"/>
              </w:tabs>
              <w:jc w:val="right"/>
              <w:rPr>
                <w:rFonts w:ascii="Arial" w:hAnsi="Arial" w:cs="Arial"/>
                <w:snapToGrid w:val="0"/>
                <w:color w:val="000000"/>
                <w:sz w:val="24"/>
              </w:rPr>
            </w:pPr>
            <w:r w:rsidRPr="00114592">
              <w:rPr>
                <w:rFonts w:ascii="Arial" w:hAnsi="Arial" w:cs="Arial"/>
                <w:snapToGrid w:val="0"/>
                <w:color w:val="000000"/>
                <w:sz w:val="24"/>
              </w:rPr>
              <w:t>914</w:t>
            </w:r>
          </w:p>
        </w:tc>
        <w:tc>
          <w:tcPr>
            <w:tcW w:w="1974" w:type="dxa"/>
          </w:tcPr>
          <w:p w:rsidR="00925ED9" w:rsidRPr="00D75982" w:rsidRDefault="00E63994" w:rsidP="00925ED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899</w:t>
            </w:r>
          </w:p>
        </w:tc>
      </w:tr>
      <w:tr w:rsidR="00E268D9" w:rsidRPr="00114592" w:rsidTr="006A7879">
        <w:tc>
          <w:tcPr>
            <w:tcW w:w="3957" w:type="dxa"/>
          </w:tcPr>
          <w:p w:rsidR="00E268D9" w:rsidRPr="00114592" w:rsidRDefault="00E268D9" w:rsidP="006A7879">
            <w:pPr>
              <w:widowControl w:val="0"/>
              <w:tabs>
                <w:tab w:val="left" w:pos="180"/>
                <w:tab w:val="right" w:pos="3060"/>
                <w:tab w:val="right" w:pos="4150"/>
              </w:tabs>
              <w:rPr>
                <w:rFonts w:ascii="Arial" w:hAnsi="Arial" w:cs="Arial"/>
                <w:snapToGrid w:val="0"/>
                <w:color w:val="000000"/>
                <w:sz w:val="24"/>
              </w:rPr>
            </w:pPr>
            <w:r w:rsidRPr="00114592">
              <w:rPr>
                <w:rFonts w:ascii="Arial" w:hAnsi="Arial" w:cs="Arial"/>
                <w:snapToGrid w:val="0"/>
                <w:color w:val="000000"/>
                <w:sz w:val="24"/>
              </w:rPr>
              <w:t>External audit fees</w:t>
            </w:r>
          </w:p>
        </w:tc>
        <w:tc>
          <w:tcPr>
            <w:tcW w:w="2097" w:type="dxa"/>
          </w:tcPr>
          <w:p w:rsidR="00E268D9" w:rsidRPr="00114592" w:rsidRDefault="000727E0" w:rsidP="006A7879">
            <w:pPr>
              <w:widowControl w:val="0"/>
              <w:tabs>
                <w:tab w:val="left" w:pos="180"/>
                <w:tab w:val="right" w:pos="3060"/>
                <w:tab w:val="right" w:pos="4150"/>
              </w:tabs>
              <w:jc w:val="right"/>
              <w:rPr>
                <w:rFonts w:ascii="Arial" w:hAnsi="Arial" w:cs="Arial"/>
                <w:snapToGrid w:val="0"/>
                <w:color w:val="000000"/>
                <w:sz w:val="24"/>
              </w:rPr>
            </w:pPr>
            <w:r w:rsidRPr="00114592">
              <w:rPr>
                <w:rFonts w:ascii="Arial" w:hAnsi="Arial" w:cs="Arial"/>
                <w:snapToGrid w:val="0"/>
                <w:color w:val="000000"/>
                <w:sz w:val="24"/>
              </w:rPr>
              <w:t>33</w:t>
            </w:r>
          </w:p>
        </w:tc>
        <w:tc>
          <w:tcPr>
            <w:tcW w:w="1974" w:type="dxa"/>
          </w:tcPr>
          <w:p w:rsidR="00E268D9" w:rsidRPr="00D75982" w:rsidRDefault="00D75982" w:rsidP="006A7879">
            <w:pPr>
              <w:widowControl w:val="0"/>
              <w:tabs>
                <w:tab w:val="left" w:pos="180"/>
                <w:tab w:val="right" w:pos="3060"/>
                <w:tab w:val="right" w:pos="4150"/>
              </w:tabs>
              <w:jc w:val="right"/>
              <w:rPr>
                <w:rFonts w:ascii="Arial" w:hAnsi="Arial" w:cs="Arial"/>
                <w:snapToGrid w:val="0"/>
                <w:color w:val="000000"/>
                <w:sz w:val="24"/>
              </w:rPr>
            </w:pPr>
            <w:r w:rsidRPr="00D75982">
              <w:rPr>
                <w:rFonts w:ascii="Arial" w:hAnsi="Arial" w:cs="Arial"/>
                <w:snapToGrid w:val="0"/>
                <w:color w:val="000000"/>
                <w:sz w:val="24"/>
              </w:rPr>
              <w:t>25</w:t>
            </w:r>
          </w:p>
        </w:tc>
      </w:tr>
      <w:tr w:rsidR="00E268D9" w:rsidRPr="00114592" w:rsidTr="006A7879">
        <w:tc>
          <w:tcPr>
            <w:tcW w:w="3957" w:type="dxa"/>
          </w:tcPr>
          <w:p w:rsidR="00E268D9" w:rsidRPr="00114592" w:rsidRDefault="00E268D9" w:rsidP="006A7879">
            <w:pPr>
              <w:widowControl w:val="0"/>
              <w:tabs>
                <w:tab w:val="left" w:pos="180"/>
                <w:tab w:val="right" w:pos="3060"/>
                <w:tab w:val="right" w:pos="4150"/>
              </w:tabs>
              <w:rPr>
                <w:rFonts w:ascii="Arial" w:hAnsi="Arial" w:cs="Arial"/>
                <w:snapToGrid w:val="0"/>
                <w:color w:val="000000"/>
                <w:sz w:val="24"/>
              </w:rPr>
            </w:pPr>
            <w:r w:rsidRPr="00114592">
              <w:rPr>
                <w:rFonts w:ascii="Arial" w:hAnsi="Arial" w:cs="Arial"/>
                <w:snapToGrid w:val="0"/>
                <w:color w:val="000000"/>
                <w:sz w:val="24"/>
              </w:rPr>
              <w:t>Actuarial fees</w:t>
            </w:r>
          </w:p>
        </w:tc>
        <w:tc>
          <w:tcPr>
            <w:tcW w:w="2097" w:type="dxa"/>
          </w:tcPr>
          <w:p w:rsidR="00E268D9" w:rsidRPr="00114592" w:rsidRDefault="000727E0" w:rsidP="006A7879">
            <w:pPr>
              <w:widowControl w:val="0"/>
              <w:tabs>
                <w:tab w:val="left" w:pos="180"/>
                <w:tab w:val="right" w:pos="3060"/>
                <w:tab w:val="right" w:pos="4150"/>
              </w:tabs>
              <w:jc w:val="right"/>
              <w:rPr>
                <w:rFonts w:ascii="Arial" w:hAnsi="Arial" w:cs="Arial"/>
                <w:snapToGrid w:val="0"/>
                <w:color w:val="000000"/>
                <w:sz w:val="24"/>
              </w:rPr>
            </w:pPr>
            <w:r w:rsidRPr="00114592">
              <w:rPr>
                <w:rFonts w:ascii="Arial" w:hAnsi="Arial" w:cs="Arial"/>
                <w:snapToGrid w:val="0"/>
                <w:color w:val="000000"/>
                <w:sz w:val="24"/>
              </w:rPr>
              <w:t>6</w:t>
            </w:r>
            <w:r w:rsidR="00366634" w:rsidRPr="00114592">
              <w:rPr>
                <w:rFonts w:ascii="Arial" w:hAnsi="Arial" w:cs="Arial"/>
                <w:snapToGrid w:val="0"/>
                <w:color w:val="000000"/>
                <w:sz w:val="24"/>
              </w:rPr>
              <w:t>6</w:t>
            </w:r>
          </w:p>
        </w:tc>
        <w:tc>
          <w:tcPr>
            <w:tcW w:w="1974" w:type="dxa"/>
          </w:tcPr>
          <w:p w:rsidR="00E268D9" w:rsidRPr="00D75982" w:rsidRDefault="00D75982" w:rsidP="006A7879">
            <w:pPr>
              <w:widowControl w:val="0"/>
              <w:tabs>
                <w:tab w:val="left" w:pos="180"/>
                <w:tab w:val="right" w:pos="3060"/>
                <w:tab w:val="right" w:pos="4150"/>
              </w:tabs>
              <w:jc w:val="right"/>
              <w:rPr>
                <w:rFonts w:ascii="Arial" w:hAnsi="Arial" w:cs="Arial"/>
                <w:snapToGrid w:val="0"/>
                <w:color w:val="000000"/>
                <w:sz w:val="24"/>
              </w:rPr>
            </w:pPr>
            <w:r w:rsidRPr="00D75982">
              <w:rPr>
                <w:rFonts w:ascii="Arial" w:hAnsi="Arial" w:cs="Arial"/>
                <w:snapToGrid w:val="0"/>
                <w:color w:val="000000"/>
                <w:sz w:val="24"/>
              </w:rPr>
              <w:t>30</w:t>
            </w:r>
          </w:p>
        </w:tc>
      </w:tr>
      <w:tr w:rsidR="00925ED9" w:rsidRPr="00114592" w:rsidTr="00F64F1E">
        <w:tc>
          <w:tcPr>
            <w:tcW w:w="3957" w:type="dxa"/>
          </w:tcPr>
          <w:p w:rsidR="00925ED9" w:rsidRPr="00114592" w:rsidRDefault="00925ED9" w:rsidP="00925ED9">
            <w:pPr>
              <w:widowControl w:val="0"/>
              <w:tabs>
                <w:tab w:val="left" w:pos="180"/>
                <w:tab w:val="right" w:pos="3060"/>
                <w:tab w:val="right" w:pos="4150"/>
              </w:tabs>
              <w:rPr>
                <w:rFonts w:ascii="Arial" w:hAnsi="Arial" w:cs="Arial"/>
                <w:snapToGrid w:val="0"/>
                <w:color w:val="000000"/>
                <w:sz w:val="24"/>
                <w:szCs w:val="24"/>
              </w:rPr>
            </w:pPr>
          </w:p>
        </w:tc>
        <w:tc>
          <w:tcPr>
            <w:tcW w:w="2097" w:type="dxa"/>
            <w:tcBorders>
              <w:bottom w:val="single" w:sz="4" w:space="0" w:color="auto"/>
            </w:tcBorders>
          </w:tcPr>
          <w:p w:rsidR="00925ED9" w:rsidRPr="00114592" w:rsidRDefault="00925ED9" w:rsidP="00925ED9">
            <w:pPr>
              <w:widowControl w:val="0"/>
              <w:tabs>
                <w:tab w:val="left" w:pos="180"/>
                <w:tab w:val="right" w:pos="3060"/>
                <w:tab w:val="right" w:pos="4150"/>
              </w:tabs>
              <w:jc w:val="right"/>
              <w:rPr>
                <w:rFonts w:ascii="Arial" w:hAnsi="Arial" w:cs="Arial"/>
                <w:snapToGrid w:val="0"/>
                <w:color w:val="000000"/>
                <w:sz w:val="14"/>
                <w:szCs w:val="14"/>
              </w:rPr>
            </w:pPr>
          </w:p>
        </w:tc>
        <w:tc>
          <w:tcPr>
            <w:tcW w:w="1974" w:type="dxa"/>
            <w:tcBorders>
              <w:bottom w:val="single" w:sz="4" w:space="0" w:color="auto"/>
            </w:tcBorders>
          </w:tcPr>
          <w:p w:rsidR="00925ED9" w:rsidRPr="00D75982" w:rsidRDefault="00925ED9" w:rsidP="00925ED9">
            <w:pPr>
              <w:widowControl w:val="0"/>
              <w:tabs>
                <w:tab w:val="left" w:pos="180"/>
                <w:tab w:val="right" w:pos="3060"/>
                <w:tab w:val="right" w:pos="4150"/>
              </w:tabs>
              <w:jc w:val="right"/>
              <w:rPr>
                <w:rFonts w:ascii="Arial" w:hAnsi="Arial" w:cs="Arial"/>
                <w:snapToGrid w:val="0"/>
                <w:color w:val="000000"/>
                <w:sz w:val="14"/>
                <w:szCs w:val="14"/>
              </w:rPr>
            </w:pPr>
          </w:p>
        </w:tc>
      </w:tr>
      <w:tr w:rsidR="00925ED9" w:rsidRPr="00114592" w:rsidTr="00F64F1E">
        <w:tc>
          <w:tcPr>
            <w:tcW w:w="3957" w:type="dxa"/>
          </w:tcPr>
          <w:p w:rsidR="00925ED9" w:rsidRPr="00114592" w:rsidRDefault="00195684" w:rsidP="00925ED9">
            <w:pPr>
              <w:widowControl w:val="0"/>
              <w:tabs>
                <w:tab w:val="left" w:pos="180"/>
                <w:tab w:val="right" w:pos="3060"/>
                <w:tab w:val="right" w:pos="4150"/>
              </w:tabs>
              <w:rPr>
                <w:rFonts w:ascii="Arial" w:hAnsi="Arial" w:cs="Arial"/>
                <w:b/>
                <w:snapToGrid w:val="0"/>
                <w:color w:val="000000"/>
                <w:sz w:val="24"/>
              </w:rPr>
            </w:pPr>
            <w:r w:rsidRPr="00114592">
              <w:rPr>
                <w:rFonts w:ascii="Arial" w:hAnsi="Arial" w:cs="Arial"/>
                <w:b/>
                <w:snapToGrid w:val="0"/>
                <w:color w:val="000000"/>
                <w:sz w:val="24"/>
              </w:rPr>
              <w:t>Total</w:t>
            </w:r>
          </w:p>
        </w:tc>
        <w:tc>
          <w:tcPr>
            <w:tcW w:w="2097" w:type="dxa"/>
            <w:tcBorders>
              <w:top w:val="single" w:sz="4" w:space="0" w:color="auto"/>
            </w:tcBorders>
          </w:tcPr>
          <w:p w:rsidR="00925ED9" w:rsidRPr="00114592" w:rsidRDefault="000727E0" w:rsidP="00925ED9">
            <w:pPr>
              <w:widowControl w:val="0"/>
              <w:tabs>
                <w:tab w:val="left" w:pos="180"/>
                <w:tab w:val="right" w:pos="3060"/>
                <w:tab w:val="right" w:pos="4150"/>
              </w:tabs>
              <w:jc w:val="right"/>
              <w:rPr>
                <w:rFonts w:ascii="Arial" w:hAnsi="Arial" w:cs="Arial"/>
                <w:b/>
                <w:snapToGrid w:val="0"/>
                <w:color w:val="000000"/>
                <w:sz w:val="24"/>
              </w:rPr>
            </w:pPr>
            <w:r w:rsidRPr="00114592">
              <w:rPr>
                <w:rFonts w:ascii="Arial" w:hAnsi="Arial" w:cs="Arial"/>
                <w:b/>
                <w:snapToGrid w:val="0"/>
                <w:color w:val="000000"/>
                <w:sz w:val="24"/>
              </w:rPr>
              <w:t>1,013</w:t>
            </w:r>
          </w:p>
        </w:tc>
        <w:tc>
          <w:tcPr>
            <w:tcW w:w="1974" w:type="dxa"/>
            <w:tcBorders>
              <w:top w:val="single" w:sz="4" w:space="0" w:color="auto"/>
            </w:tcBorders>
          </w:tcPr>
          <w:p w:rsidR="00925ED9" w:rsidRPr="00D75982" w:rsidRDefault="00D75982" w:rsidP="00925ED9">
            <w:pPr>
              <w:widowControl w:val="0"/>
              <w:tabs>
                <w:tab w:val="left" w:pos="180"/>
                <w:tab w:val="right" w:pos="3060"/>
                <w:tab w:val="right" w:pos="4150"/>
              </w:tabs>
              <w:jc w:val="right"/>
              <w:rPr>
                <w:rFonts w:ascii="Arial" w:hAnsi="Arial" w:cs="Arial"/>
                <w:b/>
                <w:snapToGrid w:val="0"/>
                <w:color w:val="000000"/>
                <w:sz w:val="24"/>
              </w:rPr>
            </w:pPr>
            <w:r w:rsidRPr="00E63994">
              <w:rPr>
                <w:rFonts w:ascii="Arial" w:hAnsi="Arial" w:cs="Arial"/>
                <w:b/>
                <w:snapToGrid w:val="0"/>
                <w:color w:val="000000"/>
                <w:sz w:val="24"/>
              </w:rPr>
              <w:t>9</w:t>
            </w:r>
            <w:r w:rsidR="00E63994" w:rsidRPr="00E63994">
              <w:rPr>
                <w:rFonts w:ascii="Arial" w:hAnsi="Arial" w:cs="Arial"/>
                <w:b/>
                <w:snapToGrid w:val="0"/>
                <w:color w:val="000000"/>
                <w:sz w:val="24"/>
              </w:rPr>
              <w:t>54</w:t>
            </w:r>
          </w:p>
        </w:tc>
      </w:tr>
    </w:tbl>
    <w:p w:rsidR="006354F4" w:rsidRPr="00114592" w:rsidRDefault="006354F4" w:rsidP="00635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rPr>
      </w:pPr>
    </w:p>
    <w:p w:rsidR="00C932D8" w:rsidRPr="00780B23" w:rsidRDefault="00C932D8" w:rsidP="00635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rPr>
      </w:pPr>
    </w:p>
    <w:p w:rsidR="006354F4" w:rsidRPr="00780B23" w:rsidRDefault="00A455F3" w:rsidP="00635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rPr>
      </w:pPr>
      <w:r w:rsidRPr="00780B23">
        <w:rPr>
          <w:rFonts w:ascii="Arial" w:hAnsi="Arial" w:cs="Arial"/>
          <w:b/>
          <w:snapToGrid w:val="0"/>
          <w:color w:val="000000"/>
          <w:sz w:val="24"/>
        </w:rPr>
        <w:t xml:space="preserve">12. </w:t>
      </w:r>
      <w:r w:rsidR="0083647D" w:rsidRPr="00780B23">
        <w:rPr>
          <w:rFonts w:ascii="Arial" w:hAnsi="Arial" w:cs="Arial"/>
          <w:b/>
          <w:snapToGrid w:val="0"/>
          <w:color w:val="000000"/>
          <w:sz w:val="24"/>
        </w:rPr>
        <w:t xml:space="preserve"> </w:t>
      </w:r>
      <w:r w:rsidRPr="00780B23">
        <w:rPr>
          <w:rFonts w:ascii="Arial" w:hAnsi="Arial" w:cs="Arial"/>
          <w:b/>
          <w:snapToGrid w:val="0"/>
          <w:color w:val="000000"/>
          <w:sz w:val="24"/>
        </w:rPr>
        <w:t>Investment income</w:t>
      </w:r>
    </w:p>
    <w:p w:rsidR="00F4549E" w:rsidRPr="00780B23" w:rsidRDefault="00F4549E" w:rsidP="00635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7"/>
        <w:gridCol w:w="2097"/>
        <w:gridCol w:w="1974"/>
      </w:tblGrid>
      <w:tr w:rsidR="006354F4" w:rsidRPr="00780B23" w:rsidTr="006A7879">
        <w:tc>
          <w:tcPr>
            <w:tcW w:w="3957" w:type="dxa"/>
          </w:tcPr>
          <w:p w:rsidR="00F4549E" w:rsidRPr="00780B23" w:rsidRDefault="00F4549E" w:rsidP="006A7879">
            <w:pPr>
              <w:widowControl w:val="0"/>
              <w:tabs>
                <w:tab w:val="left" w:pos="180"/>
                <w:tab w:val="right" w:pos="3060"/>
                <w:tab w:val="right" w:pos="4150"/>
              </w:tabs>
              <w:rPr>
                <w:rFonts w:ascii="Arial" w:hAnsi="Arial" w:cs="Arial"/>
                <w:snapToGrid w:val="0"/>
                <w:color w:val="000000"/>
                <w:sz w:val="24"/>
              </w:rPr>
            </w:pPr>
          </w:p>
        </w:tc>
        <w:tc>
          <w:tcPr>
            <w:tcW w:w="2097" w:type="dxa"/>
          </w:tcPr>
          <w:p w:rsidR="006354F4" w:rsidRPr="00780B23" w:rsidRDefault="004143F8" w:rsidP="006A7879">
            <w:pPr>
              <w:widowControl w:val="0"/>
              <w:tabs>
                <w:tab w:val="left" w:pos="180"/>
                <w:tab w:val="right" w:pos="3060"/>
                <w:tab w:val="right" w:pos="4150"/>
              </w:tabs>
              <w:jc w:val="right"/>
              <w:rPr>
                <w:rFonts w:ascii="Arial" w:hAnsi="Arial" w:cs="Arial"/>
                <w:b/>
                <w:snapToGrid w:val="0"/>
                <w:color w:val="000000"/>
                <w:sz w:val="24"/>
              </w:rPr>
            </w:pPr>
            <w:r w:rsidRPr="00780B23">
              <w:rPr>
                <w:rFonts w:ascii="Arial" w:hAnsi="Arial" w:cs="Arial"/>
                <w:b/>
                <w:snapToGrid w:val="0"/>
                <w:color w:val="000000"/>
                <w:sz w:val="24"/>
              </w:rPr>
              <w:t>2011/12</w:t>
            </w:r>
          </w:p>
        </w:tc>
        <w:tc>
          <w:tcPr>
            <w:tcW w:w="1974" w:type="dxa"/>
          </w:tcPr>
          <w:p w:rsidR="006354F4" w:rsidRPr="00780B23" w:rsidRDefault="004143F8" w:rsidP="006A7879">
            <w:pPr>
              <w:widowControl w:val="0"/>
              <w:tabs>
                <w:tab w:val="left" w:pos="180"/>
                <w:tab w:val="right" w:pos="3060"/>
                <w:tab w:val="right" w:pos="4150"/>
              </w:tabs>
              <w:jc w:val="right"/>
              <w:rPr>
                <w:rFonts w:ascii="Arial" w:hAnsi="Arial" w:cs="Arial"/>
                <w:b/>
                <w:snapToGrid w:val="0"/>
                <w:color w:val="000000"/>
                <w:sz w:val="24"/>
              </w:rPr>
            </w:pPr>
            <w:r w:rsidRPr="00780B23">
              <w:rPr>
                <w:rFonts w:ascii="Arial" w:hAnsi="Arial" w:cs="Arial"/>
                <w:b/>
                <w:snapToGrid w:val="0"/>
                <w:color w:val="000000"/>
                <w:sz w:val="24"/>
              </w:rPr>
              <w:t>2012/13</w:t>
            </w:r>
          </w:p>
        </w:tc>
      </w:tr>
      <w:tr w:rsidR="006354F4" w:rsidRPr="00780B23" w:rsidTr="006A7879">
        <w:tc>
          <w:tcPr>
            <w:tcW w:w="3957" w:type="dxa"/>
          </w:tcPr>
          <w:p w:rsidR="006354F4" w:rsidRPr="00780B23" w:rsidRDefault="006354F4" w:rsidP="006A7879">
            <w:pPr>
              <w:widowControl w:val="0"/>
              <w:tabs>
                <w:tab w:val="left" w:pos="180"/>
                <w:tab w:val="right" w:pos="3060"/>
                <w:tab w:val="right" w:pos="4150"/>
              </w:tabs>
              <w:rPr>
                <w:rFonts w:ascii="Arial" w:hAnsi="Arial" w:cs="Arial"/>
                <w:snapToGrid w:val="0"/>
                <w:color w:val="000000"/>
                <w:sz w:val="24"/>
              </w:rPr>
            </w:pPr>
          </w:p>
        </w:tc>
        <w:tc>
          <w:tcPr>
            <w:tcW w:w="2097" w:type="dxa"/>
          </w:tcPr>
          <w:p w:rsidR="006354F4" w:rsidRPr="00780B23" w:rsidRDefault="006354F4" w:rsidP="006A7879">
            <w:pPr>
              <w:widowControl w:val="0"/>
              <w:tabs>
                <w:tab w:val="left" w:pos="180"/>
                <w:tab w:val="right" w:pos="3060"/>
                <w:tab w:val="right" w:pos="4150"/>
              </w:tabs>
              <w:jc w:val="right"/>
              <w:rPr>
                <w:rFonts w:ascii="Arial" w:hAnsi="Arial" w:cs="Arial"/>
                <w:b/>
                <w:snapToGrid w:val="0"/>
                <w:color w:val="000000"/>
                <w:sz w:val="24"/>
              </w:rPr>
            </w:pPr>
            <w:r w:rsidRPr="00780B23">
              <w:rPr>
                <w:rFonts w:ascii="Arial" w:hAnsi="Arial" w:cs="Arial"/>
                <w:b/>
                <w:snapToGrid w:val="0"/>
                <w:color w:val="000000"/>
                <w:sz w:val="24"/>
              </w:rPr>
              <w:t>£’000</w:t>
            </w:r>
          </w:p>
        </w:tc>
        <w:tc>
          <w:tcPr>
            <w:tcW w:w="1974" w:type="dxa"/>
          </w:tcPr>
          <w:p w:rsidR="006354F4" w:rsidRPr="00780B23" w:rsidRDefault="006354F4" w:rsidP="006A7879">
            <w:pPr>
              <w:widowControl w:val="0"/>
              <w:tabs>
                <w:tab w:val="left" w:pos="180"/>
                <w:tab w:val="right" w:pos="3060"/>
                <w:tab w:val="right" w:pos="4150"/>
              </w:tabs>
              <w:jc w:val="right"/>
              <w:rPr>
                <w:rFonts w:ascii="Arial" w:hAnsi="Arial" w:cs="Arial"/>
                <w:b/>
                <w:snapToGrid w:val="0"/>
                <w:color w:val="000000"/>
                <w:sz w:val="24"/>
              </w:rPr>
            </w:pPr>
            <w:r w:rsidRPr="00780B23">
              <w:rPr>
                <w:rFonts w:ascii="Arial" w:hAnsi="Arial" w:cs="Arial"/>
                <w:b/>
                <w:snapToGrid w:val="0"/>
                <w:color w:val="000000"/>
                <w:sz w:val="24"/>
              </w:rPr>
              <w:t>£’000</w:t>
            </w:r>
          </w:p>
        </w:tc>
      </w:tr>
      <w:tr w:rsidR="006354F4" w:rsidRPr="00780B23" w:rsidTr="006A7879">
        <w:tc>
          <w:tcPr>
            <w:tcW w:w="3957" w:type="dxa"/>
          </w:tcPr>
          <w:p w:rsidR="006354F4" w:rsidRPr="00780B23" w:rsidRDefault="006354F4" w:rsidP="006A7879">
            <w:pPr>
              <w:widowControl w:val="0"/>
              <w:tabs>
                <w:tab w:val="left" w:pos="180"/>
                <w:tab w:val="right" w:pos="3060"/>
                <w:tab w:val="right" w:pos="4150"/>
              </w:tabs>
              <w:rPr>
                <w:rFonts w:ascii="Arial" w:hAnsi="Arial" w:cs="Arial"/>
                <w:b/>
                <w:snapToGrid w:val="0"/>
                <w:color w:val="000000"/>
                <w:sz w:val="24"/>
              </w:rPr>
            </w:pPr>
          </w:p>
        </w:tc>
        <w:tc>
          <w:tcPr>
            <w:tcW w:w="2097" w:type="dxa"/>
          </w:tcPr>
          <w:p w:rsidR="006354F4" w:rsidRPr="00780B23" w:rsidRDefault="006354F4" w:rsidP="006A7879">
            <w:pPr>
              <w:widowControl w:val="0"/>
              <w:tabs>
                <w:tab w:val="left" w:pos="180"/>
                <w:tab w:val="right" w:pos="3060"/>
                <w:tab w:val="right" w:pos="4150"/>
              </w:tabs>
              <w:jc w:val="right"/>
              <w:rPr>
                <w:rFonts w:ascii="Arial" w:hAnsi="Arial" w:cs="Arial"/>
                <w:snapToGrid w:val="0"/>
                <w:color w:val="000000"/>
                <w:sz w:val="24"/>
              </w:rPr>
            </w:pPr>
          </w:p>
        </w:tc>
        <w:tc>
          <w:tcPr>
            <w:tcW w:w="1974" w:type="dxa"/>
          </w:tcPr>
          <w:p w:rsidR="006354F4" w:rsidRPr="00780B23" w:rsidRDefault="006354F4" w:rsidP="006A7879">
            <w:pPr>
              <w:widowControl w:val="0"/>
              <w:tabs>
                <w:tab w:val="left" w:pos="180"/>
                <w:tab w:val="right" w:pos="3060"/>
                <w:tab w:val="right" w:pos="4150"/>
              </w:tabs>
              <w:jc w:val="right"/>
              <w:rPr>
                <w:rFonts w:ascii="Arial" w:hAnsi="Arial" w:cs="Arial"/>
                <w:snapToGrid w:val="0"/>
                <w:color w:val="000000"/>
                <w:sz w:val="24"/>
              </w:rPr>
            </w:pPr>
          </w:p>
        </w:tc>
      </w:tr>
      <w:tr w:rsidR="006354F4" w:rsidRPr="00780B23" w:rsidTr="006A7879">
        <w:tc>
          <w:tcPr>
            <w:tcW w:w="3957" w:type="dxa"/>
          </w:tcPr>
          <w:p w:rsidR="006354F4" w:rsidRPr="00780B23" w:rsidRDefault="00FA25D6" w:rsidP="006A7879">
            <w:pPr>
              <w:widowControl w:val="0"/>
              <w:tabs>
                <w:tab w:val="left" w:pos="180"/>
                <w:tab w:val="right" w:pos="3060"/>
                <w:tab w:val="right" w:pos="4150"/>
              </w:tabs>
              <w:rPr>
                <w:rFonts w:ascii="Arial" w:hAnsi="Arial" w:cs="Arial"/>
                <w:snapToGrid w:val="0"/>
                <w:color w:val="000000"/>
                <w:sz w:val="24"/>
              </w:rPr>
            </w:pPr>
            <w:r w:rsidRPr="00780B23">
              <w:rPr>
                <w:rFonts w:ascii="Arial" w:hAnsi="Arial" w:cs="Arial"/>
                <w:snapToGrid w:val="0"/>
                <w:color w:val="000000"/>
                <w:sz w:val="24"/>
              </w:rPr>
              <w:t>Fixed interest securities</w:t>
            </w:r>
          </w:p>
        </w:tc>
        <w:tc>
          <w:tcPr>
            <w:tcW w:w="2097" w:type="dxa"/>
          </w:tcPr>
          <w:p w:rsidR="006354F4" w:rsidRPr="00780B23" w:rsidRDefault="00780B23"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2,310</w:t>
            </w:r>
          </w:p>
        </w:tc>
        <w:tc>
          <w:tcPr>
            <w:tcW w:w="1974" w:type="dxa"/>
          </w:tcPr>
          <w:p w:rsidR="006354F4" w:rsidRPr="00472E40" w:rsidRDefault="007A4FDD"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21</w:t>
            </w:r>
          </w:p>
        </w:tc>
      </w:tr>
      <w:tr w:rsidR="006354F4" w:rsidRPr="00780B23" w:rsidTr="006A7879">
        <w:tc>
          <w:tcPr>
            <w:tcW w:w="3957" w:type="dxa"/>
          </w:tcPr>
          <w:p w:rsidR="006354F4" w:rsidRPr="00780B23" w:rsidRDefault="00DD5DB5" w:rsidP="006A7879">
            <w:pPr>
              <w:widowControl w:val="0"/>
              <w:tabs>
                <w:tab w:val="left" w:pos="180"/>
                <w:tab w:val="right" w:pos="3060"/>
                <w:tab w:val="right" w:pos="4150"/>
              </w:tabs>
              <w:rPr>
                <w:rFonts w:ascii="Arial" w:hAnsi="Arial" w:cs="Arial"/>
                <w:snapToGrid w:val="0"/>
                <w:color w:val="000000"/>
                <w:sz w:val="24"/>
              </w:rPr>
            </w:pPr>
            <w:r w:rsidRPr="00780B23">
              <w:rPr>
                <w:rFonts w:ascii="Arial" w:hAnsi="Arial" w:cs="Arial"/>
                <w:snapToGrid w:val="0"/>
                <w:color w:val="000000"/>
                <w:sz w:val="24"/>
              </w:rPr>
              <w:t>Equity dividends</w:t>
            </w:r>
          </w:p>
        </w:tc>
        <w:tc>
          <w:tcPr>
            <w:tcW w:w="2097" w:type="dxa"/>
          </w:tcPr>
          <w:p w:rsidR="006354F4" w:rsidRPr="00780B23" w:rsidRDefault="00780B23"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3,043</w:t>
            </w:r>
          </w:p>
        </w:tc>
        <w:tc>
          <w:tcPr>
            <w:tcW w:w="1974" w:type="dxa"/>
          </w:tcPr>
          <w:p w:rsidR="006354F4" w:rsidRPr="00472E40" w:rsidRDefault="007C4095" w:rsidP="006A7879">
            <w:pPr>
              <w:widowControl w:val="0"/>
              <w:tabs>
                <w:tab w:val="left" w:pos="180"/>
                <w:tab w:val="right" w:pos="3060"/>
                <w:tab w:val="right" w:pos="4150"/>
              </w:tabs>
              <w:jc w:val="right"/>
              <w:rPr>
                <w:rFonts w:ascii="Arial" w:hAnsi="Arial" w:cs="Arial"/>
                <w:snapToGrid w:val="0"/>
                <w:color w:val="000000"/>
                <w:sz w:val="24"/>
              </w:rPr>
            </w:pPr>
            <w:r w:rsidRPr="00472E40">
              <w:rPr>
                <w:rFonts w:ascii="Arial" w:hAnsi="Arial" w:cs="Arial"/>
                <w:snapToGrid w:val="0"/>
                <w:color w:val="000000"/>
                <w:sz w:val="24"/>
              </w:rPr>
              <w:t>1,179</w:t>
            </w:r>
          </w:p>
        </w:tc>
      </w:tr>
      <w:tr w:rsidR="0032664A" w:rsidRPr="00780B23" w:rsidTr="006A7879">
        <w:tc>
          <w:tcPr>
            <w:tcW w:w="3957" w:type="dxa"/>
          </w:tcPr>
          <w:p w:rsidR="0032664A" w:rsidRPr="00780B23" w:rsidRDefault="0032664A" w:rsidP="006A7879">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Pooled</w:t>
            </w:r>
            <w:r w:rsidR="0056563B">
              <w:rPr>
                <w:rFonts w:ascii="Arial" w:hAnsi="Arial" w:cs="Arial"/>
                <w:snapToGrid w:val="0"/>
                <w:color w:val="000000"/>
                <w:sz w:val="24"/>
              </w:rPr>
              <w:t xml:space="preserve"> property</w:t>
            </w:r>
            <w:r>
              <w:rPr>
                <w:rFonts w:ascii="Arial" w:hAnsi="Arial" w:cs="Arial"/>
                <w:snapToGrid w:val="0"/>
                <w:color w:val="000000"/>
                <w:sz w:val="24"/>
              </w:rPr>
              <w:t xml:space="preserve"> investments</w:t>
            </w:r>
          </w:p>
        </w:tc>
        <w:tc>
          <w:tcPr>
            <w:tcW w:w="2097" w:type="dxa"/>
          </w:tcPr>
          <w:p w:rsidR="0032664A" w:rsidRDefault="0056563B"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1,714</w:t>
            </w:r>
          </w:p>
        </w:tc>
        <w:tc>
          <w:tcPr>
            <w:tcW w:w="1974" w:type="dxa"/>
          </w:tcPr>
          <w:p w:rsidR="0032664A" w:rsidRPr="00472E40" w:rsidRDefault="007C4095" w:rsidP="006A7879">
            <w:pPr>
              <w:widowControl w:val="0"/>
              <w:tabs>
                <w:tab w:val="left" w:pos="180"/>
                <w:tab w:val="right" w:pos="3060"/>
                <w:tab w:val="right" w:pos="4150"/>
              </w:tabs>
              <w:jc w:val="right"/>
              <w:rPr>
                <w:rFonts w:ascii="Arial" w:hAnsi="Arial" w:cs="Arial"/>
                <w:snapToGrid w:val="0"/>
                <w:color w:val="000000"/>
                <w:sz w:val="24"/>
              </w:rPr>
            </w:pPr>
            <w:r w:rsidRPr="00472E40">
              <w:rPr>
                <w:rFonts w:ascii="Arial" w:hAnsi="Arial" w:cs="Arial"/>
                <w:snapToGrid w:val="0"/>
                <w:color w:val="000000"/>
                <w:sz w:val="24"/>
              </w:rPr>
              <w:t>1,798</w:t>
            </w:r>
          </w:p>
        </w:tc>
      </w:tr>
      <w:tr w:rsidR="00DD5DB5" w:rsidRPr="00780B23" w:rsidTr="006A7879">
        <w:tc>
          <w:tcPr>
            <w:tcW w:w="3957" w:type="dxa"/>
          </w:tcPr>
          <w:p w:rsidR="00DD5DB5" w:rsidRPr="00780B23" w:rsidRDefault="00DD5DB5" w:rsidP="006A7879">
            <w:pPr>
              <w:widowControl w:val="0"/>
              <w:tabs>
                <w:tab w:val="left" w:pos="180"/>
                <w:tab w:val="right" w:pos="3060"/>
                <w:tab w:val="right" w:pos="4150"/>
              </w:tabs>
              <w:rPr>
                <w:rFonts w:ascii="Arial" w:hAnsi="Arial" w:cs="Arial"/>
                <w:snapToGrid w:val="0"/>
                <w:color w:val="000000"/>
                <w:sz w:val="24"/>
              </w:rPr>
            </w:pPr>
            <w:r w:rsidRPr="00780B23">
              <w:rPr>
                <w:rFonts w:ascii="Arial" w:hAnsi="Arial" w:cs="Arial"/>
                <w:snapToGrid w:val="0"/>
                <w:color w:val="000000"/>
                <w:sz w:val="24"/>
              </w:rPr>
              <w:t>Interest on cash deposits</w:t>
            </w:r>
          </w:p>
        </w:tc>
        <w:tc>
          <w:tcPr>
            <w:tcW w:w="2097" w:type="dxa"/>
          </w:tcPr>
          <w:p w:rsidR="00DD5DB5" w:rsidRPr="00780B23" w:rsidRDefault="0009615D"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65</w:t>
            </w:r>
          </w:p>
        </w:tc>
        <w:tc>
          <w:tcPr>
            <w:tcW w:w="1974" w:type="dxa"/>
          </w:tcPr>
          <w:p w:rsidR="00DD5DB5" w:rsidRPr="00472E40" w:rsidRDefault="00AB3262" w:rsidP="006A7879">
            <w:pPr>
              <w:widowControl w:val="0"/>
              <w:tabs>
                <w:tab w:val="left" w:pos="180"/>
                <w:tab w:val="right" w:pos="3060"/>
                <w:tab w:val="right" w:pos="4150"/>
              </w:tabs>
              <w:jc w:val="right"/>
              <w:rPr>
                <w:rFonts w:ascii="Arial" w:hAnsi="Arial" w:cs="Arial"/>
                <w:snapToGrid w:val="0"/>
                <w:color w:val="000000"/>
                <w:sz w:val="24"/>
              </w:rPr>
            </w:pPr>
            <w:r w:rsidRPr="00472E40">
              <w:rPr>
                <w:rFonts w:ascii="Arial" w:hAnsi="Arial" w:cs="Arial"/>
                <w:snapToGrid w:val="0"/>
                <w:color w:val="000000"/>
                <w:sz w:val="24"/>
              </w:rPr>
              <w:t>3</w:t>
            </w:r>
            <w:r w:rsidR="00472E40" w:rsidRPr="00472E40">
              <w:rPr>
                <w:rFonts w:ascii="Arial" w:hAnsi="Arial" w:cs="Arial"/>
                <w:snapToGrid w:val="0"/>
                <w:color w:val="000000"/>
                <w:sz w:val="24"/>
              </w:rPr>
              <w:t>1</w:t>
            </w:r>
          </w:p>
        </w:tc>
      </w:tr>
      <w:tr w:rsidR="00DD5DB5" w:rsidRPr="00780B23" w:rsidTr="006A7879">
        <w:tc>
          <w:tcPr>
            <w:tcW w:w="3957" w:type="dxa"/>
          </w:tcPr>
          <w:p w:rsidR="00DD5DB5" w:rsidRPr="00780B23" w:rsidRDefault="004C6D8F" w:rsidP="006A7879">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Private equity</w:t>
            </w:r>
            <w:r w:rsidR="00972856">
              <w:rPr>
                <w:rFonts w:ascii="Arial" w:hAnsi="Arial" w:cs="Arial"/>
                <w:snapToGrid w:val="0"/>
                <w:color w:val="000000"/>
                <w:sz w:val="24"/>
              </w:rPr>
              <w:t>/infrastructure</w:t>
            </w:r>
          </w:p>
        </w:tc>
        <w:tc>
          <w:tcPr>
            <w:tcW w:w="2097" w:type="dxa"/>
          </w:tcPr>
          <w:p w:rsidR="00DD5DB5" w:rsidRPr="00780B23" w:rsidRDefault="00972856"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944</w:t>
            </w:r>
          </w:p>
        </w:tc>
        <w:tc>
          <w:tcPr>
            <w:tcW w:w="1974" w:type="dxa"/>
          </w:tcPr>
          <w:p w:rsidR="00DD5DB5" w:rsidRPr="00472E40" w:rsidRDefault="007C4095" w:rsidP="006A7879">
            <w:pPr>
              <w:widowControl w:val="0"/>
              <w:tabs>
                <w:tab w:val="left" w:pos="180"/>
                <w:tab w:val="right" w:pos="3060"/>
                <w:tab w:val="right" w:pos="4150"/>
              </w:tabs>
              <w:jc w:val="right"/>
              <w:rPr>
                <w:rFonts w:ascii="Arial" w:hAnsi="Arial" w:cs="Arial"/>
                <w:snapToGrid w:val="0"/>
                <w:color w:val="000000"/>
                <w:sz w:val="24"/>
              </w:rPr>
            </w:pPr>
            <w:r w:rsidRPr="00472E40">
              <w:rPr>
                <w:rFonts w:ascii="Arial" w:hAnsi="Arial" w:cs="Arial"/>
                <w:snapToGrid w:val="0"/>
                <w:color w:val="000000"/>
                <w:sz w:val="24"/>
              </w:rPr>
              <w:t>421</w:t>
            </w:r>
          </w:p>
        </w:tc>
      </w:tr>
      <w:tr w:rsidR="006354F4" w:rsidRPr="00780B23" w:rsidTr="00F64F1E">
        <w:tc>
          <w:tcPr>
            <w:tcW w:w="3957" w:type="dxa"/>
          </w:tcPr>
          <w:p w:rsidR="006354F4" w:rsidRPr="00780B23" w:rsidRDefault="006354F4" w:rsidP="006A7879">
            <w:pPr>
              <w:widowControl w:val="0"/>
              <w:tabs>
                <w:tab w:val="left" w:pos="180"/>
                <w:tab w:val="right" w:pos="3060"/>
                <w:tab w:val="right" w:pos="4150"/>
              </w:tabs>
              <w:rPr>
                <w:rFonts w:ascii="Arial" w:hAnsi="Arial" w:cs="Arial"/>
                <w:snapToGrid w:val="0"/>
                <w:color w:val="000000"/>
                <w:sz w:val="24"/>
              </w:rPr>
            </w:pPr>
            <w:r w:rsidRPr="00780B23">
              <w:rPr>
                <w:rFonts w:ascii="Arial" w:hAnsi="Arial" w:cs="Arial"/>
                <w:snapToGrid w:val="0"/>
                <w:color w:val="000000"/>
                <w:sz w:val="24"/>
              </w:rPr>
              <w:t>Other</w:t>
            </w:r>
          </w:p>
        </w:tc>
        <w:tc>
          <w:tcPr>
            <w:tcW w:w="2097" w:type="dxa"/>
          </w:tcPr>
          <w:p w:rsidR="006354F4" w:rsidRPr="00780B23" w:rsidRDefault="00FE6A3D" w:rsidP="006A7879">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160</w:t>
            </w:r>
          </w:p>
        </w:tc>
        <w:tc>
          <w:tcPr>
            <w:tcW w:w="1974" w:type="dxa"/>
          </w:tcPr>
          <w:p w:rsidR="006354F4" w:rsidRPr="00472E40" w:rsidRDefault="00472E40" w:rsidP="006A7879">
            <w:pPr>
              <w:widowControl w:val="0"/>
              <w:tabs>
                <w:tab w:val="left" w:pos="180"/>
                <w:tab w:val="right" w:pos="3060"/>
                <w:tab w:val="right" w:pos="4150"/>
              </w:tabs>
              <w:jc w:val="right"/>
              <w:rPr>
                <w:rFonts w:ascii="Arial" w:hAnsi="Arial" w:cs="Arial"/>
                <w:snapToGrid w:val="0"/>
                <w:color w:val="000000"/>
                <w:sz w:val="24"/>
              </w:rPr>
            </w:pPr>
            <w:r w:rsidRPr="00472E40">
              <w:rPr>
                <w:rFonts w:ascii="Arial" w:hAnsi="Arial" w:cs="Arial"/>
                <w:snapToGrid w:val="0"/>
                <w:color w:val="000000"/>
                <w:sz w:val="24"/>
              </w:rPr>
              <w:t>0</w:t>
            </w:r>
          </w:p>
        </w:tc>
      </w:tr>
      <w:tr w:rsidR="006354F4" w:rsidRPr="00780B23" w:rsidTr="00F64F1E">
        <w:tc>
          <w:tcPr>
            <w:tcW w:w="3957" w:type="dxa"/>
          </w:tcPr>
          <w:p w:rsidR="006354F4" w:rsidRPr="00780B23" w:rsidRDefault="006354F4" w:rsidP="006A7879">
            <w:pPr>
              <w:widowControl w:val="0"/>
              <w:tabs>
                <w:tab w:val="left" w:pos="180"/>
                <w:tab w:val="right" w:pos="3060"/>
                <w:tab w:val="right" w:pos="4150"/>
              </w:tabs>
              <w:rPr>
                <w:rFonts w:ascii="Arial" w:hAnsi="Arial" w:cs="Arial"/>
                <w:snapToGrid w:val="0"/>
                <w:color w:val="000000"/>
                <w:sz w:val="24"/>
                <w:szCs w:val="24"/>
              </w:rPr>
            </w:pPr>
          </w:p>
        </w:tc>
        <w:tc>
          <w:tcPr>
            <w:tcW w:w="2097" w:type="dxa"/>
            <w:tcBorders>
              <w:bottom w:val="single" w:sz="4" w:space="0" w:color="auto"/>
            </w:tcBorders>
          </w:tcPr>
          <w:p w:rsidR="006354F4" w:rsidRPr="00780B23" w:rsidRDefault="006354F4" w:rsidP="006A7879">
            <w:pPr>
              <w:widowControl w:val="0"/>
              <w:tabs>
                <w:tab w:val="left" w:pos="180"/>
                <w:tab w:val="right" w:pos="3060"/>
                <w:tab w:val="right" w:pos="4150"/>
              </w:tabs>
              <w:jc w:val="right"/>
              <w:rPr>
                <w:rFonts w:ascii="Arial" w:hAnsi="Arial" w:cs="Arial"/>
                <w:snapToGrid w:val="0"/>
                <w:color w:val="000000"/>
                <w:sz w:val="14"/>
                <w:szCs w:val="14"/>
              </w:rPr>
            </w:pPr>
          </w:p>
        </w:tc>
        <w:tc>
          <w:tcPr>
            <w:tcW w:w="1974" w:type="dxa"/>
            <w:tcBorders>
              <w:bottom w:val="single" w:sz="4" w:space="0" w:color="auto"/>
            </w:tcBorders>
          </w:tcPr>
          <w:p w:rsidR="006354F4" w:rsidRPr="00472E40" w:rsidRDefault="006354F4" w:rsidP="006A7879">
            <w:pPr>
              <w:widowControl w:val="0"/>
              <w:tabs>
                <w:tab w:val="left" w:pos="180"/>
                <w:tab w:val="right" w:pos="3060"/>
                <w:tab w:val="right" w:pos="4150"/>
              </w:tabs>
              <w:jc w:val="right"/>
              <w:rPr>
                <w:rFonts w:ascii="Arial" w:hAnsi="Arial" w:cs="Arial"/>
                <w:snapToGrid w:val="0"/>
                <w:color w:val="000000"/>
                <w:sz w:val="14"/>
                <w:szCs w:val="14"/>
              </w:rPr>
            </w:pPr>
          </w:p>
        </w:tc>
      </w:tr>
      <w:tr w:rsidR="006354F4" w:rsidRPr="00780B23" w:rsidTr="00F64F1E">
        <w:tc>
          <w:tcPr>
            <w:tcW w:w="3957" w:type="dxa"/>
          </w:tcPr>
          <w:p w:rsidR="006354F4" w:rsidRPr="00780B23" w:rsidRDefault="006354F4" w:rsidP="006A7879">
            <w:pPr>
              <w:widowControl w:val="0"/>
              <w:tabs>
                <w:tab w:val="left" w:pos="180"/>
                <w:tab w:val="right" w:pos="3060"/>
                <w:tab w:val="right" w:pos="4150"/>
              </w:tabs>
              <w:rPr>
                <w:rFonts w:ascii="Arial" w:hAnsi="Arial" w:cs="Arial"/>
                <w:b/>
                <w:snapToGrid w:val="0"/>
                <w:color w:val="000000"/>
                <w:sz w:val="24"/>
              </w:rPr>
            </w:pPr>
            <w:r w:rsidRPr="00780B23">
              <w:rPr>
                <w:rFonts w:ascii="Arial" w:hAnsi="Arial" w:cs="Arial"/>
                <w:b/>
                <w:snapToGrid w:val="0"/>
                <w:color w:val="000000"/>
                <w:sz w:val="24"/>
              </w:rPr>
              <w:t>Total</w:t>
            </w:r>
          </w:p>
        </w:tc>
        <w:tc>
          <w:tcPr>
            <w:tcW w:w="2097" w:type="dxa"/>
            <w:tcBorders>
              <w:top w:val="single" w:sz="4" w:space="0" w:color="auto"/>
            </w:tcBorders>
          </w:tcPr>
          <w:p w:rsidR="006354F4" w:rsidRPr="00780B23" w:rsidRDefault="004143F8" w:rsidP="006A7879">
            <w:pPr>
              <w:widowControl w:val="0"/>
              <w:tabs>
                <w:tab w:val="left" w:pos="180"/>
                <w:tab w:val="right" w:pos="3060"/>
                <w:tab w:val="right" w:pos="4150"/>
              </w:tabs>
              <w:jc w:val="right"/>
              <w:rPr>
                <w:rFonts w:ascii="Arial" w:hAnsi="Arial" w:cs="Arial"/>
                <w:b/>
                <w:snapToGrid w:val="0"/>
                <w:color w:val="000000"/>
                <w:sz w:val="24"/>
              </w:rPr>
            </w:pPr>
            <w:r w:rsidRPr="00780B23">
              <w:rPr>
                <w:rFonts w:ascii="Arial" w:hAnsi="Arial" w:cs="Arial"/>
                <w:b/>
                <w:snapToGrid w:val="0"/>
                <w:color w:val="000000"/>
                <w:sz w:val="24"/>
              </w:rPr>
              <w:t>8,236</w:t>
            </w:r>
          </w:p>
        </w:tc>
        <w:tc>
          <w:tcPr>
            <w:tcW w:w="1974" w:type="dxa"/>
            <w:tcBorders>
              <w:top w:val="single" w:sz="4" w:space="0" w:color="auto"/>
            </w:tcBorders>
          </w:tcPr>
          <w:p w:rsidR="006354F4" w:rsidRPr="00472E40" w:rsidRDefault="00472E40" w:rsidP="006A7879">
            <w:pPr>
              <w:widowControl w:val="0"/>
              <w:tabs>
                <w:tab w:val="left" w:pos="180"/>
                <w:tab w:val="right" w:pos="3060"/>
                <w:tab w:val="right" w:pos="4150"/>
              </w:tabs>
              <w:jc w:val="right"/>
              <w:rPr>
                <w:rFonts w:ascii="Arial" w:hAnsi="Arial" w:cs="Arial"/>
                <w:b/>
                <w:snapToGrid w:val="0"/>
                <w:color w:val="000000"/>
                <w:sz w:val="24"/>
              </w:rPr>
            </w:pPr>
            <w:r w:rsidRPr="00472E40">
              <w:rPr>
                <w:rFonts w:ascii="Arial" w:hAnsi="Arial" w:cs="Arial"/>
                <w:b/>
                <w:snapToGrid w:val="0"/>
                <w:color w:val="000000"/>
                <w:sz w:val="24"/>
              </w:rPr>
              <w:t>3,450</w:t>
            </w:r>
          </w:p>
        </w:tc>
      </w:tr>
    </w:tbl>
    <w:p w:rsidR="006354F4" w:rsidRPr="00780B23" w:rsidRDefault="006354F4" w:rsidP="006354F4">
      <w:pPr>
        <w:widowControl w:val="0"/>
        <w:tabs>
          <w:tab w:val="right" w:pos="5067"/>
          <w:tab w:val="right" w:pos="7224"/>
        </w:tabs>
        <w:rPr>
          <w:rFonts w:ascii="Arial" w:hAnsi="Arial" w:cs="Arial"/>
          <w:b/>
          <w:snapToGrid w:val="0"/>
          <w:color w:val="000000"/>
          <w:sz w:val="24"/>
        </w:rPr>
      </w:pPr>
    </w:p>
    <w:p w:rsidR="00574319" w:rsidRDefault="00574319">
      <w:pPr>
        <w:rPr>
          <w:rFonts w:ascii="Arial" w:hAnsi="Arial" w:cs="Arial"/>
          <w:b/>
          <w:snapToGrid w:val="0"/>
          <w:color w:val="000000"/>
          <w:sz w:val="24"/>
        </w:rPr>
      </w:pPr>
    </w:p>
    <w:p w:rsidR="00A85A4C" w:rsidRDefault="00A85A4C">
      <w:pPr>
        <w:rPr>
          <w:rFonts w:ascii="Arial" w:hAnsi="Arial" w:cs="Arial"/>
          <w:b/>
          <w:snapToGrid w:val="0"/>
          <w:color w:val="000000"/>
          <w:sz w:val="24"/>
        </w:rPr>
      </w:pPr>
      <w:r>
        <w:rPr>
          <w:rFonts w:ascii="Arial" w:hAnsi="Arial" w:cs="Arial"/>
          <w:b/>
          <w:snapToGrid w:val="0"/>
          <w:color w:val="000000"/>
          <w:sz w:val="24"/>
        </w:rPr>
        <w:br w:type="page"/>
      </w:r>
    </w:p>
    <w:p w:rsidR="00E97ECD" w:rsidRPr="003D2F7A" w:rsidRDefault="00A455F3" w:rsidP="00E97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highlight w:val="yellow"/>
        </w:rPr>
      </w:pPr>
      <w:r w:rsidRPr="005B08C7">
        <w:rPr>
          <w:rFonts w:ascii="Arial" w:hAnsi="Arial" w:cs="Arial"/>
          <w:b/>
          <w:snapToGrid w:val="0"/>
          <w:color w:val="000000"/>
          <w:sz w:val="24"/>
        </w:rPr>
        <w:lastRenderedPageBreak/>
        <w:t>1</w:t>
      </w:r>
      <w:r w:rsidR="00F666FC">
        <w:rPr>
          <w:rFonts w:ascii="Arial" w:hAnsi="Arial" w:cs="Arial"/>
          <w:b/>
          <w:snapToGrid w:val="0"/>
          <w:color w:val="000000"/>
          <w:sz w:val="24"/>
        </w:rPr>
        <w:t>3</w:t>
      </w:r>
      <w:r w:rsidRPr="005B08C7">
        <w:rPr>
          <w:rFonts w:ascii="Arial" w:hAnsi="Arial" w:cs="Arial"/>
          <w:b/>
          <w:snapToGrid w:val="0"/>
          <w:color w:val="000000"/>
          <w:sz w:val="24"/>
        </w:rPr>
        <w:t xml:space="preserve">. </w:t>
      </w:r>
      <w:r w:rsidR="0083647D" w:rsidRPr="005B08C7">
        <w:rPr>
          <w:rFonts w:ascii="Arial" w:hAnsi="Arial" w:cs="Arial"/>
          <w:b/>
          <w:snapToGrid w:val="0"/>
          <w:color w:val="000000"/>
          <w:sz w:val="24"/>
        </w:rPr>
        <w:t xml:space="preserve"> </w:t>
      </w:r>
      <w:r w:rsidRPr="005B08C7">
        <w:rPr>
          <w:rFonts w:ascii="Arial" w:hAnsi="Arial" w:cs="Arial"/>
          <w:b/>
          <w:snapToGrid w:val="0"/>
          <w:color w:val="000000"/>
          <w:sz w:val="24"/>
        </w:rPr>
        <w:t xml:space="preserve">Investment </w:t>
      </w:r>
      <w:r w:rsidR="002C7FE6" w:rsidRPr="005B08C7">
        <w:rPr>
          <w:rFonts w:ascii="Arial" w:hAnsi="Arial" w:cs="Arial"/>
          <w:b/>
          <w:snapToGrid w:val="0"/>
          <w:color w:val="000000"/>
          <w:sz w:val="24"/>
        </w:rPr>
        <w:t xml:space="preserve">management </w:t>
      </w:r>
      <w:r w:rsidRPr="005B08C7">
        <w:rPr>
          <w:rFonts w:ascii="Arial" w:hAnsi="Arial" w:cs="Arial"/>
          <w:b/>
          <w:snapToGrid w:val="0"/>
          <w:color w:val="000000"/>
          <w:sz w:val="24"/>
        </w:rPr>
        <w:t>expenses</w:t>
      </w:r>
    </w:p>
    <w:p w:rsidR="00E97ECD" w:rsidRPr="003D2F7A" w:rsidRDefault="00E97ECD" w:rsidP="00E97ECD">
      <w:pPr>
        <w:widowControl w:val="0"/>
        <w:tabs>
          <w:tab w:val="right" w:pos="5067"/>
          <w:tab w:val="right" w:pos="7224"/>
        </w:tabs>
        <w:rPr>
          <w:rFonts w:ascii="Arial" w:hAnsi="Arial" w:cs="Arial"/>
          <w:snapToGrid w:val="0"/>
          <w:color w:val="000000"/>
          <w:sz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1560"/>
      </w:tblGrid>
      <w:tr w:rsidR="00E97ECD" w:rsidRPr="003D2F7A" w:rsidTr="00B67210">
        <w:tc>
          <w:tcPr>
            <w:tcW w:w="4428" w:type="dxa"/>
          </w:tcPr>
          <w:p w:rsidR="00E97ECD" w:rsidRPr="005B08C7" w:rsidRDefault="00E97ECD" w:rsidP="006A7879">
            <w:pPr>
              <w:widowControl w:val="0"/>
              <w:tabs>
                <w:tab w:val="left" w:pos="180"/>
                <w:tab w:val="right" w:pos="3060"/>
                <w:tab w:val="right" w:pos="4150"/>
              </w:tabs>
              <w:rPr>
                <w:rFonts w:ascii="Arial" w:hAnsi="Arial" w:cs="Arial"/>
                <w:snapToGrid w:val="0"/>
                <w:color w:val="000000"/>
                <w:sz w:val="24"/>
              </w:rPr>
            </w:pPr>
          </w:p>
        </w:tc>
        <w:tc>
          <w:tcPr>
            <w:tcW w:w="2160" w:type="dxa"/>
          </w:tcPr>
          <w:p w:rsidR="00E97ECD" w:rsidRPr="005B08C7" w:rsidRDefault="000727E0" w:rsidP="006A7879">
            <w:pPr>
              <w:widowControl w:val="0"/>
              <w:tabs>
                <w:tab w:val="left" w:pos="180"/>
                <w:tab w:val="right" w:pos="3060"/>
                <w:tab w:val="right" w:pos="4150"/>
              </w:tabs>
              <w:jc w:val="right"/>
              <w:rPr>
                <w:rFonts w:ascii="Arial" w:hAnsi="Arial" w:cs="Arial"/>
                <w:b/>
                <w:snapToGrid w:val="0"/>
                <w:color w:val="000000"/>
                <w:sz w:val="24"/>
              </w:rPr>
            </w:pPr>
            <w:r w:rsidRPr="005B08C7">
              <w:rPr>
                <w:rFonts w:ascii="Arial" w:hAnsi="Arial" w:cs="Arial"/>
                <w:b/>
                <w:snapToGrid w:val="0"/>
                <w:color w:val="000000"/>
                <w:sz w:val="24"/>
              </w:rPr>
              <w:t>2011/12</w:t>
            </w:r>
          </w:p>
        </w:tc>
        <w:tc>
          <w:tcPr>
            <w:tcW w:w="1560" w:type="dxa"/>
          </w:tcPr>
          <w:p w:rsidR="00E97ECD" w:rsidRPr="005B08C7" w:rsidRDefault="000727E0" w:rsidP="006A7879">
            <w:pPr>
              <w:widowControl w:val="0"/>
              <w:tabs>
                <w:tab w:val="left" w:pos="180"/>
                <w:tab w:val="right" w:pos="3060"/>
                <w:tab w:val="right" w:pos="4150"/>
              </w:tabs>
              <w:jc w:val="right"/>
              <w:rPr>
                <w:rFonts w:ascii="Arial" w:hAnsi="Arial" w:cs="Arial"/>
                <w:b/>
                <w:snapToGrid w:val="0"/>
                <w:color w:val="000000"/>
                <w:sz w:val="24"/>
              </w:rPr>
            </w:pPr>
            <w:r w:rsidRPr="005B08C7">
              <w:rPr>
                <w:rFonts w:ascii="Arial" w:hAnsi="Arial" w:cs="Arial"/>
                <w:b/>
                <w:snapToGrid w:val="0"/>
                <w:color w:val="000000"/>
                <w:sz w:val="24"/>
              </w:rPr>
              <w:t>2012/13</w:t>
            </w:r>
          </w:p>
        </w:tc>
      </w:tr>
      <w:tr w:rsidR="00E97ECD" w:rsidRPr="003D2F7A" w:rsidTr="00B67210">
        <w:tc>
          <w:tcPr>
            <w:tcW w:w="4428" w:type="dxa"/>
          </w:tcPr>
          <w:p w:rsidR="00E97ECD" w:rsidRPr="005B08C7" w:rsidRDefault="00E97ECD" w:rsidP="006A7879">
            <w:pPr>
              <w:widowControl w:val="0"/>
              <w:tabs>
                <w:tab w:val="left" w:pos="180"/>
                <w:tab w:val="right" w:pos="3060"/>
                <w:tab w:val="right" w:pos="4150"/>
              </w:tabs>
              <w:rPr>
                <w:rFonts w:ascii="Arial" w:hAnsi="Arial" w:cs="Arial"/>
                <w:snapToGrid w:val="0"/>
                <w:color w:val="000000"/>
                <w:sz w:val="24"/>
              </w:rPr>
            </w:pPr>
          </w:p>
        </w:tc>
        <w:tc>
          <w:tcPr>
            <w:tcW w:w="2160" w:type="dxa"/>
          </w:tcPr>
          <w:p w:rsidR="00E97ECD" w:rsidRPr="005B08C7" w:rsidRDefault="00E97ECD" w:rsidP="006A7879">
            <w:pPr>
              <w:widowControl w:val="0"/>
              <w:tabs>
                <w:tab w:val="left" w:pos="180"/>
                <w:tab w:val="right" w:pos="3060"/>
                <w:tab w:val="right" w:pos="4150"/>
              </w:tabs>
              <w:jc w:val="right"/>
              <w:rPr>
                <w:rFonts w:ascii="Arial" w:hAnsi="Arial" w:cs="Arial"/>
                <w:b/>
                <w:snapToGrid w:val="0"/>
                <w:color w:val="000000"/>
                <w:sz w:val="24"/>
              </w:rPr>
            </w:pPr>
            <w:r w:rsidRPr="005B08C7">
              <w:rPr>
                <w:rFonts w:ascii="Arial" w:hAnsi="Arial" w:cs="Arial"/>
                <w:b/>
                <w:snapToGrid w:val="0"/>
                <w:color w:val="000000"/>
                <w:sz w:val="24"/>
              </w:rPr>
              <w:t>£’000</w:t>
            </w:r>
          </w:p>
        </w:tc>
        <w:tc>
          <w:tcPr>
            <w:tcW w:w="1560" w:type="dxa"/>
          </w:tcPr>
          <w:p w:rsidR="00E97ECD" w:rsidRPr="005B08C7" w:rsidRDefault="00E97ECD" w:rsidP="006A7879">
            <w:pPr>
              <w:widowControl w:val="0"/>
              <w:tabs>
                <w:tab w:val="left" w:pos="180"/>
                <w:tab w:val="right" w:pos="3060"/>
                <w:tab w:val="right" w:pos="4150"/>
              </w:tabs>
              <w:jc w:val="right"/>
              <w:rPr>
                <w:rFonts w:ascii="Arial" w:hAnsi="Arial" w:cs="Arial"/>
                <w:b/>
                <w:snapToGrid w:val="0"/>
                <w:color w:val="000000"/>
                <w:sz w:val="24"/>
              </w:rPr>
            </w:pPr>
            <w:r w:rsidRPr="005B08C7">
              <w:rPr>
                <w:rFonts w:ascii="Arial" w:hAnsi="Arial" w:cs="Arial"/>
                <w:b/>
                <w:snapToGrid w:val="0"/>
                <w:color w:val="000000"/>
                <w:sz w:val="24"/>
              </w:rPr>
              <w:t>£’000</w:t>
            </w:r>
          </w:p>
        </w:tc>
      </w:tr>
      <w:tr w:rsidR="00E97ECD" w:rsidRPr="003D2F7A" w:rsidTr="00B67210">
        <w:tc>
          <w:tcPr>
            <w:tcW w:w="4428" w:type="dxa"/>
          </w:tcPr>
          <w:p w:rsidR="00E97ECD" w:rsidRPr="005B08C7" w:rsidRDefault="00E97ECD" w:rsidP="006A7879">
            <w:pPr>
              <w:widowControl w:val="0"/>
              <w:tabs>
                <w:tab w:val="left" w:pos="180"/>
                <w:tab w:val="right" w:pos="3060"/>
                <w:tab w:val="right" w:pos="4150"/>
              </w:tabs>
              <w:rPr>
                <w:rFonts w:ascii="Arial" w:hAnsi="Arial" w:cs="Arial"/>
                <w:snapToGrid w:val="0"/>
                <w:color w:val="000000"/>
                <w:sz w:val="24"/>
              </w:rPr>
            </w:pPr>
          </w:p>
        </w:tc>
        <w:tc>
          <w:tcPr>
            <w:tcW w:w="2160" w:type="dxa"/>
          </w:tcPr>
          <w:p w:rsidR="00E97ECD" w:rsidRPr="005B08C7" w:rsidRDefault="00E97ECD" w:rsidP="006A7879">
            <w:pPr>
              <w:widowControl w:val="0"/>
              <w:tabs>
                <w:tab w:val="left" w:pos="180"/>
                <w:tab w:val="right" w:pos="3060"/>
                <w:tab w:val="right" w:pos="4150"/>
              </w:tabs>
              <w:jc w:val="right"/>
              <w:rPr>
                <w:rFonts w:ascii="Arial" w:hAnsi="Arial" w:cs="Arial"/>
                <w:snapToGrid w:val="0"/>
                <w:color w:val="000000"/>
                <w:sz w:val="24"/>
              </w:rPr>
            </w:pPr>
          </w:p>
        </w:tc>
        <w:tc>
          <w:tcPr>
            <w:tcW w:w="1560" w:type="dxa"/>
          </w:tcPr>
          <w:p w:rsidR="00E97ECD" w:rsidRPr="003D2F7A" w:rsidRDefault="00E97ECD" w:rsidP="006A7879">
            <w:pPr>
              <w:widowControl w:val="0"/>
              <w:tabs>
                <w:tab w:val="left" w:pos="180"/>
                <w:tab w:val="right" w:pos="3060"/>
                <w:tab w:val="right" w:pos="4150"/>
              </w:tabs>
              <w:jc w:val="right"/>
              <w:rPr>
                <w:rFonts w:ascii="Arial" w:hAnsi="Arial" w:cs="Arial"/>
                <w:snapToGrid w:val="0"/>
                <w:color w:val="000000"/>
                <w:sz w:val="24"/>
                <w:highlight w:val="yellow"/>
              </w:rPr>
            </w:pPr>
          </w:p>
        </w:tc>
      </w:tr>
      <w:tr w:rsidR="00E97ECD" w:rsidRPr="003D2F7A" w:rsidTr="00B67210">
        <w:tc>
          <w:tcPr>
            <w:tcW w:w="4428" w:type="dxa"/>
          </w:tcPr>
          <w:p w:rsidR="00E97ECD" w:rsidRPr="005B08C7" w:rsidRDefault="00E97ECD" w:rsidP="006A7879">
            <w:pPr>
              <w:widowControl w:val="0"/>
              <w:tabs>
                <w:tab w:val="left" w:pos="180"/>
                <w:tab w:val="right" w:pos="3060"/>
                <w:tab w:val="right" w:pos="4150"/>
              </w:tabs>
              <w:rPr>
                <w:rFonts w:ascii="Arial" w:hAnsi="Arial" w:cs="Arial"/>
                <w:snapToGrid w:val="0"/>
                <w:color w:val="000000"/>
                <w:sz w:val="24"/>
              </w:rPr>
            </w:pPr>
            <w:r w:rsidRPr="005B08C7">
              <w:rPr>
                <w:rFonts w:ascii="Arial" w:hAnsi="Arial" w:cs="Arial"/>
                <w:snapToGrid w:val="0"/>
                <w:color w:val="000000"/>
                <w:sz w:val="24"/>
              </w:rPr>
              <w:t>Management fees</w:t>
            </w:r>
          </w:p>
        </w:tc>
        <w:tc>
          <w:tcPr>
            <w:tcW w:w="2160" w:type="dxa"/>
          </w:tcPr>
          <w:p w:rsidR="00E97ECD" w:rsidRPr="005B08C7" w:rsidRDefault="005B08C7" w:rsidP="006A7879">
            <w:pPr>
              <w:widowControl w:val="0"/>
              <w:tabs>
                <w:tab w:val="left" w:pos="180"/>
                <w:tab w:val="right" w:pos="3060"/>
                <w:tab w:val="right" w:pos="4150"/>
              </w:tabs>
              <w:jc w:val="right"/>
              <w:rPr>
                <w:rFonts w:ascii="Arial" w:hAnsi="Arial" w:cs="Arial"/>
                <w:snapToGrid w:val="0"/>
                <w:color w:val="000000"/>
                <w:sz w:val="24"/>
              </w:rPr>
            </w:pPr>
            <w:r w:rsidRPr="005B08C7">
              <w:rPr>
                <w:rFonts w:ascii="Arial" w:hAnsi="Arial" w:cs="Arial"/>
                <w:snapToGrid w:val="0"/>
                <w:color w:val="000000"/>
                <w:sz w:val="24"/>
              </w:rPr>
              <w:t>2,510</w:t>
            </w:r>
          </w:p>
        </w:tc>
        <w:tc>
          <w:tcPr>
            <w:tcW w:w="1560" w:type="dxa"/>
          </w:tcPr>
          <w:p w:rsidR="00E97ECD" w:rsidRPr="004C633A" w:rsidRDefault="00084660" w:rsidP="006A7879">
            <w:pPr>
              <w:widowControl w:val="0"/>
              <w:tabs>
                <w:tab w:val="left" w:pos="180"/>
                <w:tab w:val="right" w:pos="3060"/>
                <w:tab w:val="right" w:pos="4150"/>
              </w:tabs>
              <w:jc w:val="right"/>
              <w:rPr>
                <w:rFonts w:ascii="Arial" w:hAnsi="Arial" w:cs="Arial"/>
                <w:snapToGrid w:val="0"/>
                <w:color w:val="000000"/>
                <w:sz w:val="24"/>
              </w:rPr>
            </w:pPr>
            <w:r w:rsidRPr="004C633A">
              <w:rPr>
                <w:rFonts w:ascii="Arial" w:hAnsi="Arial" w:cs="Arial"/>
                <w:snapToGrid w:val="0"/>
                <w:color w:val="000000"/>
                <w:sz w:val="24"/>
              </w:rPr>
              <w:t>1,383</w:t>
            </w:r>
          </w:p>
        </w:tc>
      </w:tr>
      <w:tr w:rsidR="003A13A5" w:rsidRPr="003D2F7A" w:rsidTr="00B67210">
        <w:tc>
          <w:tcPr>
            <w:tcW w:w="4428" w:type="dxa"/>
          </w:tcPr>
          <w:p w:rsidR="003A13A5" w:rsidRPr="005B08C7" w:rsidRDefault="005B08C7" w:rsidP="006A7879">
            <w:pPr>
              <w:widowControl w:val="0"/>
              <w:tabs>
                <w:tab w:val="left" w:pos="180"/>
                <w:tab w:val="right" w:pos="3060"/>
                <w:tab w:val="right" w:pos="4150"/>
              </w:tabs>
              <w:rPr>
                <w:rFonts w:ascii="Arial" w:hAnsi="Arial" w:cs="Arial"/>
                <w:snapToGrid w:val="0"/>
                <w:color w:val="000000"/>
                <w:sz w:val="24"/>
              </w:rPr>
            </w:pPr>
            <w:r w:rsidRPr="005B08C7">
              <w:rPr>
                <w:rFonts w:ascii="Arial" w:hAnsi="Arial" w:cs="Arial"/>
                <w:snapToGrid w:val="0"/>
                <w:color w:val="000000"/>
                <w:sz w:val="24"/>
              </w:rPr>
              <w:t>Performance monitoring service</w:t>
            </w:r>
          </w:p>
        </w:tc>
        <w:tc>
          <w:tcPr>
            <w:tcW w:w="2160" w:type="dxa"/>
          </w:tcPr>
          <w:p w:rsidR="003A13A5" w:rsidRPr="005B08C7" w:rsidRDefault="005B08C7" w:rsidP="006A7879">
            <w:pPr>
              <w:widowControl w:val="0"/>
              <w:tabs>
                <w:tab w:val="left" w:pos="180"/>
                <w:tab w:val="right" w:pos="3060"/>
                <w:tab w:val="right" w:pos="4150"/>
              </w:tabs>
              <w:jc w:val="right"/>
              <w:rPr>
                <w:rFonts w:ascii="Arial" w:hAnsi="Arial" w:cs="Arial"/>
                <w:snapToGrid w:val="0"/>
                <w:color w:val="000000"/>
                <w:sz w:val="24"/>
              </w:rPr>
            </w:pPr>
            <w:r w:rsidRPr="005B08C7">
              <w:rPr>
                <w:rFonts w:ascii="Arial" w:hAnsi="Arial" w:cs="Arial"/>
                <w:snapToGrid w:val="0"/>
                <w:color w:val="000000"/>
                <w:sz w:val="24"/>
              </w:rPr>
              <w:t>20</w:t>
            </w:r>
          </w:p>
        </w:tc>
        <w:tc>
          <w:tcPr>
            <w:tcW w:w="1560" w:type="dxa"/>
          </w:tcPr>
          <w:p w:rsidR="003A13A5" w:rsidRPr="004C633A" w:rsidRDefault="00084660" w:rsidP="006A7879">
            <w:pPr>
              <w:widowControl w:val="0"/>
              <w:tabs>
                <w:tab w:val="left" w:pos="180"/>
                <w:tab w:val="right" w:pos="3060"/>
                <w:tab w:val="right" w:pos="4150"/>
              </w:tabs>
              <w:jc w:val="right"/>
              <w:rPr>
                <w:rFonts w:ascii="Arial" w:hAnsi="Arial" w:cs="Arial"/>
                <w:snapToGrid w:val="0"/>
                <w:color w:val="000000"/>
                <w:sz w:val="24"/>
              </w:rPr>
            </w:pPr>
            <w:r w:rsidRPr="004C633A">
              <w:rPr>
                <w:rFonts w:ascii="Arial" w:hAnsi="Arial" w:cs="Arial"/>
                <w:snapToGrid w:val="0"/>
                <w:color w:val="000000"/>
                <w:sz w:val="24"/>
              </w:rPr>
              <w:t>20</w:t>
            </w:r>
          </w:p>
        </w:tc>
      </w:tr>
      <w:tr w:rsidR="00646344" w:rsidRPr="003D2F7A" w:rsidTr="00B67210">
        <w:tc>
          <w:tcPr>
            <w:tcW w:w="4428" w:type="dxa"/>
          </w:tcPr>
          <w:p w:rsidR="00646344" w:rsidRPr="005B08C7" w:rsidRDefault="005B08C7" w:rsidP="006A7879">
            <w:pPr>
              <w:widowControl w:val="0"/>
              <w:tabs>
                <w:tab w:val="left" w:pos="180"/>
                <w:tab w:val="right" w:pos="3060"/>
                <w:tab w:val="right" w:pos="4150"/>
              </w:tabs>
              <w:rPr>
                <w:rFonts w:ascii="Arial" w:hAnsi="Arial" w:cs="Arial"/>
                <w:snapToGrid w:val="0"/>
                <w:color w:val="000000"/>
                <w:sz w:val="24"/>
              </w:rPr>
            </w:pPr>
            <w:r w:rsidRPr="005B08C7">
              <w:rPr>
                <w:rFonts w:ascii="Arial" w:hAnsi="Arial" w:cs="Arial"/>
                <w:snapToGrid w:val="0"/>
                <w:color w:val="000000"/>
                <w:sz w:val="24"/>
              </w:rPr>
              <w:t>Other advisory fees</w:t>
            </w:r>
          </w:p>
        </w:tc>
        <w:tc>
          <w:tcPr>
            <w:tcW w:w="2160" w:type="dxa"/>
          </w:tcPr>
          <w:p w:rsidR="00646344" w:rsidRPr="005B08C7" w:rsidRDefault="005B08C7" w:rsidP="006A7879">
            <w:pPr>
              <w:widowControl w:val="0"/>
              <w:tabs>
                <w:tab w:val="left" w:pos="180"/>
                <w:tab w:val="right" w:pos="3060"/>
                <w:tab w:val="right" w:pos="4150"/>
              </w:tabs>
              <w:jc w:val="right"/>
              <w:rPr>
                <w:rFonts w:ascii="Arial" w:hAnsi="Arial" w:cs="Arial"/>
                <w:snapToGrid w:val="0"/>
                <w:color w:val="000000"/>
                <w:sz w:val="24"/>
              </w:rPr>
            </w:pPr>
            <w:r w:rsidRPr="005B08C7">
              <w:rPr>
                <w:rFonts w:ascii="Arial" w:hAnsi="Arial" w:cs="Arial"/>
                <w:snapToGrid w:val="0"/>
                <w:color w:val="000000"/>
                <w:sz w:val="24"/>
              </w:rPr>
              <w:t>69</w:t>
            </w:r>
          </w:p>
        </w:tc>
        <w:tc>
          <w:tcPr>
            <w:tcW w:w="1560" w:type="dxa"/>
          </w:tcPr>
          <w:p w:rsidR="00646344" w:rsidRPr="004C633A" w:rsidRDefault="00E63994" w:rsidP="006A7879">
            <w:pPr>
              <w:widowControl w:val="0"/>
              <w:tabs>
                <w:tab w:val="left" w:pos="180"/>
                <w:tab w:val="right" w:pos="3060"/>
                <w:tab w:val="right" w:pos="4150"/>
              </w:tabs>
              <w:jc w:val="right"/>
              <w:rPr>
                <w:rFonts w:ascii="Arial" w:hAnsi="Arial" w:cs="Arial"/>
                <w:snapToGrid w:val="0"/>
                <w:color w:val="000000"/>
                <w:sz w:val="24"/>
              </w:rPr>
            </w:pPr>
            <w:r w:rsidRPr="004C633A">
              <w:rPr>
                <w:rFonts w:ascii="Arial" w:hAnsi="Arial" w:cs="Arial"/>
                <w:snapToGrid w:val="0"/>
                <w:color w:val="000000"/>
                <w:sz w:val="24"/>
              </w:rPr>
              <w:t>35</w:t>
            </w:r>
          </w:p>
        </w:tc>
      </w:tr>
      <w:tr w:rsidR="003A13A5" w:rsidRPr="003D2F7A" w:rsidTr="00F64F1E">
        <w:tc>
          <w:tcPr>
            <w:tcW w:w="4428" w:type="dxa"/>
          </w:tcPr>
          <w:p w:rsidR="003A13A5" w:rsidRPr="005B08C7" w:rsidRDefault="003A13A5" w:rsidP="006A7879">
            <w:pPr>
              <w:widowControl w:val="0"/>
              <w:tabs>
                <w:tab w:val="left" w:pos="180"/>
                <w:tab w:val="right" w:pos="3060"/>
                <w:tab w:val="right" w:pos="4150"/>
              </w:tabs>
              <w:rPr>
                <w:rFonts w:ascii="Arial" w:hAnsi="Arial" w:cs="Arial"/>
                <w:b/>
                <w:snapToGrid w:val="0"/>
                <w:color w:val="000000"/>
                <w:sz w:val="24"/>
                <w:szCs w:val="24"/>
              </w:rPr>
            </w:pPr>
          </w:p>
        </w:tc>
        <w:tc>
          <w:tcPr>
            <w:tcW w:w="2160" w:type="dxa"/>
            <w:tcBorders>
              <w:bottom w:val="single" w:sz="4" w:space="0" w:color="auto"/>
            </w:tcBorders>
          </w:tcPr>
          <w:p w:rsidR="003A13A5" w:rsidRPr="005B08C7" w:rsidRDefault="003A13A5" w:rsidP="006A7879">
            <w:pPr>
              <w:widowControl w:val="0"/>
              <w:tabs>
                <w:tab w:val="left" w:pos="180"/>
                <w:tab w:val="right" w:pos="3060"/>
                <w:tab w:val="right" w:pos="4150"/>
              </w:tabs>
              <w:jc w:val="right"/>
              <w:rPr>
                <w:rFonts w:ascii="Arial" w:hAnsi="Arial" w:cs="Arial"/>
                <w:b/>
                <w:snapToGrid w:val="0"/>
                <w:color w:val="000000"/>
                <w:sz w:val="24"/>
                <w:szCs w:val="24"/>
              </w:rPr>
            </w:pPr>
          </w:p>
        </w:tc>
        <w:tc>
          <w:tcPr>
            <w:tcW w:w="1560" w:type="dxa"/>
            <w:tcBorders>
              <w:bottom w:val="single" w:sz="4" w:space="0" w:color="auto"/>
            </w:tcBorders>
          </w:tcPr>
          <w:p w:rsidR="003A13A5" w:rsidRPr="004C633A" w:rsidRDefault="003A13A5" w:rsidP="006A7879">
            <w:pPr>
              <w:widowControl w:val="0"/>
              <w:tabs>
                <w:tab w:val="left" w:pos="180"/>
                <w:tab w:val="right" w:pos="3060"/>
                <w:tab w:val="right" w:pos="4150"/>
              </w:tabs>
              <w:jc w:val="right"/>
              <w:rPr>
                <w:rFonts w:ascii="Arial" w:hAnsi="Arial" w:cs="Arial"/>
                <w:b/>
                <w:snapToGrid w:val="0"/>
                <w:color w:val="000000"/>
                <w:sz w:val="24"/>
                <w:szCs w:val="24"/>
              </w:rPr>
            </w:pPr>
          </w:p>
        </w:tc>
      </w:tr>
      <w:tr w:rsidR="003A13A5" w:rsidRPr="003D2F7A" w:rsidTr="00F64F1E">
        <w:tc>
          <w:tcPr>
            <w:tcW w:w="4428" w:type="dxa"/>
          </w:tcPr>
          <w:p w:rsidR="003A13A5" w:rsidRPr="005B08C7" w:rsidRDefault="003A13A5" w:rsidP="006A7879">
            <w:pPr>
              <w:widowControl w:val="0"/>
              <w:tabs>
                <w:tab w:val="left" w:pos="180"/>
                <w:tab w:val="right" w:pos="3060"/>
                <w:tab w:val="right" w:pos="4150"/>
              </w:tabs>
              <w:rPr>
                <w:rFonts w:ascii="Arial" w:hAnsi="Arial" w:cs="Arial"/>
                <w:b/>
                <w:snapToGrid w:val="0"/>
                <w:color w:val="000000"/>
                <w:sz w:val="24"/>
              </w:rPr>
            </w:pPr>
            <w:r w:rsidRPr="005B08C7">
              <w:rPr>
                <w:rFonts w:ascii="Arial" w:hAnsi="Arial" w:cs="Arial"/>
                <w:b/>
                <w:snapToGrid w:val="0"/>
                <w:color w:val="000000"/>
                <w:sz w:val="24"/>
              </w:rPr>
              <w:t>Total</w:t>
            </w:r>
          </w:p>
        </w:tc>
        <w:tc>
          <w:tcPr>
            <w:tcW w:w="2160" w:type="dxa"/>
            <w:tcBorders>
              <w:top w:val="single" w:sz="4" w:space="0" w:color="auto"/>
            </w:tcBorders>
          </w:tcPr>
          <w:p w:rsidR="003A13A5" w:rsidRPr="005B08C7" w:rsidRDefault="005B08C7" w:rsidP="006A7879">
            <w:pPr>
              <w:widowControl w:val="0"/>
              <w:tabs>
                <w:tab w:val="left" w:pos="180"/>
                <w:tab w:val="right" w:pos="3060"/>
                <w:tab w:val="right" w:pos="4150"/>
              </w:tabs>
              <w:jc w:val="right"/>
              <w:rPr>
                <w:rFonts w:ascii="Arial" w:hAnsi="Arial" w:cs="Arial"/>
                <w:b/>
                <w:snapToGrid w:val="0"/>
                <w:color w:val="000000"/>
                <w:sz w:val="24"/>
              </w:rPr>
            </w:pPr>
            <w:r w:rsidRPr="005B08C7">
              <w:rPr>
                <w:rFonts w:ascii="Arial" w:hAnsi="Arial" w:cs="Arial"/>
                <w:b/>
                <w:snapToGrid w:val="0"/>
                <w:color w:val="000000"/>
                <w:sz w:val="24"/>
              </w:rPr>
              <w:t>2,599</w:t>
            </w:r>
          </w:p>
        </w:tc>
        <w:tc>
          <w:tcPr>
            <w:tcW w:w="1560" w:type="dxa"/>
            <w:tcBorders>
              <w:top w:val="single" w:sz="4" w:space="0" w:color="auto"/>
            </w:tcBorders>
          </w:tcPr>
          <w:p w:rsidR="003A13A5" w:rsidRPr="004C633A" w:rsidRDefault="00084660" w:rsidP="006A7879">
            <w:pPr>
              <w:widowControl w:val="0"/>
              <w:tabs>
                <w:tab w:val="left" w:pos="180"/>
                <w:tab w:val="right" w:pos="3060"/>
                <w:tab w:val="right" w:pos="4150"/>
              </w:tabs>
              <w:jc w:val="right"/>
              <w:rPr>
                <w:rFonts w:ascii="Arial" w:hAnsi="Arial" w:cs="Arial"/>
                <w:b/>
                <w:snapToGrid w:val="0"/>
                <w:color w:val="000000"/>
                <w:sz w:val="24"/>
              </w:rPr>
            </w:pPr>
            <w:r w:rsidRPr="004C633A">
              <w:rPr>
                <w:rFonts w:ascii="Arial" w:hAnsi="Arial" w:cs="Arial"/>
                <w:b/>
                <w:snapToGrid w:val="0"/>
                <w:color w:val="000000"/>
                <w:sz w:val="24"/>
              </w:rPr>
              <w:t>1,4</w:t>
            </w:r>
            <w:r w:rsidR="00E63994" w:rsidRPr="004C633A">
              <w:rPr>
                <w:rFonts w:ascii="Arial" w:hAnsi="Arial" w:cs="Arial"/>
                <w:b/>
                <w:snapToGrid w:val="0"/>
                <w:color w:val="000000"/>
                <w:sz w:val="24"/>
              </w:rPr>
              <w:t>38</w:t>
            </w:r>
          </w:p>
        </w:tc>
      </w:tr>
    </w:tbl>
    <w:p w:rsidR="00E97ECD" w:rsidRPr="003D2F7A" w:rsidRDefault="00E97ECD" w:rsidP="00E97ECD">
      <w:pPr>
        <w:widowControl w:val="0"/>
        <w:tabs>
          <w:tab w:val="right" w:pos="5067"/>
          <w:tab w:val="right" w:pos="7224"/>
        </w:tabs>
        <w:rPr>
          <w:rFonts w:ascii="Arial" w:hAnsi="Arial" w:cs="Arial"/>
          <w:b/>
          <w:snapToGrid w:val="0"/>
          <w:color w:val="000000"/>
          <w:sz w:val="24"/>
          <w:highlight w:val="yellow"/>
        </w:rPr>
      </w:pPr>
    </w:p>
    <w:p w:rsidR="009C4EDB" w:rsidRPr="00827253" w:rsidRDefault="00827253" w:rsidP="00241200">
      <w:pPr>
        <w:widowControl w:val="0"/>
        <w:tabs>
          <w:tab w:val="right" w:pos="7200"/>
        </w:tabs>
        <w:rPr>
          <w:rFonts w:ascii="Arial" w:hAnsi="Arial" w:cs="Arial"/>
          <w:snapToGrid w:val="0"/>
          <w:color w:val="000000"/>
          <w:sz w:val="24"/>
        </w:rPr>
      </w:pPr>
      <w:r w:rsidRPr="00827253">
        <w:rPr>
          <w:rFonts w:ascii="Arial" w:hAnsi="Arial" w:cs="Arial"/>
          <w:snapToGrid w:val="0"/>
          <w:color w:val="000000"/>
          <w:sz w:val="24"/>
        </w:rPr>
        <w:t xml:space="preserve">The </w:t>
      </w:r>
      <w:r>
        <w:rPr>
          <w:rFonts w:ascii="Arial" w:hAnsi="Arial" w:cs="Arial"/>
          <w:snapToGrid w:val="0"/>
          <w:color w:val="000000"/>
          <w:sz w:val="24"/>
        </w:rPr>
        <w:t>management fees disclosed above include all investment management fees directly incurred by the Fund including those charged on pooled fund investments.</w:t>
      </w:r>
    </w:p>
    <w:p w:rsidR="00827253" w:rsidRDefault="00827253" w:rsidP="00241200">
      <w:pPr>
        <w:widowControl w:val="0"/>
        <w:tabs>
          <w:tab w:val="right" w:pos="7200"/>
        </w:tabs>
        <w:rPr>
          <w:rFonts w:ascii="Arial" w:hAnsi="Arial" w:cs="Arial"/>
          <w:b/>
          <w:snapToGrid w:val="0"/>
          <w:color w:val="000000"/>
          <w:sz w:val="24"/>
          <w:highlight w:val="yellow"/>
        </w:rPr>
      </w:pPr>
    </w:p>
    <w:p w:rsidR="00827253" w:rsidRPr="003D2F7A" w:rsidRDefault="00827253" w:rsidP="00241200">
      <w:pPr>
        <w:widowControl w:val="0"/>
        <w:tabs>
          <w:tab w:val="right" w:pos="7200"/>
        </w:tabs>
        <w:rPr>
          <w:rFonts w:ascii="Arial" w:hAnsi="Arial" w:cs="Arial"/>
          <w:b/>
          <w:snapToGrid w:val="0"/>
          <w:color w:val="000000"/>
          <w:sz w:val="24"/>
          <w:highlight w:val="yellow"/>
        </w:rPr>
      </w:pPr>
    </w:p>
    <w:p w:rsidR="00A0030C" w:rsidRPr="00761E2D" w:rsidRDefault="00F666FC" w:rsidP="00A00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b/>
          <w:snapToGrid w:val="0"/>
          <w:color w:val="000000"/>
          <w:sz w:val="24"/>
        </w:rPr>
        <w:t>14</w:t>
      </w:r>
      <w:r w:rsidR="00A455F3" w:rsidRPr="00761E2D">
        <w:rPr>
          <w:rFonts w:ascii="Arial" w:hAnsi="Arial" w:cs="Arial"/>
          <w:b/>
          <w:snapToGrid w:val="0"/>
          <w:color w:val="000000"/>
          <w:sz w:val="24"/>
        </w:rPr>
        <w:t xml:space="preserve">. </w:t>
      </w:r>
      <w:r w:rsidR="0083647D" w:rsidRPr="00761E2D">
        <w:rPr>
          <w:rFonts w:ascii="Arial" w:hAnsi="Arial" w:cs="Arial"/>
          <w:b/>
          <w:snapToGrid w:val="0"/>
          <w:color w:val="000000"/>
          <w:sz w:val="24"/>
        </w:rPr>
        <w:t xml:space="preserve"> </w:t>
      </w:r>
      <w:r w:rsidR="00A455F3" w:rsidRPr="00761E2D">
        <w:rPr>
          <w:rFonts w:ascii="Arial" w:hAnsi="Arial" w:cs="Arial"/>
          <w:b/>
          <w:snapToGrid w:val="0"/>
          <w:color w:val="000000"/>
          <w:sz w:val="24"/>
        </w:rPr>
        <w:t>Investments</w:t>
      </w:r>
    </w:p>
    <w:p w:rsidR="00A0030C" w:rsidRPr="00761E2D" w:rsidRDefault="00A0030C" w:rsidP="00925ED9">
      <w:pPr>
        <w:widowControl w:val="0"/>
        <w:tabs>
          <w:tab w:val="right" w:pos="7200"/>
        </w:tabs>
        <w:rPr>
          <w:b/>
          <w:snapToGrid w:val="0"/>
          <w:color w:val="000000"/>
          <w:sz w:val="24"/>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9"/>
        <w:gridCol w:w="2279"/>
        <w:gridCol w:w="1922"/>
      </w:tblGrid>
      <w:tr w:rsidR="00A0030C" w:rsidRPr="00761E2D" w:rsidTr="00583AC3">
        <w:tc>
          <w:tcPr>
            <w:tcW w:w="2423" w:type="pct"/>
          </w:tcPr>
          <w:p w:rsidR="00A0030C" w:rsidRPr="00761E2D" w:rsidRDefault="00A0030C" w:rsidP="002A2D89">
            <w:pPr>
              <w:widowControl w:val="0"/>
              <w:tabs>
                <w:tab w:val="right" w:pos="7200"/>
              </w:tabs>
              <w:ind w:left="132" w:hanging="132"/>
              <w:rPr>
                <w:rFonts w:ascii="Arial" w:hAnsi="Arial" w:cs="Arial"/>
                <w:snapToGrid w:val="0"/>
                <w:color w:val="000000"/>
                <w:sz w:val="24"/>
              </w:rPr>
            </w:pPr>
          </w:p>
        </w:tc>
        <w:tc>
          <w:tcPr>
            <w:tcW w:w="1398" w:type="pct"/>
          </w:tcPr>
          <w:p w:rsidR="00A0030C" w:rsidRPr="00761E2D" w:rsidRDefault="00A0030C" w:rsidP="002A2D89">
            <w:pPr>
              <w:widowControl w:val="0"/>
              <w:tabs>
                <w:tab w:val="right" w:pos="7200"/>
              </w:tabs>
              <w:ind w:left="132" w:hanging="132"/>
              <w:jc w:val="right"/>
              <w:rPr>
                <w:rFonts w:ascii="Arial" w:hAnsi="Arial" w:cs="Arial"/>
                <w:b/>
                <w:snapToGrid w:val="0"/>
                <w:color w:val="000000"/>
                <w:sz w:val="24"/>
              </w:rPr>
            </w:pPr>
            <w:r w:rsidRPr="00761E2D">
              <w:rPr>
                <w:rFonts w:ascii="Arial" w:hAnsi="Arial" w:cs="Arial"/>
                <w:b/>
                <w:snapToGrid w:val="0"/>
                <w:color w:val="000000"/>
                <w:sz w:val="24"/>
              </w:rPr>
              <w:t>Market value</w:t>
            </w:r>
          </w:p>
        </w:tc>
        <w:tc>
          <w:tcPr>
            <w:tcW w:w="1179" w:type="pct"/>
          </w:tcPr>
          <w:p w:rsidR="00A0030C" w:rsidRPr="00761E2D" w:rsidRDefault="00A0030C" w:rsidP="002A2D89">
            <w:pPr>
              <w:widowControl w:val="0"/>
              <w:tabs>
                <w:tab w:val="right" w:pos="7200"/>
              </w:tabs>
              <w:ind w:left="132" w:hanging="132"/>
              <w:jc w:val="right"/>
              <w:rPr>
                <w:rFonts w:ascii="Arial" w:hAnsi="Arial" w:cs="Arial"/>
                <w:b/>
                <w:snapToGrid w:val="0"/>
                <w:color w:val="000000"/>
                <w:sz w:val="24"/>
              </w:rPr>
            </w:pPr>
            <w:r w:rsidRPr="00761E2D">
              <w:rPr>
                <w:rFonts w:ascii="Arial" w:hAnsi="Arial" w:cs="Arial"/>
                <w:b/>
                <w:snapToGrid w:val="0"/>
                <w:color w:val="000000"/>
                <w:sz w:val="24"/>
              </w:rPr>
              <w:t>Market value</w:t>
            </w:r>
          </w:p>
        </w:tc>
      </w:tr>
      <w:tr w:rsidR="00A0030C" w:rsidRPr="00761E2D" w:rsidTr="00583AC3">
        <w:tc>
          <w:tcPr>
            <w:tcW w:w="2423" w:type="pct"/>
          </w:tcPr>
          <w:p w:rsidR="00A0030C" w:rsidRPr="00761E2D" w:rsidRDefault="00A0030C" w:rsidP="002A2D89">
            <w:pPr>
              <w:widowControl w:val="0"/>
              <w:tabs>
                <w:tab w:val="right" w:pos="7200"/>
              </w:tabs>
              <w:ind w:left="132" w:hanging="132"/>
              <w:rPr>
                <w:rFonts w:ascii="Arial" w:hAnsi="Arial" w:cs="Arial"/>
                <w:snapToGrid w:val="0"/>
                <w:color w:val="000000"/>
                <w:sz w:val="24"/>
              </w:rPr>
            </w:pPr>
          </w:p>
        </w:tc>
        <w:tc>
          <w:tcPr>
            <w:tcW w:w="1398" w:type="pct"/>
          </w:tcPr>
          <w:p w:rsidR="00A0030C" w:rsidRPr="00761E2D" w:rsidRDefault="00A0030C" w:rsidP="00606A37">
            <w:pPr>
              <w:widowControl w:val="0"/>
              <w:tabs>
                <w:tab w:val="right" w:pos="7200"/>
              </w:tabs>
              <w:ind w:left="132" w:hanging="132"/>
              <w:jc w:val="right"/>
              <w:rPr>
                <w:rFonts w:ascii="Arial" w:hAnsi="Arial" w:cs="Arial"/>
                <w:b/>
                <w:snapToGrid w:val="0"/>
                <w:color w:val="000000"/>
                <w:sz w:val="24"/>
              </w:rPr>
            </w:pPr>
            <w:r w:rsidRPr="00761E2D">
              <w:rPr>
                <w:rFonts w:ascii="Arial" w:hAnsi="Arial" w:cs="Arial"/>
                <w:b/>
                <w:snapToGrid w:val="0"/>
                <w:color w:val="000000"/>
                <w:sz w:val="24"/>
              </w:rPr>
              <w:t>31 March 201</w:t>
            </w:r>
            <w:r w:rsidR="00606A37" w:rsidRPr="00761E2D">
              <w:rPr>
                <w:rFonts w:ascii="Arial" w:hAnsi="Arial" w:cs="Arial"/>
                <w:b/>
                <w:snapToGrid w:val="0"/>
                <w:color w:val="000000"/>
                <w:sz w:val="24"/>
              </w:rPr>
              <w:t>2</w:t>
            </w:r>
          </w:p>
        </w:tc>
        <w:tc>
          <w:tcPr>
            <w:tcW w:w="1179" w:type="pct"/>
          </w:tcPr>
          <w:p w:rsidR="00A0030C" w:rsidRPr="00761E2D" w:rsidRDefault="00606A37" w:rsidP="002A2D89">
            <w:pPr>
              <w:widowControl w:val="0"/>
              <w:tabs>
                <w:tab w:val="right" w:pos="7200"/>
              </w:tabs>
              <w:ind w:left="132" w:hanging="132"/>
              <w:jc w:val="right"/>
              <w:rPr>
                <w:rFonts w:ascii="Arial" w:hAnsi="Arial" w:cs="Arial"/>
                <w:b/>
                <w:snapToGrid w:val="0"/>
                <w:color w:val="000000"/>
                <w:sz w:val="24"/>
              </w:rPr>
            </w:pPr>
            <w:r w:rsidRPr="00761E2D">
              <w:rPr>
                <w:rFonts w:ascii="Arial" w:hAnsi="Arial" w:cs="Arial"/>
                <w:b/>
                <w:snapToGrid w:val="0"/>
                <w:color w:val="000000"/>
                <w:sz w:val="24"/>
              </w:rPr>
              <w:t>31 March 2013</w:t>
            </w:r>
          </w:p>
        </w:tc>
      </w:tr>
      <w:tr w:rsidR="00A0030C" w:rsidRPr="003D2F7A" w:rsidTr="00583AC3">
        <w:tc>
          <w:tcPr>
            <w:tcW w:w="2423" w:type="pct"/>
          </w:tcPr>
          <w:p w:rsidR="00A0030C" w:rsidRPr="00761E2D" w:rsidRDefault="00A0030C" w:rsidP="002A2D89">
            <w:pPr>
              <w:widowControl w:val="0"/>
              <w:tabs>
                <w:tab w:val="right" w:pos="7200"/>
              </w:tabs>
              <w:ind w:left="132" w:hanging="132"/>
              <w:rPr>
                <w:rFonts w:ascii="Arial" w:hAnsi="Arial" w:cs="Arial"/>
                <w:snapToGrid w:val="0"/>
                <w:color w:val="000000"/>
                <w:sz w:val="24"/>
              </w:rPr>
            </w:pPr>
          </w:p>
        </w:tc>
        <w:tc>
          <w:tcPr>
            <w:tcW w:w="1398" w:type="pct"/>
          </w:tcPr>
          <w:p w:rsidR="00A0030C" w:rsidRPr="00761E2D" w:rsidRDefault="00A0030C" w:rsidP="002A2D89">
            <w:pPr>
              <w:widowControl w:val="0"/>
              <w:tabs>
                <w:tab w:val="right" w:pos="7200"/>
              </w:tabs>
              <w:ind w:left="132" w:hanging="132"/>
              <w:jc w:val="right"/>
              <w:rPr>
                <w:rFonts w:ascii="Arial" w:hAnsi="Arial" w:cs="Arial"/>
                <w:b/>
                <w:snapToGrid w:val="0"/>
                <w:color w:val="000000"/>
                <w:sz w:val="24"/>
              </w:rPr>
            </w:pPr>
            <w:r w:rsidRPr="00761E2D">
              <w:rPr>
                <w:rFonts w:ascii="Arial" w:hAnsi="Arial" w:cs="Arial"/>
                <w:b/>
                <w:snapToGrid w:val="0"/>
                <w:color w:val="000000"/>
                <w:sz w:val="24"/>
              </w:rPr>
              <w:t>£’000</w:t>
            </w:r>
          </w:p>
        </w:tc>
        <w:tc>
          <w:tcPr>
            <w:tcW w:w="1179" w:type="pct"/>
          </w:tcPr>
          <w:p w:rsidR="00A0030C" w:rsidRPr="00761E2D" w:rsidRDefault="00A0030C" w:rsidP="002A2D89">
            <w:pPr>
              <w:widowControl w:val="0"/>
              <w:tabs>
                <w:tab w:val="right" w:pos="7200"/>
              </w:tabs>
              <w:ind w:left="132" w:hanging="132"/>
              <w:jc w:val="right"/>
              <w:rPr>
                <w:rFonts w:ascii="Arial" w:hAnsi="Arial" w:cs="Arial"/>
                <w:b/>
                <w:snapToGrid w:val="0"/>
                <w:color w:val="000000"/>
                <w:sz w:val="24"/>
              </w:rPr>
            </w:pPr>
            <w:r w:rsidRPr="00761E2D">
              <w:rPr>
                <w:rFonts w:ascii="Arial" w:hAnsi="Arial" w:cs="Arial"/>
                <w:b/>
                <w:snapToGrid w:val="0"/>
                <w:color w:val="000000"/>
                <w:sz w:val="24"/>
              </w:rPr>
              <w:t>£’000</w:t>
            </w:r>
          </w:p>
        </w:tc>
      </w:tr>
      <w:tr w:rsidR="00A0030C" w:rsidRPr="00F6576B" w:rsidTr="00583AC3">
        <w:tc>
          <w:tcPr>
            <w:tcW w:w="2423" w:type="pct"/>
          </w:tcPr>
          <w:p w:rsidR="00A0030C" w:rsidRPr="00F6576B" w:rsidRDefault="00A0030C" w:rsidP="002A2D89">
            <w:pPr>
              <w:widowControl w:val="0"/>
              <w:tabs>
                <w:tab w:val="right" w:pos="7200"/>
              </w:tabs>
              <w:ind w:left="132" w:hanging="132"/>
              <w:rPr>
                <w:rFonts w:ascii="Arial" w:hAnsi="Arial" w:cs="Arial"/>
                <w:snapToGrid w:val="0"/>
                <w:color w:val="000000"/>
              </w:rPr>
            </w:pPr>
          </w:p>
        </w:tc>
        <w:tc>
          <w:tcPr>
            <w:tcW w:w="1398" w:type="pct"/>
          </w:tcPr>
          <w:p w:rsidR="00A0030C" w:rsidRPr="00F6576B" w:rsidRDefault="00A0030C" w:rsidP="002A2D89">
            <w:pPr>
              <w:widowControl w:val="0"/>
              <w:tabs>
                <w:tab w:val="right" w:pos="7200"/>
              </w:tabs>
              <w:ind w:left="132" w:hanging="132"/>
              <w:jc w:val="right"/>
              <w:rPr>
                <w:rFonts w:ascii="Arial" w:hAnsi="Arial" w:cs="Arial"/>
                <w:snapToGrid w:val="0"/>
                <w:color w:val="000000"/>
              </w:rPr>
            </w:pPr>
          </w:p>
        </w:tc>
        <w:tc>
          <w:tcPr>
            <w:tcW w:w="1179" w:type="pct"/>
          </w:tcPr>
          <w:p w:rsidR="00A0030C" w:rsidRPr="00F6576B" w:rsidRDefault="00A0030C" w:rsidP="002A2D89">
            <w:pPr>
              <w:widowControl w:val="0"/>
              <w:tabs>
                <w:tab w:val="right" w:pos="7200"/>
              </w:tabs>
              <w:ind w:left="132" w:hanging="132"/>
              <w:jc w:val="right"/>
              <w:rPr>
                <w:rFonts w:ascii="Arial" w:hAnsi="Arial" w:cs="Arial"/>
                <w:snapToGrid w:val="0"/>
                <w:color w:val="000000"/>
              </w:rPr>
            </w:pPr>
          </w:p>
        </w:tc>
      </w:tr>
      <w:tr w:rsidR="00583AC3" w:rsidRPr="00F6576B" w:rsidTr="00583AC3">
        <w:tc>
          <w:tcPr>
            <w:tcW w:w="2423" w:type="pct"/>
          </w:tcPr>
          <w:p w:rsidR="00583AC3" w:rsidRPr="00F6576B" w:rsidRDefault="00583AC3" w:rsidP="002A2D89">
            <w:pPr>
              <w:widowControl w:val="0"/>
              <w:tabs>
                <w:tab w:val="right" w:pos="7200"/>
              </w:tabs>
              <w:ind w:left="132" w:hanging="132"/>
              <w:rPr>
                <w:rFonts w:ascii="Arial" w:hAnsi="Arial" w:cs="Arial"/>
                <w:b/>
                <w:snapToGrid w:val="0"/>
                <w:color w:val="000000"/>
                <w:sz w:val="24"/>
              </w:rPr>
            </w:pPr>
            <w:r w:rsidRPr="00F6576B">
              <w:rPr>
                <w:rFonts w:ascii="Arial" w:hAnsi="Arial" w:cs="Arial"/>
                <w:b/>
                <w:snapToGrid w:val="0"/>
                <w:color w:val="000000"/>
                <w:sz w:val="24"/>
              </w:rPr>
              <w:t>Investment assets</w:t>
            </w:r>
          </w:p>
        </w:tc>
        <w:tc>
          <w:tcPr>
            <w:tcW w:w="1398" w:type="pct"/>
          </w:tcPr>
          <w:p w:rsidR="00583AC3" w:rsidRPr="00F6576B" w:rsidRDefault="00583AC3" w:rsidP="002A2D89">
            <w:pPr>
              <w:widowControl w:val="0"/>
              <w:tabs>
                <w:tab w:val="right" w:pos="7200"/>
              </w:tabs>
              <w:ind w:left="132" w:hanging="132"/>
              <w:jc w:val="right"/>
              <w:rPr>
                <w:rFonts w:ascii="Arial" w:hAnsi="Arial" w:cs="Arial"/>
                <w:snapToGrid w:val="0"/>
                <w:color w:val="000000"/>
                <w:sz w:val="24"/>
              </w:rPr>
            </w:pPr>
          </w:p>
        </w:tc>
        <w:tc>
          <w:tcPr>
            <w:tcW w:w="1179" w:type="pct"/>
          </w:tcPr>
          <w:p w:rsidR="00583AC3" w:rsidRPr="00F6576B" w:rsidRDefault="00583AC3" w:rsidP="002A2D89">
            <w:pPr>
              <w:widowControl w:val="0"/>
              <w:tabs>
                <w:tab w:val="right" w:pos="7200"/>
              </w:tabs>
              <w:ind w:left="132" w:hanging="132"/>
              <w:jc w:val="right"/>
              <w:rPr>
                <w:rFonts w:ascii="Arial" w:hAnsi="Arial" w:cs="Arial"/>
                <w:snapToGrid w:val="0"/>
                <w:color w:val="000000"/>
                <w:sz w:val="24"/>
              </w:rPr>
            </w:pPr>
          </w:p>
        </w:tc>
      </w:tr>
      <w:tr w:rsidR="00A0030C" w:rsidRPr="00F6576B" w:rsidTr="00583AC3">
        <w:tc>
          <w:tcPr>
            <w:tcW w:w="2423" w:type="pct"/>
          </w:tcPr>
          <w:p w:rsidR="00A0030C" w:rsidRPr="00F6576B" w:rsidRDefault="00A0030C" w:rsidP="002A2D89">
            <w:pPr>
              <w:widowControl w:val="0"/>
              <w:tabs>
                <w:tab w:val="right" w:pos="7200"/>
              </w:tabs>
              <w:ind w:left="132" w:hanging="132"/>
              <w:rPr>
                <w:rFonts w:ascii="Arial" w:hAnsi="Arial" w:cs="Arial"/>
                <w:snapToGrid w:val="0"/>
                <w:color w:val="000000"/>
                <w:sz w:val="24"/>
              </w:rPr>
            </w:pPr>
            <w:r w:rsidRPr="00F6576B">
              <w:rPr>
                <w:rFonts w:ascii="Arial" w:hAnsi="Arial" w:cs="Arial"/>
                <w:snapToGrid w:val="0"/>
                <w:color w:val="000000"/>
                <w:sz w:val="24"/>
              </w:rPr>
              <w:t xml:space="preserve">Fixed interest securities                                 </w:t>
            </w:r>
          </w:p>
        </w:tc>
        <w:tc>
          <w:tcPr>
            <w:tcW w:w="1398" w:type="pct"/>
          </w:tcPr>
          <w:p w:rsidR="00A0030C" w:rsidRPr="00F6576B" w:rsidRDefault="009E4932" w:rsidP="002A2D8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7</w:t>
            </w:r>
            <w:r w:rsidR="00BE40CD">
              <w:rPr>
                <w:rFonts w:ascii="Arial" w:hAnsi="Arial" w:cs="Arial"/>
                <w:snapToGrid w:val="0"/>
                <w:color w:val="000000"/>
                <w:sz w:val="24"/>
              </w:rPr>
              <w:t>7,040</w:t>
            </w:r>
          </w:p>
        </w:tc>
        <w:tc>
          <w:tcPr>
            <w:tcW w:w="1179" w:type="pct"/>
          </w:tcPr>
          <w:p w:rsidR="00A0030C" w:rsidRPr="00F6576B" w:rsidRDefault="008F585E" w:rsidP="002A2D8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0</w:t>
            </w:r>
          </w:p>
        </w:tc>
      </w:tr>
      <w:tr w:rsidR="00A0030C" w:rsidRPr="00F6576B" w:rsidTr="00583AC3">
        <w:tc>
          <w:tcPr>
            <w:tcW w:w="2423" w:type="pct"/>
          </w:tcPr>
          <w:p w:rsidR="00A0030C" w:rsidRPr="00F6576B" w:rsidRDefault="00A0030C" w:rsidP="002A2D89">
            <w:pPr>
              <w:widowControl w:val="0"/>
              <w:tabs>
                <w:tab w:val="right" w:pos="7200"/>
              </w:tabs>
              <w:ind w:left="132" w:hanging="132"/>
              <w:rPr>
                <w:rFonts w:ascii="Arial" w:hAnsi="Arial" w:cs="Arial"/>
                <w:snapToGrid w:val="0"/>
                <w:color w:val="000000"/>
                <w:sz w:val="24"/>
              </w:rPr>
            </w:pPr>
            <w:r w:rsidRPr="00F6576B">
              <w:rPr>
                <w:rFonts w:ascii="Arial" w:hAnsi="Arial" w:cs="Arial"/>
                <w:snapToGrid w:val="0"/>
                <w:color w:val="000000"/>
                <w:sz w:val="24"/>
              </w:rPr>
              <w:t xml:space="preserve">Equities                                          </w:t>
            </w:r>
          </w:p>
        </w:tc>
        <w:tc>
          <w:tcPr>
            <w:tcW w:w="1398" w:type="pct"/>
          </w:tcPr>
          <w:p w:rsidR="00A0030C" w:rsidRPr="00F6576B" w:rsidRDefault="00594BF9" w:rsidP="002A2D8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86,491</w:t>
            </w:r>
          </w:p>
        </w:tc>
        <w:tc>
          <w:tcPr>
            <w:tcW w:w="1179" w:type="pct"/>
          </w:tcPr>
          <w:p w:rsidR="00A0030C" w:rsidRPr="00F6576B" w:rsidRDefault="001159ED" w:rsidP="002A2D8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0</w:t>
            </w:r>
          </w:p>
        </w:tc>
      </w:tr>
      <w:tr w:rsidR="001C7116" w:rsidRPr="00F6576B" w:rsidTr="00583AC3">
        <w:tc>
          <w:tcPr>
            <w:tcW w:w="2423" w:type="pct"/>
          </w:tcPr>
          <w:p w:rsidR="001C7116" w:rsidRPr="00F6576B" w:rsidRDefault="001C7116" w:rsidP="000301A7">
            <w:pPr>
              <w:widowControl w:val="0"/>
              <w:tabs>
                <w:tab w:val="right" w:pos="7200"/>
              </w:tabs>
              <w:ind w:left="132" w:hanging="132"/>
              <w:rPr>
                <w:rFonts w:ascii="Arial" w:hAnsi="Arial" w:cs="Arial"/>
                <w:snapToGrid w:val="0"/>
                <w:color w:val="000000"/>
                <w:sz w:val="24"/>
              </w:rPr>
            </w:pPr>
            <w:r>
              <w:rPr>
                <w:rFonts w:ascii="Arial" w:hAnsi="Arial" w:cs="Arial"/>
                <w:snapToGrid w:val="0"/>
                <w:color w:val="000000"/>
                <w:sz w:val="24"/>
              </w:rPr>
              <w:t>Pooled investments</w:t>
            </w:r>
          </w:p>
        </w:tc>
        <w:tc>
          <w:tcPr>
            <w:tcW w:w="1398" w:type="pct"/>
          </w:tcPr>
          <w:p w:rsidR="001C7116" w:rsidRPr="00F6576B" w:rsidRDefault="00594BF9" w:rsidP="000301A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205,28</w:t>
            </w:r>
            <w:r w:rsidR="00120C2C">
              <w:rPr>
                <w:rFonts w:ascii="Arial" w:hAnsi="Arial" w:cs="Arial"/>
                <w:snapToGrid w:val="0"/>
                <w:color w:val="000000"/>
                <w:sz w:val="24"/>
              </w:rPr>
              <w:t>1</w:t>
            </w:r>
          </w:p>
        </w:tc>
        <w:tc>
          <w:tcPr>
            <w:tcW w:w="1179" w:type="pct"/>
          </w:tcPr>
          <w:p w:rsidR="001C7116" w:rsidRPr="00F6576B" w:rsidRDefault="00005AF6" w:rsidP="000301A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405,064</w:t>
            </w:r>
          </w:p>
        </w:tc>
      </w:tr>
      <w:tr w:rsidR="00B4721C" w:rsidRPr="00F6576B" w:rsidTr="00583AC3">
        <w:tc>
          <w:tcPr>
            <w:tcW w:w="2423" w:type="pct"/>
          </w:tcPr>
          <w:p w:rsidR="00B4721C" w:rsidRPr="00F6576B" w:rsidRDefault="00EA25C9" w:rsidP="000301A7">
            <w:pPr>
              <w:widowControl w:val="0"/>
              <w:tabs>
                <w:tab w:val="right" w:pos="7200"/>
              </w:tabs>
              <w:ind w:left="132" w:hanging="132"/>
              <w:rPr>
                <w:rFonts w:ascii="Arial" w:hAnsi="Arial" w:cs="Arial"/>
                <w:snapToGrid w:val="0"/>
                <w:color w:val="000000"/>
                <w:sz w:val="24"/>
              </w:rPr>
            </w:pPr>
            <w:r w:rsidRPr="00F6576B">
              <w:rPr>
                <w:rFonts w:ascii="Arial" w:hAnsi="Arial" w:cs="Arial"/>
                <w:snapToGrid w:val="0"/>
                <w:color w:val="000000"/>
                <w:sz w:val="24"/>
              </w:rPr>
              <w:t>Pooled property investments</w:t>
            </w:r>
            <w:r w:rsidR="00B4721C" w:rsidRPr="00F6576B">
              <w:rPr>
                <w:rFonts w:ascii="Arial" w:hAnsi="Arial" w:cs="Arial"/>
                <w:snapToGrid w:val="0"/>
                <w:color w:val="000000"/>
                <w:sz w:val="24"/>
              </w:rPr>
              <w:t xml:space="preserve">                                          </w:t>
            </w:r>
          </w:p>
        </w:tc>
        <w:tc>
          <w:tcPr>
            <w:tcW w:w="1398" w:type="pct"/>
          </w:tcPr>
          <w:p w:rsidR="00B4721C" w:rsidRPr="00F6576B" w:rsidRDefault="008311A1" w:rsidP="000301A7">
            <w:pPr>
              <w:widowControl w:val="0"/>
              <w:tabs>
                <w:tab w:val="right" w:pos="7200"/>
              </w:tabs>
              <w:ind w:left="132" w:hanging="132"/>
              <w:jc w:val="right"/>
              <w:rPr>
                <w:rFonts w:ascii="Arial" w:hAnsi="Arial" w:cs="Arial"/>
                <w:snapToGrid w:val="0"/>
                <w:color w:val="000000"/>
                <w:sz w:val="24"/>
              </w:rPr>
            </w:pPr>
            <w:r w:rsidRPr="00F6576B">
              <w:rPr>
                <w:rFonts w:ascii="Arial" w:hAnsi="Arial" w:cs="Arial"/>
                <w:snapToGrid w:val="0"/>
                <w:color w:val="000000"/>
                <w:sz w:val="24"/>
              </w:rPr>
              <w:t>34,739</w:t>
            </w:r>
          </w:p>
        </w:tc>
        <w:tc>
          <w:tcPr>
            <w:tcW w:w="1179" w:type="pct"/>
          </w:tcPr>
          <w:p w:rsidR="00B4721C" w:rsidRPr="00F6576B" w:rsidRDefault="001159ED" w:rsidP="000301A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33,320</w:t>
            </w:r>
          </w:p>
        </w:tc>
      </w:tr>
      <w:tr w:rsidR="00B4721C" w:rsidRPr="00F6576B" w:rsidTr="00583AC3">
        <w:tc>
          <w:tcPr>
            <w:tcW w:w="2423" w:type="pct"/>
          </w:tcPr>
          <w:p w:rsidR="00B4721C" w:rsidRPr="00F6576B" w:rsidRDefault="005A22C1" w:rsidP="000301A7">
            <w:pPr>
              <w:widowControl w:val="0"/>
              <w:tabs>
                <w:tab w:val="right" w:pos="7200"/>
              </w:tabs>
              <w:ind w:left="132" w:hanging="132"/>
              <w:rPr>
                <w:rFonts w:ascii="Arial" w:hAnsi="Arial" w:cs="Arial"/>
                <w:snapToGrid w:val="0"/>
                <w:color w:val="000000"/>
                <w:sz w:val="24"/>
              </w:rPr>
            </w:pPr>
            <w:r w:rsidRPr="00F6576B">
              <w:rPr>
                <w:rFonts w:ascii="Arial" w:hAnsi="Arial" w:cs="Arial"/>
                <w:snapToGrid w:val="0"/>
                <w:color w:val="000000"/>
                <w:sz w:val="24"/>
              </w:rPr>
              <w:t>Private equity/in</w:t>
            </w:r>
            <w:r w:rsidR="008311A1" w:rsidRPr="00F6576B">
              <w:rPr>
                <w:rFonts w:ascii="Arial" w:hAnsi="Arial" w:cs="Arial"/>
                <w:snapToGrid w:val="0"/>
                <w:color w:val="000000"/>
                <w:sz w:val="24"/>
              </w:rPr>
              <w:t>frastructure</w:t>
            </w:r>
            <w:r w:rsidR="00B4721C" w:rsidRPr="00F6576B">
              <w:rPr>
                <w:rFonts w:ascii="Arial" w:hAnsi="Arial" w:cs="Arial"/>
                <w:snapToGrid w:val="0"/>
                <w:color w:val="000000"/>
                <w:sz w:val="24"/>
              </w:rPr>
              <w:t xml:space="preserve">                                          </w:t>
            </w:r>
          </w:p>
        </w:tc>
        <w:tc>
          <w:tcPr>
            <w:tcW w:w="1398" w:type="pct"/>
          </w:tcPr>
          <w:p w:rsidR="00B4721C" w:rsidRPr="00F6576B" w:rsidRDefault="008311A1" w:rsidP="000301A7">
            <w:pPr>
              <w:widowControl w:val="0"/>
              <w:tabs>
                <w:tab w:val="right" w:pos="7200"/>
              </w:tabs>
              <w:ind w:left="132" w:hanging="132"/>
              <w:jc w:val="right"/>
              <w:rPr>
                <w:rFonts w:ascii="Arial" w:hAnsi="Arial" w:cs="Arial"/>
                <w:snapToGrid w:val="0"/>
                <w:color w:val="000000"/>
                <w:sz w:val="24"/>
              </w:rPr>
            </w:pPr>
            <w:r w:rsidRPr="00F6576B">
              <w:rPr>
                <w:rFonts w:ascii="Arial" w:hAnsi="Arial" w:cs="Arial"/>
                <w:snapToGrid w:val="0"/>
                <w:color w:val="000000"/>
                <w:sz w:val="24"/>
              </w:rPr>
              <w:t>8</w:t>
            </w:r>
            <w:r w:rsidR="00BE40CD">
              <w:rPr>
                <w:rFonts w:ascii="Arial" w:hAnsi="Arial" w:cs="Arial"/>
                <w:snapToGrid w:val="0"/>
                <w:color w:val="000000"/>
                <w:sz w:val="24"/>
              </w:rPr>
              <w:t>0,729</w:t>
            </w:r>
          </w:p>
        </w:tc>
        <w:tc>
          <w:tcPr>
            <w:tcW w:w="1179" w:type="pct"/>
          </w:tcPr>
          <w:p w:rsidR="00B4721C" w:rsidRPr="00F6576B" w:rsidRDefault="001159ED" w:rsidP="000301A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9</w:t>
            </w:r>
            <w:r w:rsidR="00D10A7A">
              <w:rPr>
                <w:rFonts w:ascii="Arial" w:hAnsi="Arial" w:cs="Arial"/>
                <w:snapToGrid w:val="0"/>
                <w:color w:val="000000"/>
                <w:sz w:val="24"/>
              </w:rPr>
              <w:t>9,913</w:t>
            </w:r>
          </w:p>
        </w:tc>
      </w:tr>
      <w:tr w:rsidR="007A15D4" w:rsidRPr="00F6576B" w:rsidTr="007A15D4">
        <w:tc>
          <w:tcPr>
            <w:tcW w:w="2423" w:type="pct"/>
          </w:tcPr>
          <w:p w:rsidR="007A15D4" w:rsidRPr="00F6576B" w:rsidRDefault="00E378DA" w:rsidP="007A15D4">
            <w:pPr>
              <w:widowControl w:val="0"/>
              <w:tabs>
                <w:tab w:val="right" w:pos="7200"/>
              </w:tabs>
              <w:ind w:left="132" w:hanging="132"/>
              <w:rPr>
                <w:rFonts w:ascii="Arial" w:hAnsi="Arial" w:cs="Arial"/>
                <w:snapToGrid w:val="0"/>
                <w:color w:val="000000"/>
                <w:sz w:val="24"/>
              </w:rPr>
            </w:pPr>
            <w:r w:rsidRPr="00F6576B">
              <w:rPr>
                <w:rFonts w:ascii="Arial" w:hAnsi="Arial" w:cs="Arial"/>
                <w:snapToGrid w:val="0"/>
                <w:color w:val="000000"/>
                <w:sz w:val="24"/>
              </w:rPr>
              <w:t>Investment income due</w:t>
            </w:r>
            <w:r w:rsidR="007A15D4" w:rsidRPr="00F6576B">
              <w:rPr>
                <w:rFonts w:ascii="Arial" w:hAnsi="Arial" w:cs="Arial"/>
                <w:snapToGrid w:val="0"/>
                <w:color w:val="000000"/>
                <w:sz w:val="24"/>
              </w:rPr>
              <w:t xml:space="preserve">                                          </w:t>
            </w:r>
          </w:p>
        </w:tc>
        <w:tc>
          <w:tcPr>
            <w:tcW w:w="1398" w:type="pct"/>
          </w:tcPr>
          <w:p w:rsidR="007A15D4" w:rsidRPr="00F6576B" w:rsidRDefault="00E378DA" w:rsidP="007A15D4">
            <w:pPr>
              <w:widowControl w:val="0"/>
              <w:tabs>
                <w:tab w:val="right" w:pos="7200"/>
              </w:tabs>
              <w:ind w:left="132" w:hanging="132"/>
              <w:jc w:val="right"/>
              <w:rPr>
                <w:rFonts w:ascii="Arial" w:hAnsi="Arial" w:cs="Arial"/>
                <w:snapToGrid w:val="0"/>
                <w:color w:val="000000"/>
                <w:sz w:val="24"/>
              </w:rPr>
            </w:pPr>
            <w:r w:rsidRPr="00F6576B">
              <w:rPr>
                <w:rFonts w:ascii="Arial" w:hAnsi="Arial" w:cs="Arial"/>
                <w:snapToGrid w:val="0"/>
                <w:color w:val="000000"/>
                <w:sz w:val="24"/>
              </w:rPr>
              <w:t>544</w:t>
            </w:r>
          </w:p>
        </w:tc>
        <w:tc>
          <w:tcPr>
            <w:tcW w:w="1179" w:type="pct"/>
          </w:tcPr>
          <w:p w:rsidR="007A15D4" w:rsidRPr="00F6576B" w:rsidRDefault="001F1618" w:rsidP="007A15D4">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0</w:t>
            </w:r>
          </w:p>
        </w:tc>
      </w:tr>
      <w:tr w:rsidR="00CD3978" w:rsidRPr="00F6576B" w:rsidTr="00C624B4">
        <w:tc>
          <w:tcPr>
            <w:tcW w:w="2423" w:type="pct"/>
          </w:tcPr>
          <w:p w:rsidR="00CD3978" w:rsidRPr="00F6576B" w:rsidRDefault="00CD3978" w:rsidP="000301A7">
            <w:pPr>
              <w:widowControl w:val="0"/>
              <w:tabs>
                <w:tab w:val="right" w:pos="7200"/>
              </w:tabs>
              <w:ind w:left="132" w:hanging="132"/>
              <w:rPr>
                <w:rFonts w:ascii="Arial" w:hAnsi="Arial" w:cs="Arial"/>
                <w:b/>
                <w:snapToGrid w:val="0"/>
                <w:color w:val="000000"/>
                <w:sz w:val="24"/>
              </w:rPr>
            </w:pPr>
          </w:p>
        </w:tc>
        <w:tc>
          <w:tcPr>
            <w:tcW w:w="1398" w:type="pct"/>
            <w:tcBorders>
              <w:bottom w:val="single" w:sz="4" w:space="0" w:color="auto"/>
            </w:tcBorders>
          </w:tcPr>
          <w:p w:rsidR="00CD3978" w:rsidRPr="00F6576B" w:rsidRDefault="00CD3978" w:rsidP="000301A7">
            <w:pPr>
              <w:widowControl w:val="0"/>
              <w:tabs>
                <w:tab w:val="right" w:pos="7200"/>
              </w:tabs>
              <w:ind w:left="132" w:hanging="132"/>
              <w:jc w:val="right"/>
              <w:rPr>
                <w:rFonts w:ascii="Arial" w:hAnsi="Arial" w:cs="Arial"/>
                <w:b/>
                <w:snapToGrid w:val="0"/>
                <w:color w:val="000000"/>
                <w:sz w:val="24"/>
              </w:rPr>
            </w:pPr>
          </w:p>
        </w:tc>
        <w:tc>
          <w:tcPr>
            <w:tcW w:w="1179" w:type="pct"/>
            <w:tcBorders>
              <w:bottom w:val="single" w:sz="4" w:space="0" w:color="auto"/>
            </w:tcBorders>
          </w:tcPr>
          <w:p w:rsidR="00CD3978" w:rsidRPr="00F6576B" w:rsidRDefault="00CD3978" w:rsidP="000301A7">
            <w:pPr>
              <w:widowControl w:val="0"/>
              <w:tabs>
                <w:tab w:val="right" w:pos="7200"/>
              </w:tabs>
              <w:ind w:left="132" w:hanging="132"/>
              <w:jc w:val="right"/>
              <w:rPr>
                <w:rFonts w:ascii="Arial" w:hAnsi="Arial" w:cs="Arial"/>
                <w:b/>
                <w:snapToGrid w:val="0"/>
                <w:color w:val="000000"/>
                <w:sz w:val="24"/>
              </w:rPr>
            </w:pPr>
          </w:p>
        </w:tc>
      </w:tr>
      <w:tr w:rsidR="00583AC3" w:rsidRPr="00F6576B" w:rsidTr="00C624B4">
        <w:tc>
          <w:tcPr>
            <w:tcW w:w="2423" w:type="pct"/>
          </w:tcPr>
          <w:p w:rsidR="00583AC3" w:rsidRPr="00F6576B" w:rsidRDefault="003E20E0" w:rsidP="003E20E0">
            <w:pPr>
              <w:widowControl w:val="0"/>
              <w:tabs>
                <w:tab w:val="right" w:pos="7200"/>
              </w:tabs>
              <w:rPr>
                <w:rFonts w:ascii="Arial" w:hAnsi="Arial" w:cs="Arial"/>
                <w:b/>
                <w:snapToGrid w:val="0"/>
                <w:color w:val="000000"/>
                <w:sz w:val="24"/>
              </w:rPr>
            </w:pPr>
            <w:r w:rsidRPr="00F6576B">
              <w:rPr>
                <w:rFonts w:ascii="Arial" w:hAnsi="Arial" w:cs="Arial"/>
                <w:b/>
                <w:snapToGrid w:val="0"/>
                <w:color w:val="000000"/>
                <w:sz w:val="24"/>
              </w:rPr>
              <w:t>Total</w:t>
            </w:r>
            <w:r w:rsidR="00583AC3" w:rsidRPr="00F6576B">
              <w:rPr>
                <w:rFonts w:ascii="Arial" w:hAnsi="Arial" w:cs="Arial"/>
                <w:b/>
                <w:snapToGrid w:val="0"/>
                <w:color w:val="000000"/>
                <w:sz w:val="24"/>
              </w:rPr>
              <w:t xml:space="preserve"> investments                                          </w:t>
            </w:r>
          </w:p>
        </w:tc>
        <w:tc>
          <w:tcPr>
            <w:tcW w:w="1398" w:type="pct"/>
            <w:tcBorders>
              <w:bottom w:val="single" w:sz="4" w:space="0" w:color="auto"/>
            </w:tcBorders>
          </w:tcPr>
          <w:p w:rsidR="00583AC3" w:rsidRPr="00F6576B" w:rsidRDefault="001A102D" w:rsidP="002A2D89">
            <w:pPr>
              <w:widowControl w:val="0"/>
              <w:tabs>
                <w:tab w:val="right" w:pos="7200"/>
              </w:tabs>
              <w:ind w:left="132" w:hanging="132"/>
              <w:jc w:val="right"/>
              <w:rPr>
                <w:rFonts w:ascii="Arial" w:hAnsi="Arial" w:cs="Arial"/>
                <w:b/>
                <w:snapToGrid w:val="0"/>
                <w:color w:val="000000"/>
                <w:sz w:val="24"/>
              </w:rPr>
            </w:pPr>
            <w:r w:rsidRPr="00F6576B">
              <w:rPr>
                <w:rFonts w:ascii="Arial" w:hAnsi="Arial" w:cs="Arial"/>
                <w:b/>
                <w:snapToGrid w:val="0"/>
                <w:color w:val="000000"/>
                <w:sz w:val="24"/>
              </w:rPr>
              <w:t>4</w:t>
            </w:r>
            <w:r w:rsidR="001F5E57">
              <w:rPr>
                <w:rFonts w:ascii="Arial" w:hAnsi="Arial" w:cs="Arial"/>
                <w:b/>
                <w:snapToGrid w:val="0"/>
                <w:color w:val="000000"/>
                <w:sz w:val="24"/>
              </w:rPr>
              <w:t>84,82</w:t>
            </w:r>
            <w:r w:rsidR="00D634C8">
              <w:rPr>
                <w:rFonts w:ascii="Arial" w:hAnsi="Arial" w:cs="Arial"/>
                <w:b/>
                <w:snapToGrid w:val="0"/>
                <w:color w:val="000000"/>
                <w:sz w:val="24"/>
              </w:rPr>
              <w:t>4</w:t>
            </w:r>
          </w:p>
        </w:tc>
        <w:tc>
          <w:tcPr>
            <w:tcW w:w="1179" w:type="pct"/>
            <w:tcBorders>
              <w:bottom w:val="single" w:sz="4" w:space="0" w:color="auto"/>
            </w:tcBorders>
          </w:tcPr>
          <w:p w:rsidR="00583AC3" w:rsidRPr="00F6576B" w:rsidRDefault="00B32CE5" w:rsidP="002A2D89">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53</w:t>
            </w:r>
            <w:r w:rsidR="00D10A7A">
              <w:rPr>
                <w:rFonts w:ascii="Arial" w:hAnsi="Arial" w:cs="Arial"/>
                <w:b/>
                <w:snapToGrid w:val="0"/>
                <w:color w:val="000000"/>
                <w:sz w:val="24"/>
              </w:rPr>
              <w:t>8,297</w:t>
            </w:r>
          </w:p>
        </w:tc>
      </w:tr>
    </w:tbl>
    <w:p w:rsidR="00A0030C" w:rsidRPr="00F6576B" w:rsidRDefault="00A0030C" w:rsidP="00925ED9">
      <w:pPr>
        <w:widowControl w:val="0"/>
        <w:tabs>
          <w:tab w:val="right" w:pos="7200"/>
        </w:tabs>
        <w:rPr>
          <w:b/>
          <w:snapToGrid w:val="0"/>
          <w:color w:val="000000"/>
          <w:sz w:val="24"/>
        </w:rPr>
      </w:pPr>
    </w:p>
    <w:p w:rsidR="00A0030C" w:rsidRPr="00F6576B" w:rsidRDefault="00A0030C" w:rsidP="00925ED9">
      <w:pPr>
        <w:widowControl w:val="0"/>
        <w:tabs>
          <w:tab w:val="right" w:pos="7200"/>
        </w:tabs>
        <w:rPr>
          <w:b/>
          <w:snapToGrid w:val="0"/>
          <w:color w:val="000000"/>
          <w:sz w:val="24"/>
        </w:rPr>
      </w:pPr>
    </w:p>
    <w:p w:rsidR="00941C39" w:rsidRPr="003A2138" w:rsidRDefault="00583AC3" w:rsidP="00941C39">
      <w:pPr>
        <w:widowControl w:val="0"/>
        <w:tabs>
          <w:tab w:val="right" w:pos="7200"/>
        </w:tabs>
        <w:rPr>
          <w:rFonts w:ascii="Arial" w:hAnsi="Arial" w:cs="Arial"/>
          <w:b/>
          <w:snapToGrid w:val="0"/>
          <w:color w:val="000000"/>
          <w:sz w:val="24"/>
        </w:rPr>
      </w:pPr>
      <w:r w:rsidRPr="003D2F7A">
        <w:rPr>
          <w:rFonts w:ascii="Arial" w:hAnsi="Arial" w:cs="Arial"/>
          <w:b/>
          <w:snapToGrid w:val="0"/>
          <w:color w:val="000000"/>
          <w:sz w:val="24"/>
          <w:highlight w:val="yellow"/>
        </w:rPr>
        <w:br w:type="page"/>
      </w:r>
      <w:r w:rsidR="00774EEE" w:rsidRPr="003A2138">
        <w:rPr>
          <w:rFonts w:ascii="Arial" w:hAnsi="Arial" w:cs="Arial"/>
          <w:b/>
          <w:snapToGrid w:val="0"/>
          <w:color w:val="000000"/>
          <w:sz w:val="24"/>
        </w:rPr>
        <w:lastRenderedPageBreak/>
        <w:t>a)</w:t>
      </w:r>
      <w:r w:rsidR="00941C39" w:rsidRPr="003A2138">
        <w:rPr>
          <w:rFonts w:ascii="Arial" w:hAnsi="Arial" w:cs="Arial"/>
          <w:b/>
          <w:snapToGrid w:val="0"/>
          <w:color w:val="000000"/>
          <w:sz w:val="24"/>
        </w:rPr>
        <w:t xml:space="preserve">  Reconciliation of movements in investments</w:t>
      </w:r>
    </w:p>
    <w:p w:rsidR="00941C39" w:rsidRPr="003A2138" w:rsidRDefault="00941C39" w:rsidP="00941C39">
      <w:pPr>
        <w:widowControl w:val="0"/>
        <w:tabs>
          <w:tab w:val="right" w:pos="7200"/>
        </w:tabs>
        <w:rPr>
          <w:rFonts w:ascii="Arial" w:hAnsi="Arial" w:cs="Arial"/>
          <w:snapToGrid w:val="0"/>
          <w:color w:val="000000"/>
          <w:sz w:val="24"/>
        </w:rPr>
      </w:pPr>
    </w:p>
    <w:tbl>
      <w:tblPr>
        <w:tblW w:w="8589" w:type="dxa"/>
        <w:tblInd w:w="-132" w:type="dxa"/>
        <w:tblLayout w:type="fixed"/>
        <w:tblLook w:val="0000" w:firstRow="0" w:lastRow="0" w:firstColumn="0" w:lastColumn="0" w:noHBand="0" w:noVBand="0"/>
      </w:tblPr>
      <w:tblGrid>
        <w:gridCol w:w="2520"/>
        <w:gridCol w:w="1200"/>
        <w:gridCol w:w="1320"/>
        <w:gridCol w:w="1200"/>
        <w:gridCol w:w="1200"/>
        <w:gridCol w:w="1149"/>
      </w:tblGrid>
      <w:tr w:rsidR="00830E50" w:rsidRPr="003A2138" w:rsidTr="006F2671">
        <w:trPr>
          <w:trHeight w:val="1101"/>
        </w:trPr>
        <w:tc>
          <w:tcPr>
            <w:tcW w:w="2520" w:type="dxa"/>
          </w:tcPr>
          <w:p w:rsidR="00830E50" w:rsidRPr="003A2138" w:rsidRDefault="00830E50" w:rsidP="00EC635A">
            <w:pPr>
              <w:widowControl w:val="0"/>
              <w:tabs>
                <w:tab w:val="right" w:pos="7200"/>
              </w:tabs>
              <w:rPr>
                <w:rFonts w:ascii="Arial" w:hAnsi="Arial" w:cs="Arial"/>
                <w:snapToGrid w:val="0"/>
                <w:color w:val="000000"/>
              </w:rPr>
            </w:pPr>
          </w:p>
        </w:tc>
        <w:tc>
          <w:tcPr>
            <w:tcW w:w="1200" w:type="dxa"/>
          </w:tcPr>
          <w:p w:rsidR="00830E50" w:rsidRPr="003A2138" w:rsidRDefault="00830E50"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Market value</w:t>
            </w:r>
          </w:p>
          <w:p w:rsidR="00830E50" w:rsidRPr="003A2138" w:rsidRDefault="00A66A8B"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1 April 2012</w:t>
            </w:r>
          </w:p>
        </w:tc>
        <w:tc>
          <w:tcPr>
            <w:tcW w:w="1320" w:type="dxa"/>
          </w:tcPr>
          <w:p w:rsidR="00830E50" w:rsidRPr="003A2138" w:rsidRDefault="00830E50" w:rsidP="00FC1D39">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Purchases during the year</w:t>
            </w:r>
          </w:p>
        </w:tc>
        <w:tc>
          <w:tcPr>
            <w:tcW w:w="1200" w:type="dxa"/>
          </w:tcPr>
          <w:p w:rsidR="00830E50" w:rsidRPr="003A2138" w:rsidRDefault="00830E50" w:rsidP="00FC1D39">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Sales during the year</w:t>
            </w:r>
          </w:p>
        </w:tc>
        <w:tc>
          <w:tcPr>
            <w:tcW w:w="1200" w:type="dxa"/>
          </w:tcPr>
          <w:p w:rsidR="00830E50" w:rsidRPr="003A2138" w:rsidRDefault="00830E50"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Change in market value during the year</w:t>
            </w:r>
          </w:p>
        </w:tc>
        <w:tc>
          <w:tcPr>
            <w:tcW w:w="1149" w:type="dxa"/>
          </w:tcPr>
          <w:p w:rsidR="00830E50" w:rsidRPr="003A2138" w:rsidRDefault="00830E50"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Market value</w:t>
            </w:r>
          </w:p>
          <w:p w:rsidR="00830E50" w:rsidRPr="003A2138" w:rsidRDefault="00A66A8B"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31 March 2013</w:t>
            </w:r>
          </w:p>
        </w:tc>
      </w:tr>
      <w:tr w:rsidR="00830E50" w:rsidRPr="003A2138" w:rsidTr="00C15B6A">
        <w:trPr>
          <w:trHeight w:val="586"/>
        </w:trPr>
        <w:tc>
          <w:tcPr>
            <w:tcW w:w="2520" w:type="dxa"/>
          </w:tcPr>
          <w:p w:rsidR="00830E50" w:rsidRPr="003A2138" w:rsidRDefault="00830E50" w:rsidP="00EC635A">
            <w:pPr>
              <w:widowControl w:val="0"/>
              <w:tabs>
                <w:tab w:val="right" w:pos="7200"/>
              </w:tabs>
              <w:rPr>
                <w:rFonts w:ascii="Arial" w:hAnsi="Arial" w:cs="Arial"/>
                <w:snapToGrid w:val="0"/>
                <w:color w:val="000000"/>
              </w:rPr>
            </w:pPr>
          </w:p>
        </w:tc>
        <w:tc>
          <w:tcPr>
            <w:tcW w:w="1200" w:type="dxa"/>
            <w:vAlign w:val="center"/>
          </w:tcPr>
          <w:p w:rsidR="00830E50" w:rsidRPr="003A2138" w:rsidRDefault="00830E50" w:rsidP="00583AC3">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£’000</w:t>
            </w:r>
          </w:p>
        </w:tc>
        <w:tc>
          <w:tcPr>
            <w:tcW w:w="1320" w:type="dxa"/>
            <w:vAlign w:val="center"/>
          </w:tcPr>
          <w:p w:rsidR="00830E50" w:rsidRPr="003A2138" w:rsidRDefault="00830E50" w:rsidP="00583AC3">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£’000</w:t>
            </w:r>
          </w:p>
        </w:tc>
        <w:tc>
          <w:tcPr>
            <w:tcW w:w="1200" w:type="dxa"/>
            <w:vAlign w:val="center"/>
          </w:tcPr>
          <w:p w:rsidR="00830E50" w:rsidRPr="003A2138" w:rsidRDefault="00830E50" w:rsidP="00583AC3">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£’000</w:t>
            </w:r>
          </w:p>
        </w:tc>
        <w:tc>
          <w:tcPr>
            <w:tcW w:w="1200" w:type="dxa"/>
            <w:vAlign w:val="center"/>
          </w:tcPr>
          <w:p w:rsidR="00830E50" w:rsidRPr="003A2138" w:rsidRDefault="00830E50" w:rsidP="00583AC3">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£’000</w:t>
            </w:r>
          </w:p>
        </w:tc>
        <w:tc>
          <w:tcPr>
            <w:tcW w:w="1149" w:type="dxa"/>
            <w:vAlign w:val="center"/>
          </w:tcPr>
          <w:p w:rsidR="00830E50" w:rsidRPr="003A2138" w:rsidRDefault="00830E50" w:rsidP="00583AC3">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£’000</w:t>
            </w:r>
          </w:p>
        </w:tc>
      </w:tr>
      <w:tr w:rsidR="00830E50" w:rsidRPr="003A2138" w:rsidTr="006F2671">
        <w:trPr>
          <w:trHeight w:val="466"/>
        </w:trPr>
        <w:tc>
          <w:tcPr>
            <w:tcW w:w="2520" w:type="dxa"/>
          </w:tcPr>
          <w:p w:rsidR="00830E50" w:rsidRPr="003A2138" w:rsidRDefault="00830E50" w:rsidP="00EC635A">
            <w:pPr>
              <w:widowControl w:val="0"/>
              <w:tabs>
                <w:tab w:val="right" w:pos="7200"/>
              </w:tabs>
              <w:rPr>
                <w:rFonts w:ascii="Arial" w:hAnsi="Arial" w:cs="Arial"/>
                <w:b/>
                <w:snapToGrid w:val="0"/>
                <w:color w:val="000000"/>
              </w:rPr>
            </w:pPr>
            <w:r w:rsidRPr="003A2138">
              <w:rPr>
                <w:rFonts w:ascii="Arial" w:hAnsi="Arial" w:cs="Arial"/>
                <w:b/>
                <w:snapToGrid w:val="0"/>
                <w:color w:val="000000"/>
              </w:rPr>
              <w:t>Fixed interest securities</w:t>
            </w:r>
          </w:p>
        </w:tc>
        <w:tc>
          <w:tcPr>
            <w:tcW w:w="1200" w:type="dxa"/>
          </w:tcPr>
          <w:p w:rsidR="00830E50" w:rsidRPr="003A2138" w:rsidRDefault="005D70F2" w:rsidP="00EC635A">
            <w:pPr>
              <w:widowControl w:val="0"/>
              <w:tabs>
                <w:tab w:val="right" w:pos="7200"/>
              </w:tabs>
              <w:jc w:val="right"/>
              <w:rPr>
                <w:rFonts w:ascii="Arial" w:hAnsi="Arial" w:cs="Arial"/>
                <w:snapToGrid w:val="0"/>
                <w:color w:val="000000"/>
              </w:rPr>
            </w:pPr>
            <w:r w:rsidRPr="003A2138">
              <w:rPr>
                <w:rFonts w:ascii="Arial" w:hAnsi="Arial" w:cs="Arial"/>
                <w:snapToGrid w:val="0"/>
                <w:color w:val="000000"/>
              </w:rPr>
              <w:t>7</w:t>
            </w:r>
            <w:r w:rsidR="00865F15">
              <w:rPr>
                <w:rFonts w:ascii="Arial" w:hAnsi="Arial" w:cs="Arial"/>
                <w:snapToGrid w:val="0"/>
                <w:color w:val="000000"/>
              </w:rPr>
              <w:t>7,040</w:t>
            </w:r>
          </w:p>
        </w:tc>
        <w:tc>
          <w:tcPr>
            <w:tcW w:w="1320" w:type="dxa"/>
          </w:tcPr>
          <w:p w:rsidR="00830E50" w:rsidRPr="00347CDF" w:rsidRDefault="00BC72D5"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0</w:t>
            </w:r>
          </w:p>
        </w:tc>
        <w:tc>
          <w:tcPr>
            <w:tcW w:w="1200" w:type="dxa"/>
          </w:tcPr>
          <w:p w:rsidR="00830E50" w:rsidRPr="00347CDF" w:rsidRDefault="00BC72D5"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-77,040</w:t>
            </w:r>
          </w:p>
        </w:tc>
        <w:tc>
          <w:tcPr>
            <w:tcW w:w="1200" w:type="dxa"/>
          </w:tcPr>
          <w:p w:rsidR="00830E50" w:rsidRPr="00347CDF" w:rsidRDefault="00354AC7" w:rsidP="00870BB9">
            <w:pPr>
              <w:widowControl w:val="0"/>
              <w:tabs>
                <w:tab w:val="right" w:pos="7200"/>
              </w:tabs>
              <w:jc w:val="right"/>
              <w:rPr>
                <w:rFonts w:ascii="Arial" w:hAnsi="Arial" w:cs="Arial"/>
                <w:snapToGrid w:val="0"/>
                <w:color w:val="000000"/>
              </w:rPr>
            </w:pPr>
            <w:r w:rsidRPr="00347CDF">
              <w:rPr>
                <w:rFonts w:ascii="Arial" w:hAnsi="Arial" w:cs="Arial"/>
                <w:snapToGrid w:val="0"/>
                <w:color w:val="000000"/>
              </w:rPr>
              <w:t xml:space="preserve">       </w:t>
            </w:r>
            <w:r w:rsidR="00934903" w:rsidRPr="00347CDF">
              <w:rPr>
                <w:rFonts w:ascii="Arial" w:hAnsi="Arial" w:cs="Arial"/>
                <w:snapToGrid w:val="0"/>
                <w:color w:val="000000"/>
              </w:rPr>
              <w:t xml:space="preserve"> </w:t>
            </w:r>
            <w:r w:rsidR="00BC72D5" w:rsidRPr="00347CDF">
              <w:rPr>
                <w:rFonts w:ascii="Arial" w:hAnsi="Arial" w:cs="Arial"/>
                <w:snapToGrid w:val="0"/>
                <w:color w:val="000000"/>
              </w:rPr>
              <w:t>0</w:t>
            </w:r>
          </w:p>
        </w:tc>
        <w:tc>
          <w:tcPr>
            <w:tcW w:w="1149" w:type="dxa"/>
          </w:tcPr>
          <w:p w:rsidR="00830E50" w:rsidRPr="00B866E8" w:rsidRDefault="00E30809" w:rsidP="00EC635A">
            <w:pPr>
              <w:widowControl w:val="0"/>
              <w:tabs>
                <w:tab w:val="right" w:pos="7200"/>
              </w:tabs>
              <w:jc w:val="right"/>
              <w:rPr>
                <w:rFonts w:ascii="Arial" w:hAnsi="Arial" w:cs="Arial"/>
                <w:snapToGrid w:val="0"/>
                <w:color w:val="000000"/>
              </w:rPr>
            </w:pPr>
            <w:r w:rsidRPr="00B866E8">
              <w:rPr>
                <w:rFonts w:ascii="Arial" w:hAnsi="Arial" w:cs="Arial"/>
                <w:snapToGrid w:val="0"/>
                <w:color w:val="000000"/>
              </w:rPr>
              <w:t>0</w:t>
            </w:r>
          </w:p>
        </w:tc>
      </w:tr>
      <w:tr w:rsidR="00830E50" w:rsidRPr="003A2138" w:rsidTr="006F2671">
        <w:trPr>
          <w:trHeight w:val="493"/>
        </w:trPr>
        <w:tc>
          <w:tcPr>
            <w:tcW w:w="2520" w:type="dxa"/>
          </w:tcPr>
          <w:p w:rsidR="00830E50" w:rsidRPr="003A2138" w:rsidRDefault="00830E50" w:rsidP="00EC635A">
            <w:pPr>
              <w:widowControl w:val="0"/>
              <w:tabs>
                <w:tab w:val="right" w:pos="7200"/>
              </w:tabs>
              <w:rPr>
                <w:rFonts w:ascii="Arial" w:hAnsi="Arial" w:cs="Arial"/>
                <w:b/>
                <w:snapToGrid w:val="0"/>
                <w:color w:val="000000"/>
              </w:rPr>
            </w:pPr>
            <w:r w:rsidRPr="003A2138">
              <w:rPr>
                <w:rFonts w:ascii="Arial" w:hAnsi="Arial" w:cs="Arial"/>
                <w:b/>
                <w:snapToGrid w:val="0"/>
                <w:color w:val="000000"/>
              </w:rPr>
              <w:t>Equities</w:t>
            </w:r>
          </w:p>
        </w:tc>
        <w:tc>
          <w:tcPr>
            <w:tcW w:w="1200" w:type="dxa"/>
          </w:tcPr>
          <w:p w:rsidR="00830E50" w:rsidRPr="003A2138" w:rsidRDefault="00BF75CB" w:rsidP="00EC635A">
            <w:pPr>
              <w:widowControl w:val="0"/>
              <w:tabs>
                <w:tab w:val="right" w:pos="7200"/>
              </w:tabs>
              <w:jc w:val="right"/>
              <w:rPr>
                <w:rFonts w:ascii="Arial" w:hAnsi="Arial" w:cs="Arial"/>
                <w:snapToGrid w:val="0"/>
                <w:color w:val="000000"/>
              </w:rPr>
            </w:pPr>
            <w:r>
              <w:rPr>
                <w:rFonts w:ascii="Arial" w:hAnsi="Arial" w:cs="Arial"/>
                <w:snapToGrid w:val="0"/>
                <w:color w:val="000000"/>
              </w:rPr>
              <w:t>86,491</w:t>
            </w:r>
          </w:p>
        </w:tc>
        <w:tc>
          <w:tcPr>
            <w:tcW w:w="1320" w:type="dxa"/>
          </w:tcPr>
          <w:p w:rsidR="00830E50" w:rsidRPr="00347CDF" w:rsidRDefault="00B866E8"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0</w:t>
            </w:r>
          </w:p>
        </w:tc>
        <w:tc>
          <w:tcPr>
            <w:tcW w:w="1200" w:type="dxa"/>
          </w:tcPr>
          <w:p w:rsidR="00830E50" w:rsidRPr="00347CDF" w:rsidRDefault="00B866E8"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-86,491</w:t>
            </w:r>
          </w:p>
        </w:tc>
        <w:tc>
          <w:tcPr>
            <w:tcW w:w="1200" w:type="dxa"/>
          </w:tcPr>
          <w:p w:rsidR="00830E50" w:rsidRPr="00347CDF" w:rsidRDefault="00B866E8"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0</w:t>
            </w:r>
          </w:p>
        </w:tc>
        <w:tc>
          <w:tcPr>
            <w:tcW w:w="1149" w:type="dxa"/>
          </w:tcPr>
          <w:p w:rsidR="00830E50" w:rsidRPr="003A2138" w:rsidRDefault="00B64DD8" w:rsidP="00EC635A">
            <w:pPr>
              <w:widowControl w:val="0"/>
              <w:tabs>
                <w:tab w:val="right" w:pos="7200"/>
              </w:tabs>
              <w:jc w:val="right"/>
              <w:rPr>
                <w:rFonts w:ascii="Arial" w:hAnsi="Arial" w:cs="Arial"/>
                <w:snapToGrid w:val="0"/>
                <w:color w:val="000000"/>
              </w:rPr>
            </w:pPr>
            <w:r>
              <w:rPr>
                <w:rFonts w:ascii="Arial" w:hAnsi="Arial" w:cs="Arial"/>
                <w:snapToGrid w:val="0"/>
                <w:color w:val="000000"/>
              </w:rPr>
              <w:t>0</w:t>
            </w:r>
          </w:p>
        </w:tc>
      </w:tr>
      <w:tr w:rsidR="0033033F" w:rsidRPr="003A2138" w:rsidTr="0042447D">
        <w:trPr>
          <w:trHeight w:val="648"/>
        </w:trPr>
        <w:tc>
          <w:tcPr>
            <w:tcW w:w="2520" w:type="dxa"/>
          </w:tcPr>
          <w:p w:rsidR="0033033F" w:rsidRPr="003A2138" w:rsidRDefault="0033033F" w:rsidP="00EC635A">
            <w:pPr>
              <w:widowControl w:val="0"/>
              <w:tabs>
                <w:tab w:val="right" w:pos="7200"/>
              </w:tabs>
              <w:rPr>
                <w:rFonts w:ascii="Arial" w:hAnsi="Arial" w:cs="Arial"/>
                <w:b/>
                <w:snapToGrid w:val="0"/>
                <w:color w:val="000000"/>
              </w:rPr>
            </w:pPr>
            <w:r>
              <w:rPr>
                <w:rFonts w:ascii="Arial" w:hAnsi="Arial" w:cs="Arial"/>
                <w:b/>
                <w:snapToGrid w:val="0"/>
                <w:color w:val="000000"/>
              </w:rPr>
              <w:t>Pooled investments</w:t>
            </w:r>
          </w:p>
        </w:tc>
        <w:tc>
          <w:tcPr>
            <w:tcW w:w="1200" w:type="dxa"/>
          </w:tcPr>
          <w:p w:rsidR="0033033F" w:rsidRPr="003A2138" w:rsidRDefault="00BF75CB" w:rsidP="00EC635A">
            <w:pPr>
              <w:widowControl w:val="0"/>
              <w:tabs>
                <w:tab w:val="right" w:pos="7200"/>
              </w:tabs>
              <w:jc w:val="right"/>
              <w:rPr>
                <w:rFonts w:ascii="Arial" w:hAnsi="Arial" w:cs="Arial"/>
                <w:snapToGrid w:val="0"/>
                <w:color w:val="000000"/>
              </w:rPr>
            </w:pPr>
            <w:r>
              <w:rPr>
                <w:rFonts w:ascii="Arial" w:hAnsi="Arial" w:cs="Arial"/>
                <w:snapToGrid w:val="0"/>
                <w:color w:val="000000"/>
              </w:rPr>
              <w:t>205,28</w:t>
            </w:r>
            <w:r w:rsidR="00E159CF">
              <w:rPr>
                <w:rFonts w:ascii="Arial" w:hAnsi="Arial" w:cs="Arial"/>
                <w:snapToGrid w:val="0"/>
                <w:color w:val="000000"/>
              </w:rPr>
              <w:t>1</w:t>
            </w:r>
          </w:p>
        </w:tc>
        <w:tc>
          <w:tcPr>
            <w:tcW w:w="1320" w:type="dxa"/>
          </w:tcPr>
          <w:p w:rsidR="0033033F" w:rsidRPr="00347CDF" w:rsidRDefault="00325718"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275,238</w:t>
            </w:r>
          </w:p>
        </w:tc>
        <w:tc>
          <w:tcPr>
            <w:tcW w:w="1200" w:type="dxa"/>
          </w:tcPr>
          <w:p w:rsidR="0033033F" w:rsidRPr="00347CDF" w:rsidRDefault="002737F6"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w:t>
            </w:r>
            <w:r w:rsidR="00325718" w:rsidRPr="00347CDF">
              <w:rPr>
                <w:rFonts w:ascii="Arial" w:hAnsi="Arial" w:cs="Arial"/>
                <w:snapToGrid w:val="0"/>
                <w:color w:val="000000"/>
              </w:rPr>
              <w:t>1</w:t>
            </w:r>
            <w:r w:rsidR="009E2B50" w:rsidRPr="00347CDF">
              <w:rPr>
                <w:rFonts w:ascii="Arial" w:hAnsi="Arial" w:cs="Arial"/>
                <w:snapToGrid w:val="0"/>
                <w:color w:val="000000"/>
              </w:rPr>
              <w:t>18,020</w:t>
            </w:r>
          </w:p>
        </w:tc>
        <w:tc>
          <w:tcPr>
            <w:tcW w:w="1200" w:type="dxa"/>
          </w:tcPr>
          <w:p w:rsidR="0033033F" w:rsidRPr="00347CDF" w:rsidRDefault="00325718"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4</w:t>
            </w:r>
            <w:r w:rsidR="00E52906" w:rsidRPr="00347CDF">
              <w:rPr>
                <w:rFonts w:ascii="Arial" w:hAnsi="Arial" w:cs="Arial"/>
                <w:snapToGrid w:val="0"/>
                <w:color w:val="000000"/>
              </w:rPr>
              <w:t>2,565</w:t>
            </w:r>
          </w:p>
        </w:tc>
        <w:tc>
          <w:tcPr>
            <w:tcW w:w="1149" w:type="dxa"/>
          </w:tcPr>
          <w:p w:rsidR="0033033F" w:rsidRPr="003A2138" w:rsidRDefault="00B64DD8" w:rsidP="00EC635A">
            <w:pPr>
              <w:widowControl w:val="0"/>
              <w:tabs>
                <w:tab w:val="right" w:pos="7200"/>
              </w:tabs>
              <w:jc w:val="right"/>
              <w:rPr>
                <w:rFonts w:ascii="Arial" w:hAnsi="Arial" w:cs="Arial"/>
                <w:snapToGrid w:val="0"/>
                <w:color w:val="000000"/>
              </w:rPr>
            </w:pPr>
            <w:r>
              <w:rPr>
                <w:rFonts w:ascii="Arial" w:hAnsi="Arial" w:cs="Arial"/>
                <w:snapToGrid w:val="0"/>
                <w:color w:val="000000"/>
              </w:rPr>
              <w:t>405,064</w:t>
            </w:r>
          </w:p>
        </w:tc>
      </w:tr>
      <w:tr w:rsidR="00830E50" w:rsidRPr="003A2138" w:rsidTr="0042447D">
        <w:trPr>
          <w:trHeight w:val="648"/>
        </w:trPr>
        <w:tc>
          <w:tcPr>
            <w:tcW w:w="2520" w:type="dxa"/>
          </w:tcPr>
          <w:p w:rsidR="00830E50" w:rsidRPr="003A2138" w:rsidRDefault="00830E50" w:rsidP="00EC635A">
            <w:pPr>
              <w:widowControl w:val="0"/>
              <w:tabs>
                <w:tab w:val="right" w:pos="7200"/>
              </w:tabs>
              <w:rPr>
                <w:rFonts w:ascii="Arial" w:hAnsi="Arial" w:cs="Arial"/>
                <w:b/>
                <w:snapToGrid w:val="0"/>
                <w:color w:val="000000"/>
              </w:rPr>
            </w:pPr>
            <w:r w:rsidRPr="003A2138">
              <w:rPr>
                <w:rFonts w:ascii="Arial" w:hAnsi="Arial" w:cs="Arial"/>
                <w:b/>
                <w:snapToGrid w:val="0"/>
                <w:color w:val="000000"/>
              </w:rPr>
              <w:t>Pooled property investments</w:t>
            </w:r>
          </w:p>
        </w:tc>
        <w:tc>
          <w:tcPr>
            <w:tcW w:w="1200" w:type="dxa"/>
          </w:tcPr>
          <w:p w:rsidR="00830E50" w:rsidRPr="003A2138" w:rsidRDefault="008013F9" w:rsidP="00EC635A">
            <w:pPr>
              <w:widowControl w:val="0"/>
              <w:tabs>
                <w:tab w:val="right" w:pos="7200"/>
              </w:tabs>
              <w:jc w:val="right"/>
              <w:rPr>
                <w:rFonts w:ascii="Arial" w:hAnsi="Arial" w:cs="Arial"/>
                <w:snapToGrid w:val="0"/>
                <w:color w:val="000000"/>
              </w:rPr>
            </w:pPr>
            <w:r w:rsidRPr="003A2138">
              <w:rPr>
                <w:rFonts w:ascii="Arial" w:hAnsi="Arial" w:cs="Arial"/>
                <w:snapToGrid w:val="0"/>
                <w:color w:val="000000"/>
              </w:rPr>
              <w:t>34,739</w:t>
            </w:r>
          </w:p>
        </w:tc>
        <w:tc>
          <w:tcPr>
            <w:tcW w:w="1320" w:type="dxa"/>
          </w:tcPr>
          <w:p w:rsidR="00830E50" w:rsidRPr="00347CDF" w:rsidRDefault="00FD76D5"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0</w:t>
            </w:r>
          </w:p>
        </w:tc>
        <w:tc>
          <w:tcPr>
            <w:tcW w:w="1200" w:type="dxa"/>
          </w:tcPr>
          <w:p w:rsidR="00830E50" w:rsidRPr="00347CDF" w:rsidRDefault="00FD76D5"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0</w:t>
            </w:r>
          </w:p>
        </w:tc>
        <w:tc>
          <w:tcPr>
            <w:tcW w:w="1200" w:type="dxa"/>
          </w:tcPr>
          <w:p w:rsidR="00830E50" w:rsidRPr="00347CDF" w:rsidRDefault="00FD76D5"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-1,419</w:t>
            </w:r>
          </w:p>
        </w:tc>
        <w:tc>
          <w:tcPr>
            <w:tcW w:w="1149" w:type="dxa"/>
          </w:tcPr>
          <w:p w:rsidR="00830E50" w:rsidRPr="003A2138" w:rsidRDefault="00B64DD8" w:rsidP="00EC635A">
            <w:pPr>
              <w:widowControl w:val="0"/>
              <w:tabs>
                <w:tab w:val="right" w:pos="7200"/>
              </w:tabs>
              <w:jc w:val="right"/>
              <w:rPr>
                <w:rFonts w:ascii="Arial" w:hAnsi="Arial" w:cs="Arial"/>
                <w:snapToGrid w:val="0"/>
                <w:color w:val="000000"/>
              </w:rPr>
            </w:pPr>
            <w:r>
              <w:rPr>
                <w:rFonts w:ascii="Arial" w:hAnsi="Arial" w:cs="Arial"/>
                <w:snapToGrid w:val="0"/>
                <w:color w:val="000000"/>
              </w:rPr>
              <w:t>33,320</w:t>
            </w:r>
          </w:p>
        </w:tc>
      </w:tr>
      <w:tr w:rsidR="00830E50" w:rsidRPr="003A2138" w:rsidTr="006F2671">
        <w:trPr>
          <w:trHeight w:val="489"/>
        </w:trPr>
        <w:tc>
          <w:tcPr>
            <w:tcW w:w="2520" w:type="dxa"/>
          </w:tcPr>
          <w:p w:rsidR="00830E50" w:rsidRPr="003A2138" w:rsidRDefault="00A77A11" w:rsidP="00EC635A">
            <w:pPr>
              <w:widowControl w:val="0"/>
              <w:tabs>
                <w:tab w:val="right" w:pos="7200"/>
              </w:tabs>
              <w:rPr>
                <w:rFonts w:ascii="Arial" w:hAnsi="Arial" w:cs="Arial"/>
                <w:b/>
                <w:snapToGrid w:val="0"/>
                <w:color w:val="000000"/>
              </w:rPr>
            </w:pPr>
            <w:r w:rsidRPr="003A2138">
              <w:rPr>
                <w:rFonts w:ascii="Arial" w:hAnsi="Arial" w:cs="Arial"/>
                <w:b/>
                <w:snapToGrid w:val="0"/>
                <w:color w:val="000000"/>
              </w:rPr>
              <w:t>Private equity/infrastructure</w:t>
            </w:r>
          </w:p>
        </w:tc>
        <w:tc>
          <w:tcPr>
            <w:tcW w:w="1200" w:type="dxa"/>
          </w:tcPr>
          <w:p w:rsidR="00830E50" w:rsidRPr="003A2138" w:rsidRDefault="008013F9" w:rsidP="00EC635A">
            <w:pPr>
              <w:widowControl w:val="0"/>
              <w:tabs>
                <w:tab w:val="right" w:pos="7200"/>
              </w:tabs>
              <w:jc w:val="right"/>
              <w:rPr>
                <w:rFonts w:ascii="Arial" w:hAnsi="Arial" w:cs="Arial"/>
                <w:snapToGrid w:val="0"/>
                <w:color w:val="000000"/>
              </w:rPr>
            </w:pPr>
            <w:r w:rsidRPr="003A2138">
              <w:rPr>
                <w:rFonts w:ascii="Arial" w:hAnsi="Arial" w:cs="Arial"/>
                <w:snapToGrid w:val="0"/>
                <w:color w:val="000000"/>
              </w:rPr>
              <w:t>8</w:t>
            </w:r>
            <w:r w:rsidR="00865F15">
              <w:rPr>
                <w:rFonts w:ascii="Arial" w:hAnsi="Arial" w:cs="Arial"/>
                <w:snapToGrid w:val="0"/>
                <w:color w:val="000000"/>
              </w:rPr>
              <w:t>0,729</w:t>
            </w:r>
          </w:p>
        </w:tc>
        <w:tc>
          <w:tcPr>
            <w:tcW w:w="1320" w:type="dxa"/>
          </w:tcPr>
          <w:p w:rsidR="00830E50" w:rsidRPr="00347CDF" w:rsidRDefault="00497EA7"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25,306</w:t>
            </w:r>
          </w:p>
        </w:tc>
        <w:tc>
          <w:tcPr>
            <w:tcW w:w="1200" w:type="dxa"/>
          </w:tcPr>
          <w:p w:rsidR="00830E50" w:rsidRPr="00347CDF" w:rsidRDefault="00497EA7"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-10,216</w:t>
            </w:r>
          </w:p>
        </w:tc>
        <w:tc>
          <w:tcPr>
            <w:tcW w:w="1200" w:type="dxa"/>
          </w:tcPr>
          <w:p w:rsidR="00830E50" w:rsidRPr="00347CDF" w:rsidRDefault="00E53579" w:rsidP="00EC635A">
            <w:pPr>
              <w:widowControl w:val="0"/>
              <w:tabs>
                <w:tab w:val="right" w:pos="7200"/>
              </w:tabs>
              <w:jc w:val="right"/>
              <w:rPr>
                <w:rFonts w:ascii="Arial" w:hAnsi="Arial" w:cs="Arial"/>
                <w:snapToGrid w:val="0"/>
                <w:color w:val="000000"/>
              </w:rPr>
            </w:pPr>
            <w:r w:rsidRPr="00347CDF">
              <w:rPr>
                <w:rFonts w:ascii="Arial" w:hAnsi="Arial" w:cs="Arial"/>
                <w:snapToGrid w:val="0"/>
                <w:color w:val="000000"/>
              </w:rPr>
              <w:t>4,094</w:t>
            </w:r>
          </w:p>
        </w:tc>
        <w:tc>
          <w:tcPr>
            <w:tcW w:w="1149" w:type="dxa"/>
          </w:tcPr>
          <w:p w:rsidR="00830E50" w:rsidRPr="003A2138" w:rsidRDefault="00B64DD8" w:rsidP="00EC635A">
            <w:pPr>
              <w:widowControl w:val="0"/>
              <w:tabs>
                <w:tab w:val="right" w:pos="7200"/>
              </w:tabs>
              <w:jc w:val="right"/>
              <w:rPr>
                <w:rFonts w:ascii="Arial" w:hAnsi="Arial" w:cs="Arial"/>
                <w:snapToGrid w:val="0"/>
                <w:color w:val="000000"/>
              </w:rPr>
            </w:pPr>
            <w:r>
              <w:rPr>
                <w:rFonts w:ascii="Arial" w:hAnsi="Arial" w:cs="Arial"/>
                <w:snapToGrid w:val="0"/>
                <w:color w:val="000000"/>
              </w:rPr>
              <w:t>9</w:t>
            </w:r>
            <w:r w:rsidR="00024211">
              <w:rPr>
                <w:rFonts w:ascii="Arial" w:hAnsi="Arial" w:cs="Arial"/>
                <w:snapToGrid w:val="0"/>
                <w:color w:val="000000"/>
              </w:rPr>
              <w:t>9,913</w:t>
            </w:r>
          </w:p>
        </w:tc>
      </w:tr>
      <w:tr w:rsidR="001A6087" w:rsidRPr="003A2138" w:rsidTr="006F2671">
        <w:trPr>
          <w:trHeight w:val="489"/>
        </w:trPr>
        <w:tc>
          <w:tcPr>
            <w:tcW w:w="2520" w:type="dxa"/>
          </w:tcPr>
          <w:p w:rsidR="001A6087" w:rsidRPr="003A2138" w:rsidRDefault="001A6087" w:rsidP="00EC635A">
            <w:pPr>
              <w:widowControl w:val="0"/>
              <w:tabs>
                <w:tab w:val="right" w:pos="7200"/>
              </w:tabs>
              <w:rPr>
                <w:rFonts w:ascii="Arial" w:hAnsi="Arial" w:cs="Arial"/>
                <w:b/>
                <w:snapToGrid w:val="0"/>
                <w:color w:val="000000"/>
              </w:rPr>
            </w:pPr>
          </w:p>
        </w:tc>
        <w:tc>
          <w:tcPr>
            <w:tcW w:w="1200" w:type="dxa"/>
          </w:tcPr>
          <w:p w:rsidR="001A6087" w:rsidRPr="003A2138" w:rsidRDefault="001A6087" w:rsidP="00EC635A">
            <w:pPr>
              <w:widowControl w:val="0"/>
              <w:tabs>
                <w:tab w:val="right" w:pos="7200"/>
              </w:tabs>
              <w:jc w:val="right"/>
              <w:rPr>
                <w:rFonts w:ascii="Arial" w:hAnsi="Arial" w:cs="Arial"/>
                <w:snapToGrid w:val="0"/>
                <w:color w:val="000000"/>
              </w:rPr>
            </w:pPr>
          </w:p>
        </w:tc>
        <w:tc>
          <w:tcPr>
            <w:tcW w:w="1320" w:type="dxa"/>
          </w:tcPr>
          <w:p w:rsidR="001A6087" w:rsidRPr="00347CDF" w:rsidRDefault="001A6087" w:rsidP="00EC635A">
            <w:pPr>
              <w:widowControl w:val="0"/>
              <w:tabs>
                <w:tab w:val="right" w:pos="7200"/>
              </w:tabs>
              <w:jc w:val="right"/>
              <w:rPr>
                <w:rFonts w:ascii="Arial" w:hAnsi="Arial" w:cs="Arial"/>
                <w:snapToGrid w:val="0"/>
                <w:color w:val="000000"/>
              </w:rPr>
            </w:pPr>
          </w:p>
        </w:tc>
        <w:tc>
          <w:tcPr>
            <w:tcW w:w="1200" w:type="dxa"/>
          </w:tcPr>
          <w:p w:rsidR="001A6087" w:rsidRPr="00347CDF" w:rsidRDefault="001A6087" w:rsidP="00EC635A">
            <w:pPr>
              <w:widowControl w:val="0"/>
              <w:tabs>
                <w:tab w:val="right" w:pos="7200"/>
              </w:tabs>
              <w:jc w:val="right"/>
              <w:rPr>
                <w:rFonts w:ascii="Arial" w:hAnsi="Arial" w:cs="Arial"/>
                <w:snapToGrid w:val="0"/>
                <w:color w:val="000000"/>
              </w:rPr>
            </w:pPr>
          </w:p>
        </w:tc>
        <w:tc>
          <w:tcPr>
            <w:tcW w:w="1200" w:type="dxa"/>
          </w:tcPr>
          <w:p w:rsidR="001A6087" w:rsidRPr="00347CDF" w:rsidRDefault="001A6087" w:rsidP="00EC635A">
            <w:pPr>
              <w:widowControl w:val="0"/>
              <w:tabs>
                <w:tab w:val="right" w:pos="7200"/>
              </w:tabs>
              <w:jc w:val="right"/>
              <w:rPr>
                <w:rFonts w:ascii="Arial" w:hAnsi="Arial" w:cs="Arial"/>
                <w:snapToGrid w:val="0"/>
                <w:color w:val="000000"/>
              </w:rPr>
            </w:pPr>
          </w:p>
        </w:tc>
        <w:tc>
          <w:tcPr>
            <w:tcW w:w="1149" w:type="dxa"/>
          </w:tcPr>
          <w:p w:rsidR="001A6087" w:rsidRPr="003A2138" w:rsidRDefault="001A6087" w:rsidP="00EC635A">
            <w:pPr>
              <w:widowControl w:val="0"/>
              <w:tabs>
                <w:tab w:val="right" w:pos="7200"/>
              </w:tabs>
              <w:jc w:val="right"/>
              <w:rPr>
                <w:rFonts w:ascii="Arial" w:hAnsi="Arial" w:cs="Arial"/>
                <w:snapToGrid w:val="0"/>
                <w:color w:val="000000"/>
              </w:rPr>
            </w:pPr>
          </w:p>
        </w:tc>
      </w:tr>
      <w:tr w:rsidR="00830E50" w:rsidRPr="003A2138" w:rsidTr="006F2671">
        <w:trPr>
          <w:trHeight w:val="421"/>
        </w:trPr>
        <w:tc>
          <w:tcPr>
            <w:tcW w:w="2520" w:type="dxa"/>
          </w:tcPr>
          <w:p w:rsidR="00830E50" w:rsidRPr="003A2138" w:rsidRDefault="00830E50" w:rsidP="00EC635A">
            <w:pPr>
              <w:widowControl w:val="0"/>
              <w:tabs>
                <w:tab w:val="right" w:pos="7200"/>
              </w:tabs>
              <w:rPr>
                <w:rFonts w:ascii="Arial" w:hAnsi="Arial" w:cs="Arial"/>
                <w:snapToGrid w:val="0"/>
                <w:color w:val="000000"/>
              </w:rPr>
            </w:pPr>
          </w:p>
        </w:tc>
        <w:tc>
          <w:tcPr>
            <w:tcW w:w="1200" w:type="dxa"/>
            <w:tcBorders>
              <w:top w:val="single" w:sz="4" w:space="0" w:color="auto"/>
            </w:tcBorders>
          </w:tcPr>
          <w:p w:rsidR="00830E50" w:rsidRPr="003A2138" w:rsidRDefault="00DA6429"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484,28</w:t>
            </w:r>
            <w:r w:rsidR="00E159CF">
              <w:rPr>
                <w:rFonts w:ascii="Arial" w:hAnsi="Arial" w:cs="Arial"/>
                <w:b/>
                <w:snapToGrid w:val="0"/>
                <w:color w:val="000000"/>
              </w:rPr>
              <w:t>0</w:t>
            </w:r>
          </w:p>
        </w:tc>
        <w:tc>
          <w:tcPr>
            <w:tcW w:w="1320" w:type="dxa"/>
            <w:tcBorders>
              <w:top w:val="single" w:sz="4" w:space="0" w:color="auto"/>
            </w:tcBorders>
          </w:tcPr>
          <w:p w:rsidR="00830E50" w:rsidRPr="00347CDF" w:rsidRDefault="00E52906" w:rsidP="00EC635A">
            <w:pPr>
              <w:widowControl w:val="0"/>
              <w:tabs>
                <w:tab w:val="right" w:pos="7200"/>
              </w:tabs>
              <w:jc w:val="right"/>
              <w:rPr>
                <w:rFonts w:ascii="Arial" w:hAnsi="Arial" w:cs="Arial"/>
                <w:b/>
                <w:snapToGrid w:val="0"/>
                <w:color w:val="000000"/>
              </w:rPr>
            </w:pPr>
            <w:r w:rsidRPr="00347CDF">
              <w:rPr>
                <w:rFonts w:ascii="Arial" w:hAnsi="Arial" w:cs="Arial"/>
                <w:b/>
                <w:snapToGrid w:val="0"/>
                <w:color w:val="000000"/>
              </w:rPr>
              <w:t>300,544</w:t>
            </w:r>
          </w:p>
        </w:tc>
        <w:tc>
          <w:tcPr>
            <w:tcW w:w="1200" w:type="dxa"/>
            <w:tcBorders>
              <w:top w:val="single" w:sz="4" w:space="0" w:color="auto"/>
            </w:tcBorders>
          </w:tcPr>
          <w:p w:rsidR="00830E50" w:rsidRPr="00347CDF" w:rsidRDefault="00384E5D" w:rsidP="00EC635A">
            <w:pPr>
              <w:widowControl w:val="0"/>
              <w:tabs>
                <w:tab w:val="right" w:pos="7200"/>
              </w:tabs>
              <w:jc w:val="right"/>
              <w:rPr>
                <w:rFonts w:ascii="Arial" w:hAnsi="Arial" w:cs="Arial"/>
                <w:b/>
                <w:snapToGrid w:val="0"/>
                <w:color w:val="000000"/>
              </w:rPr>
            </w:pPr>
            <w:r w:rsidRPr="00347CDF">
              <w:rPr>
                <w:rFonts w:ascii="Arial" w:hAnsi="Arial" w:cs="Arial"/>
                <w:b/>
                <w:snapToGrid w:val="0"/>
                <w:color w:val="000000"/>
              </w:rPr>
              <w:t>-291,767</w:t>
            </w:r>
          </w:p>
        </w:tc>
        <w:tc>
          <w:tcPr>
            <w:tcW w:w="1200" w:type="dxa"/>
            <w:tcBorders>
              <w:top w:val="single" w:sz="4" w:space="0" w:color="auto"/>
            </w:tcBorders>
          </w:tcPr>
          <w:p w:rsidR="00830E50" w:rsidRPr="00347CDF" w:rsidRDefault="0011778E" w:rsidP="00EC635A">
            <w:pPr>
              <w:widowControl w:val="0"/>
              <w:tabs>
                <w:tab w:val="right" w:pos="7200"/>
              </w:tabs>
              <w:jc w:val="right"/>
              <w:rPr>
                <w:rFonts w:ascii="Arial" w:hAnsi="Arial" w:cs="Arial"/>
                <w:b/>
                <w:snapToGrid w:val="0"/>
                <w:color w:val="000000"/>
              </w:rPr>
            </w:pPr>
            <w:r w:rsidRPr="00347CDF">
              <w:rPr>
                <w:rFonts w:ascii="Arial" w:hAnsi="Arial" w:cs="Arial"/>
                <w:b/>
                <w:snapToGrid w:val="0"/>
                <w:color w:val="000000"/>
              </w:rPr>
              <w:t>45,240</w:t>
            </w:r>
          </w:p>
        </w:tc>
        <w:tc>
          <w:tcPr>
            <w:tcW w:w="1149" w:type="dxa"/>
            <w:tcBorders>
              <w:top w:val="single" w:sz="4" w:space="0" w:color="auto"/>
            </w:tcBorders>
          </w:tcPr>
          <w:p w:rsidR="00830E50" w:rsidRPr="003A2138" w:rsidRDefault="00B64DD8" w:rsidP="00EC635A">
            <w:pPr>
              <w:widowControl w:val="0"/>
              <w:tabs>
                <w:tab w:val="right" w:pos="7200"/>
              </w:tabs>
              <w:jc w:val="right"/>
              <w:rPr>
                <w:rFonts w:ascii="Arial" w:hAnsi="Arial" w:cs="Arial"/>
                <w:b/>
                <w:snapToGrid w:val="0"/>
                <w:color w:val="000000"/>
              </w:rPr>
            </w:pPr>
            <w:r>
              <w:rPr>
                <w:rFonts w:ascii="Arial" w:hAnsi="Arial" w:cs="Arial"/>
                <w:b/>
                <w:snapToGrid w:val="0"/>
                <w:color w:val="000000"/>
              </w:rPr>
              <w:t>53</w:t>
            </w:r>
            <w:r w:rsidR="00024211">
              <w:rPr>
                <w:rFonts w:ascii="Arial" w:hAnsi="Arial" w:cs="Arial"/>
                <w:b/>
                <w:snapToGrid w:val="0"/>
                <w:color w:val="000000"/>
              </w:rPr>
              <w:t>8,297</w:t>
            </w:r>
          </w:p>
        </w:tc>
      </w:tr>
      <w:tr w:rsidR="00830E50" w:rsidRPr="003A2138" w:rsidTr="006F2671">
        <w:trPr>
          <w:trHeight w:val="571"/>
        </w:trPr>
        <w:tc>
          <w:tcPr>
            <w:tcW w:w="2520" w:type="dxa"/>
          </w:tcPr>
          <w:p w:rsidR="00830E50" w:rsidRPr="003A2138" w:rsidRDefault="00B51172" w:rsidP="00EC635A">
            <w:pPr>
              <w:widowControl w:val="0"/>
              <w:tabs>
                <w:tab w:val="right" w:pos="7200"/>
              </w:tabs>
              <w:rPr>
                <w:rFonts w:ascii="Arial" w:hAnsi="Arial" w:cs="Arial"/>
                <w:b/>
                <w:snapToGrid w:val="0"/>
                <w:color w:val="000000"/>
              </w:rPr>
            </w:pPr>
            <w:r w:rsidRPr="003A2138">
              <w:rPr>
                <w:rFonts w:ascii="Arial" w:hAnsi="Arial" w:cs="Arial"/>
                <w:b/>
                <w:snapToGrid w:val="0"/>
                <w:color w:val="000000"/>
              </w:rPr>
              <w:t>Other investment balances</w:t>
            </w:r>
            <w:r w:rsidR="00830E50" w:rsidRPr="003A2138">
              <w:rPr>
                <w:rFonts w:ascii="Arial" w:hAnsi="Arial" w:cs="Arial"/>
                <w:b/>
                <w:snapToGrid w:val="0"/>
                <w:color w:val="000000"/>
              </w:rPr>
              <w:t>:</w:t>
            </w:r>
          </w:p>
        </w:tc>
        <w:tc>
          <w:tcPr>
            <w:tcW w:w="1200" w:type="dxa"/>
          </w:tcPr>
          <w:p w:rsidR="00830E50" w:rsidRPr="003A2138" w:rsidRDefault="00830E50" w:rsidP="00EC635A">
            <w:pPr>
              <w:widowControl w:val="0"/>
              <w:tabs>
                <w:tab w:val="right" w:pos="7200"/>
              </w:tabs>
              <w:jc w:val="right"/>
              <w:rPr>
                <w:rFonts w:ascii="Arial" w:hAnsi="Arial" w:cs="Arial"/>
                <w:snapToGrid w:val="0"/>
                <w:color w:val="000000"/>
              </w:rPr>
            </w:pPr>
          </w:p>
        </w:tc>
        <w:tc>
          <w:tcPr>
            <w:tcW w:w="1320" w:type="dxa"/>
          </w:tcPr>
          <w:p w:rsidR="00830E50" w:rsidRPr="003A2138" w:rsidRDefault="00830E50" w:rsidP="00EC635A">
            <w:pPr>
              <w:widowControl w:val="0"/>
              <w:tabs>
                <w:tab w:val="right" w:pos="7200"/>
              </w:tabs>
              <w:jc w:val="right"/>
              <w:rPr>
                <w:rFonts w:ascii="Arial" w:hAnsi="Arial" w:cs="Arial"/>
                <w:snapToGrid w:val="0"/>
                <w:color w:val="000000"/>
              </w:rPr>
            </w:pPr>
          </w:p>
        </w:tc>
        <w:tc>
          <w:tcPr>
            <w:tcW w:w="1200" w:type="dxa"/>
          </w:tcPr>
          <w:p w:rsidR="00830E50" w:rsidRPr="003A2138" w:rsidRDefault="00830E50" w:rsidP="00EC635A">
            <w:pPr>
              <w:widowControl w:val="0"/>
              <w:tabs>
                <w:tab w:val="right" w:pos="7200"/>
              </w:tabs>
              <w:jc w:val="right"/>
              <w:rPr>
                <w:rFonts w:ascii="Arial" w:hAnsi="Arial" w:cs="Arial"/>
                <w:snapToGrid w:val="0"/>
                <w:color w:val="000000"/>
              </w:rPr>
            </w:pPr>
          </w:p>
        </w:tc>
        <w:tc>
          <w:tcPr>
            <w:tcW w:w="1200" w:type="dxa"/>
          </w:tcPr>
          <w:p w:rsidR="00830E50" w:rsidRPr="003A2138" w:rsidRDefault="00830E50" w:rsidP="00EC635A">
            <w:pPr>
              <w:widowControl w:val="0"/>
              <w:tabs>
                <w:tab w:val="right" w:pos="7200"/>
              </w:tabs>
              <w:jc w:val="right"/>
              <w:rPr>
                <w:rFonts w:ascii="Arial" w:hAnsi="Arial" w:cs="Arial"/>
                <w:snapToGrid w:val="0"/>
                <w:color w:val="000000"/>
              </w:rPr>
            </w:pPr>
          </w:p>
        </w:tc>
        <w:tc>
          <w:tcPr>
            <w:tcW w:w="1149" w:type="dxa"/>
          </w:tcPr>
          <w:p w:rsidR="00830E50" w:rsidRPr="003A2138" w:rsidRDefault="00830E50" w:rsidP="00EC635A">
            <w:pPr>
              <w:widowControl w:val="0"/>
              <w:tabs>
                <w:tab w:val="right" w:pos="7200"/>
              </w:tabs>
              <w:jc w:val="right"/>
              <w:rPr>
                <w:rFonts w:ascii="Arial" w:hAnsi="Arial" w:cs="Arial"/>
                <w:snapToGrid w:val="0"/>
                <w:color w:val="000000"/>
              </w:rPr>
            </w:pPr>
          </w:p>
        </w:tc>
      </w:tr>
      <w:tr w:rsidR="000C4E5F" w:rsidRPr="003A2138" w:rsidTr="006F2671">
        <w:trPr>
          <w:trHeight w:val="488"/>
        </w:trPr>
        <w:tc>
          <w:tcPr>
            <w:tcW w:w="2520" w:type="dxa"/>
          </w:tcPr>
          <w:p w:rsidR="000C4E5F" w:rsidRPr="003A2138" w:rsidRDefault="007A3F3B" w:rsidP="00E73B9F">
            <w:pPr>
              <w:widowControl w:val="0"/>
              <w:tabs>
                <w:tab w:val="right" w:pos="7200"/>
              </w:tabs>
              <w:rPr>
                <w:rFonts w:ascii="Arial" w:hAnsi="Arial" w:cs="Arial"/>
                <w:b/>
                <w:snapToGrid w:val="0"/>
                <w:color w:val="000000"/>
              </w:rPr>
            </w:pPr>
            <w:r w:rsidRPr="003A2138">
              <w:rPr>
                <w:rFonts w:ascii="Arial" w:hAnsi="Arial" w:cs="Arial"/>
                <w:b/>
                <w:snapToGrid w:val="0"/>
                <w:color w:val="000000"/>
              </w:rPr>
              <w:t>Investment income due</w:t>
            </w:r>
          </w:p>
        </w:tc>
        <w:tc>
          <w:tcPr>
            <w:tcW w:w="1200" w:type="dxa"/>
          </w:tcPr>
          <w:p w:rsidR="000C4E5F" w:rsidRDefault="007A3F3B" w:rsidP="00E73B9F">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544</w:t>
            </w:r>
          </w:p>
          <w:p w:rsidR="00A5174F" w:rsidRDefault="00A5174F" w:rsidP="00E73B9F">
            <w:pPr>
              <w:widowControl w:val="0"/>
              <w:tabs>
                <w:tab w:val="right" w:pos="7200"/>
              </w:tabs>
              <w:jc w:val="right"/>
              <w:rPr>
                <w:rFonts w:ascii="Arial" w:hAnsi="Arial" w:cs="Arial"/>
                <w:b/>
                <w:snapToGrid w:val="0"/>
                <w:color w:val="000000"/>
              </w:rPr>
            </w:pPr>
          </w:p>
          <w:p w:rsidR="00A5174F" w:rsidRPr="003A2138" w:rsidRDefault="00A5174F" w:rsidP="00E73B9F">
            <w:pPr>
              <w:widowControl w:val="0"/>
              <w:tabs>
                <w:tab w:val="right" w:pos="7200"/>
              </w:tabs>
              <w:jc w:val="right"/>
              <w:rPr>
                <w:rFonts w:ascii="Arial" w:hAnsi="Arial" w:cs="Arial"/>
                <w:b/>
                <w:snapToGrid w:val="0"/>
                <w:color w:val="000000"/>
              </w:rPr>
            </w:pPr>
          </w:p>
        </w:tc>
        <w:tc>
          <w:tcPr>
            <w:tcW w:w="1320" w:type="dxa"/>
          </w:tcPr>
          <w:p w:rsidR="000C4E5F" w:rsidRPr="003A2138" w:rsidRDefault="000C4E5F" w:rsidP="00E73B9F">
            <w:pPr>
              <w:widowControl w:val="0"/>
              <w:tabs>
                <w:tab w:val="right" w:pos="7200"/>
              </w:tabs>
              <w:jc w:val="right"/>
              <w:rPr>
                <w:rFonts w:ascii="Arial" w:hAnsi="Arial" w:cs="Arial"/>
                <w:b/>
                <w:snapToGrid w:val="0"/>
                <w:color w:val="000000"/>
              </w:rPr>
            </w:pPr>
          </w:p>
        </w:tc>
        <w:tc>
          <w:tcPr>
            <w:tcW w:w="1200" w:type="dxa"/>
          </w:tcPr>
          <w:p w:rsidR="000C4E5F" w:rsidRPr="003A2138" w:rsidRDefault="000C4E5F" w:rsidP="00E73B9F">
            <w:pPr>
              <w:widowControl w:val="0"/>
              <w:tabs>
                <w:tab w:val="right" w:pos="7200"/>
              </w:tabs>
              <w:jc w:val="right"/>
              <w:rPr>
                <w:rFonts w:ascii="Arial" w:hAnsi="Arial" w:cs="Arial"/>
                <w:b/>
                <w:snapToGrid w:val="0"/>
                <w:color w:val="000000"/>
              </w:rPr>
            </w:pPr>
          </w:p>
        </w:tc>
        <w:tc>
          <w:tcPr>
            <w:tcW w:w="1200" w:type="dxa"/>
          </w:tcPr>
          <w:p w:rsidR="000C4E5F" w:rsidRPr="003A2138" w:rsidRDefault="000C4E5F" w:rsidP="00E73B9F">
            <w:pPr>
              <w:widowControl w:val="0"/>
              <w:tabs>
                <w:tab w:val="right" w:pos="7200"/>
              </w:tabs>
              <w:jc w:val="right"/>
              <w:rPr>
                <w:rFonts w:ascii="Arial" w:hAnsi="Arial" w:cs="Arial"/>
                <w:b/>
                <w:snapToGrid w:val="0"/>
                <w:color w:val="000000"/>
              </w:rPr>
            </w:pPr>
          </w:p>
        </w:tc>
        <w:tc>
          <w:tcPr>
            <w:tcW w:w="1149" w:type="dxa"/>
          </w:tcPr>
          <w:p w:rsidR="000C4E5F" w:rsidRPr="003A2138" w:rsidRDefault="005922EB" w:rsidP="00E73B9F">
            <w:pPr>
              <w:widowControl w:val="0"/>
              <w:tabs>
                <w:tab w:val="right" w:pos="7200"/>
              </w:tabs>
              <w:jc w:val="right"/>
              <w:rPr>
                <w:rFonts w:ascii="Arial" w:hAnsi="Arial" w:cs="Arial"/>
                <w:b/>
                <w:snapToGrid w:val="0"/>
                <w:color w:val="000000"/>
              </w:rPr>
            </w:pPr>
            <w:r>
              <w:rPr>
                <w:rFonts w:ascii="Arial" w:hAnsi="Arial" w:cs="Arial"/>
                <w:b/>
                <w:snapToGrid w:val="0"/>
                <w:color w:val="000000"/>
              </w:rPr>
              <w:t>0</w:t>
            </w:r>
          </w:p>
        </w:tc>
      </w:tr>
      <w:tr w:rsidR="00731D09" w:rsidRPr="003D2F7A" w:rsidTr="00FE16D6">
        <w:trPr>
          <w:trHeight w:val="272"/>
        </w:trPr>
        <w:tc>
          <w:tcPr>
            <w:tcW w:w="2520" w:type="dxa"/>
          </w:tcPr>
          <w:p w:rsidR="00731D09" w:rsidRPr="003A2138" w:rsidRDefault="00731D09" w:rsidP="00EC635A">
            <w:pPr>
              <w:widowControl w:val="0"/>
              <w:tabs>
                <w:tab w:val="right" w:pos="7200"/>
              </w:tabs>
              <w:rPr>
                <w:rFonts w:ascii="Arial" w:hAnsi="Arial" w:cs="Arial"/>
                <w:b/>
                <w:snapToGrid w:val="0"/>
                <w:color w:val="000000"/>
              </w:rPr>
            </w:pPr>
            <w:r w:rsidRPr="003A2138">
              <w:rPr>
                <w:rFonts w:ascii="Arial" w:hAnsi="Arial" w:cs="Arial"/>
                <w:b/>
                <w:snapToGrid w:val="0"/>
                <w:color w:val="000000"/>
              </w:rPr>
              <w:t>Net investment assets</w:t>
            </w:r>
          </w:p>
        </w:tc>
        <w:tc>
          <w:tcPr>
            <w:tcW w:w="1200" w:type="dxa"/>
            <w:tcBorders>
              <w:top w:val="single" w:sz="4" w:space="0" w:color="auto"/>
              <w:bottom w:val="single" w:sz="4" w:space="0" w:color="auto"/>
            </w:tcBorders>
          </w:tcPr>
          <w:p w:rsidR="00731D09" w:rsidRPr="003A2138" w:rsidRDefault="00DA6429" w:rsidP="00EC635A">
            <w:pPr>
              <w:widowControl w:val="0"/>
              <w:tabs>
                <w:tab w:val="right" w:pos="7200"/>
              </w:tabs>
              <w:jc w:val="right"/>
              <w:rPr>
                <w:rFonts w:ascii="Arial" w:hAnsi="Arial" w:cs="Arial"/>
                <w:b/>
                <w:snapToGrid w:val="0"/>
                <w:color w:val="000000"/>
              </w:rPr>
            </w:pPr>
            <w:r w:rsidRPr="003A2138">
              <w:rPr>
                <w:rFonts w:ascii="Arial" w:hAnsi="Arial" w:cs="Arial"/>
                <w:b/>
                <w:snapToGrid w:val="0"/>
                <w:color w:val="000000"/>
              </w:rPr>
              <w:t>4</w:t>
            </w:r>
            <w:r w:rsidR="00A5174F">
              <w:rPr>
                <w:rFonts w:ascii="Arial" w:hAnsi="Arial" w:cs="Arial"/>
                <w:b/>
                <w:snapToGrid w:val="0"/>
                <w:color w:val="000000"/>
              </w:rPr>
              <w:t>84,82</w:t>
            </w:r>
            <w:r w:rsidR="00E159CF">
              <w:rPr>
                <w:rFonts w:ascii="Arial" w:hAnsi="Arial" w:cs="Arial"/>
                <w:b/>
                <w:snapToGrid w:val="0"/>
                <w:color w:val="000000"/>
              </w:rPr>
              <w:t>4</w:t>
            </w:r>
          </w:p>
        </w:tc>
        <w:tc>
          <w:tcPr>
            <w:tcW w:w="1320" w:type="dxa"/>
          </w:tcPr>
          <w:p w:rsidR="00731D09" w:rsidRPr="003A2138" w:rsidRDefault="00731D09" w:rsidP="00EC635A">
            <w:pPr>
              <w:widowControl w:val="0"/>
              <w:tabs>
                <w:tab w:val="right" w:pos="7200"/>
              </w:tabs>
              <w:jc w:val="right"/>
              <w:rPr>
                <w:rFonts w:ascii="Arial" w:hAnsi="Arial" w:cs="Arial"/>
                <w:b/>
                <w:snapToGrid w:val="0"/>
                <w:color w:val="000000"/>
              </w:rPr>
            </w:pPr>
          </w:p>
        </w:tc>
        <w:tc>
          <w:tcPr>
            <w:tcW w:w="1200" w:type="dxa"/>
          </w:tcPr>
          <w:p w:rsidR="00731D09" w:rsidRPr="003A2138" w:rsidRDefault="00731D09" w:rsidP="00E20D7D">
            <w:pPr>
              <w:widowControl w:val="0"/>
              <w:tabs>
                <w:tab w:val="right" w:pos="7200"/>
              </w:tabs>
              <w:jc w:val="right"/>
              <w:rPr>
                <w:rFonts w:ascii="Arial" w:hAnsi="Arial" w:cs="Arial"/>
                <w:b/>
                <w:snapToGrid w:val="0"/>
                <w:color w:val="000000"/>
              </w:rPr>
            </w:pPr>
          </w:p>
        </w:tc>
        <w:tc>
          <w:tcPr>
            <w:tcW w:w="1200" w:type="dxa"/>
          </w:tcPr>
          <w:p w:rsidR="00731D09" w:rsidRPr="003A2138" w:rsidRDefault="00731D09" w:rsidP="00E20D7D">
            <w:pPr>
              <w:widowControl w:val="0"/>
              <w:tabs>
                <w:tab w:val="right" w:pos="7200"/>
              </w:tabs>
              <w:jc w:val="right"/>
              <w:rPr>
                <w:rFonts w:ascii="Arial" w:hAnsi="Arial" w:cs="Arial"/>
                <w:b/>
                <w:snapToGrid w:val="0"/>
                <w:color w:val="000000"/>
              </w:rPr>
            </w:pPr>
          </w:p>
        </w:tc>
        <w:tc>
          <w:tcPr>
            <w:tcW w:w="1149" w:type="dxa"/>
            <w:tcBorders>
              <w:top w:val="single" w:sz="4" w:space="0" w:color="auto"/>
              <w:bottom w:val="single" w:sz="4" w:space="0" w:color="auto"/>
            </w:tcBorders>
          </w:tcPr>
          <w:p w:rsidR="00731D09" w:rsidRPr="003A2138" w:rsidRDefault="00B64DD8" w:rsidP="00EC635A">
            <w:pPr>
              <w:widowControl w:val="0"/>
              <w:tabs>
                <w:tab w:val="right" w:pos="7200"/>
              </w:tabs>
              <w:jc w:val="right"/>
              <w:rPr>
                <w:rFonts w:ascii="Arial" w:hAnsi="Arial" w:cs="Arial"/>
                <w:b/>
                <w:snapToGrid w:val="0"/>
                <w:color w:val="000000"/>
              </w:rPr>
            </w:pPr>
            <w:r>
              <w:rPr>
                <w:rFonts w:ascii="Arial" w:hAnsi="Arial" w:cs="Arial"/>
                <w:b/>
                <w:snapToGrid w:val="0"/>
                <w:color w:val="000000"/>
              </w:rPr>
              <w:t>53</w:t>
            </w:r>
            <w:r w:rsidR="00024211">
              <w:rPr>
                <w:rFonts w:ascii="Arial" w:hAnsi="Arial" w:cs="Arial"/>
                <w:b/>
                <w:snapToGrid w:val="0"/>
                <w:color w:val="000000"/>
              </w:rPr>
              <w:t>8,297</w:t>
            </w:r>
          </w:p>
        </w:tc>
      </w:tr>
    </w:tbl>
    <w:p w:rsidR="00941C39" w:rsidRPr="003D2F7A" w:rsidRDefault="00941C39"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364180" w:rsidP="00941C39">
      <w:pPr>
        <w:widowControl w:val="0"/>
        <w:tabs>
          <w:tab w:val="right" w:pos="7200"/>
        </w:tabs>
        <w:rPr>
          <w:rFonts w:ascii="Arial" w:hAnsi="Arial" w:cs="Arial"/>
          <w:snapToGrid w:val="0"/>
          <w:color w:val="000000"/>
          <w:sz w:val="24"/>
          <w:highlight w:val="yellow"/>
        </w:rPr>
      </w:pPr>
      <w:r w:rsidRPr="003D2F7A">
        <w:rPr>
          <w:rFonts w:ascii="Arial" w:hAnsi="Arial" w:cs="Arial"/>
          <w:snapToGrid w:val="0"/>
          <w:color w:val="000000"/>
          <w:sz w:val="24"/>
          <w:highlight w:val="yellow"/>
        </w:rPr>
        <w:br w:type="page"/>
      </w:r>
    </w:p>
    <w:tbl>
      <w:tblPr>
        <w:tblW w:w="8589" w:type="dxa"/>
        <w:tblInd w:w="-132" w:type="dxa"/>
        <w:tblLayout w:type="fixed"/>
        <w:tblLook w:val="0000" w:firstRow="0" w:lastRow="0" w:firstColumn="0" w:lastColumn="0" w:noHBand="0" w:noVBand="0"/>
      </w:tblPr>
      <w:tblGrid>
        <w:gridCol w:w="2520"/>
        <w:gridCol w:w="1200"/>
        <w:gridCol w:w="1320"/>
        <w:gridCol w:w="1200"/>
        <w:gridCol w:w="1200"/>
        <w:gridCol w:w="1149"/>
      </w:tblGrid>
      <w:tr w:rsidR="008214BB" w:rsidRPr="00DF1156" w:rsidTr="00EB10B9">
        <w:trPr>
          <w:trHeight w:val="1101"/>
        </w:trPr>
        <w:tc>
          <w:tcPr>
            <w:tcW w:w="2520" w:type="dxa"/>
          </w:tcPr>
          <w:p w:rsidR="008214BB" w:rsidRPr="00DF1156" w:rsidRDefault="008214BB" w:rsidP="00B923EA">
            <w:pPr>
              <w:widowControl w:val="0"/>
              <w:tabs>
                <w:tab w:val="right" w:pos="7200"/>
              </w:tabs>
              <w:rPr>
                <w:rFonts w:ascii="Arial" w:hAnsi="Arial" w:cs="Arial"/>
                <w:snapToGrid w:val="0"/>
                <w:color w:val="000000"/>
              </w:rPr>
            </w:pPr>
          </w:p>
        </w:tc>
        <w:tc>
          <w:tcPr>
            <w:tcW w:w="1200" w:type="dxa"/>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Market value</w:t>
            </w:r>
          </w:p>
          <w:p w:rsidR="008214BB" w:rsidRPr="00DF1156" w:rsidRDefault="005B7B28"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1 April 2011</w:t>
            </w:r>
          </w:p>
        </w:tc>
        <w:tc>
          <w:tcPr>
            <w:tcW w:w="1320" w:type="dxa"/>
          </w:tcPr>
          <w:p w:rsidR="008214BB" w:rsidRPr="00DF1156" w:rsidRDefault="008214BB" w:rsidP="008A5664">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Purchases during the year</w:t>
            </w:r>
          </w:p>
        </w:tc>
        <w:tc>
          <w:tcPr>
            <w:tcW w:w="1200" w:type="dxa"/>
          </w:tcPr>
          <w:p w:rsidR="008214BB" w:rsidRPr="00DF1156" w:rsidRDefault="008214BB" w:rsidP="008A5664">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Sales during the year</w:t>
            </w:r>
          </w:p>
        </w:tc>
        <w:tc>
          <w:tcPr>
            <w:tcW w:w="1200" w:type="dxa"/>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Change in market value during the year</w:t>
            </w:r>
          </w:p>
        </w:tc>
        <w:tc>
          <w:tcPr>
            <w:tcW w:w="1149" w:type="dxa"/>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Market value</w:t>
            </w:r>
          </w:p>
          <w:p w:rsidR="008214BB" w:rsidRPr="00DF1156" w:rsidRDefault="003A2138"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31 March 2012</w:t>
            </w:r>
          </w:p>
        </w:tc>
      </w:tr>
      <w:tr w:rsidR="008214BB" w:rsidRPr="00DF1156" w:rsidTr="00C15B6A">
        <w:trPr>
          <w:trHeight w:val="527"/>
        </w:trPr>
        <w:tc>
          <w:tcPr>
            <w:tcW w:w="2520" w:type="dxa"/>
          </w:tcPr>
          <w:p w:rsidR="008214BB" w:rsidRPr="00DF1156" w:rsidRDefault="008214BB" w:rsidP="00B923EA">
            <w:pPr>
              <w:widowControl w:val="0"/>
              <w:tabs>
                <w:tab w:val="right" w:pos="7200"/>
              </w:tabs>
              <w:rPr>
                <w:rFonts w:ascii="Arial" w:hAnsi="Arial" w:cs="Arial"/>
                <w:snapToGrid w:val="0"/>
                <w:color w:val="000000"/>
              </w:rPr>
            </w:pPr>
          </w:p>
        </w:tc>
        <w:tc>
          <w:tcPr>
            <w:tcW w:w="1200" w:type="dxa"/>
            <w:vAlign w:val="center"/>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£’000</w:t>
            </w:r>
          </w:p>
        </w:tc>
        <w:tc>
          <w:tcPr>
            <w:tcW w:w="1320" w:type="dxa"/>
            <w:vAlign w:val="center"/>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£’000</w:t>
            </w:r>
          </w:p>
        </w:tc>
        <w:tc>
          <w:tcPr>
            <w:tcW w:w="1200" w:type="dxa"/>
            <w:vAlign w:val="center"/>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£’000</w:t>
            </w:r>
          </w:p>
        </w:tc>
        <w:tc>
          <w:tcPr>
            <w:tcW w:w="1200" w:type="dxa"/>
            <w:vAlign w:val="center"/>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£’000</w:t>
            </w:r>
          </w:p>
        </w:tc>
        <w:tc>
          <w:tcPr>
            <w:tcW w:w="1149" w:type="dxa"/>
            <w:vAlign w:val="center"/>
          </w:tcPr>
          <w:p w:rsidR="008214BB" w:rsidRPr="00DF1156" w:rsidRDefault="008214BB"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£’000</w:t>
            </w:r>
          </w:p>
        </w:tc>
      </w:tr>
      <w:tr w:rsidR="008214BB" w:rsidRPr="00DF1156" w:rsidTr="00EB10B9">
        <w:trPr>
          <w:trHeight w:val="466"/>
        </w:trPr>
        <w:tc>
          <w:tcPr>
            <w:tcW w:w="2520" w:type="dxa"/>
          </w:tcPr>
          <w:p w:rsidR="008214BB" w:rsidRPr="00DF1156" w:rsidRDefault="008214BB" w:rsidP="00B923EA">
            <w:pPr>
              <w:widowControl w:val="0"/>
              <w:tabs>
                <w:tab w:val="right" w:pos="7200"/>
              </w:tabs>
              <w:rPr>
                <w:rFonts w:ascii="Arial" w:hAnsi="Arial" w:cs="Arial"/>
                <w:b/>
                <w:snapToGrid w:val="0"/>
                <w:color w:val="000000"/>
              </w:rPr>
            </w:pPr>
            <w:r w:rsidRPr="00DF1156">
              <w:rPr>
                <w:rFonts w:ascii="Arial" w:hAnsi="Arial" w:cs="Arial"/>
                <w:b/>
                <w:snapToGrid w:val="0"/>
                <w:color w:val="000000"/>
              </w:rPr>
              <w:t>Fixed interest securities</w:t>
            </w:r>
          </w:p>
        </w:tc>
        <w:tc>
          <w:tcPr>
            <w:tcW w:w="1200" w:type="dxa"/>
          </w:tcPr>
          <w:p w:rsidR="008214BB" w:rsidRPr="00DF1156" w:rsidRDefault="00D25414"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84,965</w:t>
            </w:r>
          </w:p>
        </w:tc>
        <w:tc>
          <w:tcPr>
            <w:tcW w:w="1320" w:type="dxa"/>
          </w:tcPr>
          <w:p w:rsidR="008214BB" w:rsidRPr="00DF1156" w:rsidRDefault="00044B9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128,760</w:t>
            </w:r>
          </w:p>
        </w:tc>
        <w:tc>
          <w:tcPr>
            <w:tcW w:w="1200" w:type="dxa"/>
          </w:tcPr>
          <w:p w:rsidR="008214BB" w:rsidRPr="00DF1156" w:rsidRDefault="00044B9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-1</w:t>
            </w:r>
            <w:r w:rsidR="002B37F6" w:rsidRPr="00DF1156">
              <w:rPr>
                <w:rFonts w:ascii="Arial" w:hAnsi="Arial" w:cs="Arial"/>
                <w:snapToGrid w:val="0"/>
                <w:color w:val="000000"/>
              </w:rPr>
              <w:t>39,748</w:t>
            </w:r>
          </w:p>
        </w:tc>
        <w:tc>
          <w:tcPr>
            <w:tcW w:w="1200" w:type="dxa"/>
          </w:tcPr>
          <w:p w:rsidR="008214BB" w:rsidRPr="00DF1156" w:rsidRDefault="00044B9B" w:rsidP="00E40C37">
            <w:pPr>
              <w:widowControl w:val="0"/>
              <w:tabs>
                <w:tab w:val="right" w:pos="7200"/>
              </w:tabs>
              <w:jc w:val="right"/>
              <w:rPr>
                <w:rFonts w:ascii="Arial" w:hAnsi="Arial" w:cs="Arial"/>
                <w:snapToGrid w:val="0"/>
                <w:color w:val="000000"/>
              </w:rPr>
            </w:pPr>
            <w:r w:rsidRPr="00DF1156">
              <w:rPr>
                <w:rFonts w:ascii="Arial" w:hAnsi="Arial" w:cs="Arial"/>
                <w:snapToGrid w:val="0"/>
                <w:color w:val="000000"/>
              </w:rPr>
              <w:t>3,063</w:t>
            </w:r>
            <w:r w:rsidR="0055015B" w:rsidRPr="00DF1156">
              <w:rPr>
                <w:rFonts w:ascii="Arial" w:hAnsi="Arial" w:cs="Arial"/>
                <w:snapToGrid w:val="0"/>
                <w:color w:val="000000"/>
              </w:rPr>
              <w:t xml:space="preserve">    </w:t>
            </w:r>
            <w:r w:rsidR="00934903" w:rsidRPr="00DF1156">
              <w:rPr>
                <w:rFonts w:ascii="Arial" w:hAnsi="Arial" w:cs="Arial"/>
                <w:snapToGrid w:val="0"/>
                <w:color w:val="000000"/>
              </w:rPr>
              <w:t xml:space="preserve">  </w:t>
            </w:r>
            <w:r w:rsidR="0055015B" w:rsidRPr="00DF1156">
              <w:rPr>
                <w:rFonts w:ascii="Arial" w:hAnsi="Arial" w:cs="Arial"/>
                <w:snapToGrid w:val="0"/>
                <w:color w:val="000000"/>
              </w:rPr>
              <w:t xml:space="preserve"> </w:t>
            </w:r>
          </w:p>
        </w:tc>
        <w:tc>
          <w:tcPr>
            <w:tcW w:w="1149" w:type="dxa"/>
          </w:tcPr>
          <w:p w:rsidR="008214BB" w:rsidRPr="00DF1156" w:rsidRDefault="001D1DC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77,040</w:t>
            </w:r>
          </w:p>
        </w:tc>
      </w:tr>
      <w:tr w:rsidR="008214BB" w:rsidRPr="00DF1156" w:rsidTr="00EB10B9">
        <w:trPr>
          <w:trHeight w:val="493"/>
        </w:trPr>
        <w:tc>
          <w:tcPr>
            <w:tcW w:w="2520" w:type="dxa"/>
          </w:tcPr>
          <w:p w:rsidR="008214BB" w:rsidRPr="00DF1156" w:rsidRDefault="008214BB" w:rsidP="00B923EA">
            <w:pPr>
              <w:widowControl w:val="0"/>
              <w:tabs>
                <w:tab w:val="right" w:pos="7200"/>
              </w:tabs>
              <w:rPr>
                <w:rFonts w:ascii="Arial" w:hAnsi="Arial" w:cs="Arial"/>
                <w:b/>
                <w:snapToGrid w:val="0"/>
                <w:color w:val="000000"/>
              </w:rPr>
            </w:pPr>
            <w:r w:rsidRPr="00DF1156">
              <w:rPr>
                <w:rFonts w:ascii="Arial" w:hAnsi="Arial" w:cs="Arial"/>
                <w:b/>
                <w:snapToGrid w:val="0"/>
                <w:color w:val="000000"/>
              </w:rPr>
              <w:t>Equities</w:t>
            </w:r>
          </w:p>
        </w:tc>
        <w:tc>
          <w:tcPr>
            <w:tcW w:w="1200" w:type="dxa"/>
          </w:tcPr>
          <w:p w:rsidR="008214BB" w:rsidRPr="00DF1156" w:rsidRDefault="00F900E5"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247,060</w:t>
            </w:r>
          </w:p>
        </w:tc>
        <w:tc>
          <w:tcPr>
            <w:tcW w:w="1320" w:type="dxa"/>
          </w:tcPr>
          <w:p w:rsidR="008214BB" w:rsidRPr="00DF1156" w:rsidRDefault="00E40C37"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5</w:t>
            </w:r>
            <w:r w:rsidR="00A72622" w:rsidRPr="00DF1156">
              <w:rPr>
                <w:rFonts w:ascii="Arial" w:hAnsi="Arial" w:cs="Arial"/>
                <w:snapToGrid w:val="0"/>
                <w:color w:val="000000"/>
              </w:rPr>
              <w:t>8,461</w:t>
            </w:r>
          </w:p>
        </w:tc>
        <w:tc>
          <w:tcPr>
            <w:tcW w:w="1200" w:type="dxa"/>
          </w:tcPr>
          <w:p w:rsidR="008214BB" w:rsidRPr="00DF1156" w:rsidRDefault="00E40C37"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w:t>
            </w:r>
            <w:r w:rsidR="002951CF">
              <w:rPr>
                <w:rFonts w:ascii="Arial" w:hAnsi="Arial" w:cs="Arial"/>
                <w:snapToGrid w:val="0"/>
                <w:color w:val="000000"/>
              </w:rPr>
              <w:t>210,619</w:t>
            </w:r>
          </w:p>
        </w:tc>
        <w:tc>
          <w:tcPr>
            <w:tcW w:w="1200" w:type="dxa"/>
          </w:tcPr>
          <w:p w:rsidR="008214BB" w:rsidRPr="00DF1156" w:rsidRDefault="003C0798"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-8,</w:t>
            </w:r>
            <w:r w:rsidR="00A72622" w:rsidRPr="00DF1156">
              <w:rPr>
                <w:rFonts w:ascii="Arial" w:hAnsi="Arial" w:cs="Arial"/>
                <w:snapToGrid w:val="0"/>
                <w:color w:val="000000"/>
              </w:rPr>
              <w:t>411</w:t>
            </w:r>
          </w:p>
        </w:tc>
        <w:tc>
          <w:tcPr>
            <w:tcW w:w="1149" w:type="dxa"/>
          </w:tcPr>
          <w:p w:rsidR="008214BB" w:rsidRPr="00DF1156" w:rsidRDefault="005F12EC" w:rsidP="00B923EA">
            <w:pPr>
              <w:widowControl w:val="0"/>
              <w:tabs>
                <w:tab w:val="right" w:pos="7200"/>
              </w:tabs>
              <w:jc w:val="right"/>
              <w:rPr>
                <w:rFonts w:ascii="Arial" w:hAnsi="Arial" w:cs="Arial"/>
                <w:snapToGrid w:val="0"/>
                <w:color w:val="000000"/>
              </w:rPr>
            </w:pPr>
            <w:r>
              <w:rPr>
                <w:rFonts w:ascii="Arial" w:hAnsi="Arial" w:cs="Arial"/>
                <w:snapToGrid w:val="0"/>
                <w:color w:val="000000"/>
              </w:rPr>
              <w:t>86,491</w:t>
            </w:r>
          </w:p>
        </w:tc>
      </w:tr>
      <w:tr w:rsidR="00FF6D53" w:rsidRPr="00DF1156" w:rsidTr="00FF6D53">
        <w:trPr>
          <w:trHeight w:val="643"/>
        </w:trPr>
        <w:tc>
          <w:tcPr>
            <w:tcW w:w="2520" w:type="dxa"/>
          </w:tcPr>
          <w:p w:rsidR="00FF6D53" w:rsidRPr="00DF1156" w:rsidRDefault="00FF6D53" w:rsidP="00FF6D53">
            <w:pPr>
              <w:widowControl w:val="0"/>
              <w:tabs>
                <w:tab w:val="right" w:pos="7200"/>
              </w:tabs>
              <w:rPr>
                <w:rFonts w:ascii="Arial" w:hAnsi="Arial" w:cs="Arial"/>
                <w:b/>
                <w:snapToGrid w:val="0"/>
                <w:color w:val="000000"/>
              </w:rPr>
            </w:pPr>
            <w:r>
              <w:rPr>
                <w:rFonts w:ascii="Arial" w:hAnsi="Arial" w:cs="Arial"/>
                <w:b/>
                <w:snapToGrid w:val="0"/>
                <w:color w:val="000000"/>
              </w:rPr>
              <w:t>Pooled investments</w:t>
            </w:r>
          </w:p>
        </w:tc>
        <w:tc>
          <w:tcPr>
            <w:tcW w:w="1200" w:type="dxa"/>
          </w:tcPr>
          <w:p w:rsidR="00FF6D53" w:rsidRPr="00DF1156" w:rsidRDefault="00FF6D53" w:rsidP="00FF6D53">
            <w:pPr>
              <w:widowControl w:val="0"/>
              <w:tabs>
                <w:tab w:val="right" w:pos="7200"/>
              </w:tabs>
              <w:jc w:val="right"/>
              <w:rPr>
                <w:rFonts w:ascii="Arial" w:hAnsi="Arial" w:cs="Arial"/>
                <w:snapToGrid w:val="0"/>
                <w:color w:val="000000"/>
              </w:rPr>
            </w:pPr>
            <w:r w:rsidRPr="00DF1156">
              <w:rPr>
                <w:rFonts w:ascii="Arial" w:hAnsi="Arial" w:cs="Arial"/>
                <w:snapToGrid w:val="0"/>
                <w:color w:val="000000"/>
              </w:rPr>
              <w:t>42,286</w:t>
            </w:r>
          </w:p>
        </w:tc>
        <w:tc>
          <w:tcPr>
            <w:tcW w:w="1320" w:type="dxa"/>
          </w:tcPr>
          <w:p w:rsidR="00FF6D53" w:rsidRPr="00DF1156" w:rsidRDefault="005F12EC" w:rsidP="00FF6D53">
            <w:pPr>
              <w:widowControl w:val="0"/>
              <w:tabs>
                <w:tab w:val="right" w:pos="7200"/>
              </w:tabs>
              <w:jc w:val="right"/>
              <w:rPr>
                <w:rFonts w:ascii="Arial" w:hAnsi="Arial" w:cs="Arial"/>
                <w:snapToGrid w:val="0"/>
                <w:color w:val="000000"/>
              </w:rPr>
            </w:pPr>
            <w:r>
              <w:rPr>
                <w:rFonts w:ascii="Arial" w:hAnsi="Arial" w:cs="Arial"/>
                <w:snapToGrid w:val="0"/>
                <w:color w:val="000000"/>
              </w:rPr>
              <w:t>164,787</w:t>
            </w:r>
          </w:p>
        </w:tc>
        <w:tc>
          <w:tcPr>
            <w:tcW w:w="1200" w:type="dxa"/>
          </w:tcPr>
          <w:p w:rsidR="00FF6D53" w:rsidRPr="00DF1156" w:rsidRDefault="00FF6D53" w:rsidP="00FF6D53">
            <w:pPr>
              <w:widowControl w:val="0"/>
              <w:tabs>
                <w:tab w:val="right" w:pos="7200"/>
              </w:tabs>
              <w:jc w:val="right"/>
              <w:rPr>
                <w:rFonts w:ascii="Arial" w:hAnsi="Arial" w:cs="Arial"/>
                <w:snapToGrid w:val="0"/>
                <w:color w:val="000000"/>
              </w:rPr>
            </w:pPr>
            <w:r w:rsidRPr="00DF1156">
              <w:rPr>
                <w:rFonts w:ascii="Arial" w:hAnsi="Arial" w:cs="Arial"/>
                <w:snapToGrid w:val="0"/>
                <w:color w:val="000000"/>
              </w:rPr>
              <w:t>0</w:t>
            </w:r>
          </w:p>
        </w:tc>
        <w:tc>
          <w:tcPr>
            <w:tcW w:w="1200" w:type="dxa"/>
          </w:tcPr>
          <w:p w:rsidR="00FF6D53" w:rsidRPr="00DF1156" w:rsidRDefault="00FF6D53" w:rsidP="00FF6D53">
            <w:pPr>
              <w:widowControl w:val="0"/>
              <w:tabs>
                <w:tab w:val="right" w:pos="7200"/>
              </w:tabs>
              <w:jc w:val="right"/>
              <w:rPr>
                <w:rFonts w:ascii="Arial" w:hAnsi="Arial" w:cs="Arial"/>
                <w:snapToGrid w:val="0"/>
                <w:color w:val="000000"/>
              </w:rPr>
            </w:pPr>
            <w:r w:rsidRPr="00DF1156">
              <w:rPr>
                <w:rFonts w:ascii="Arial" w:hAnsi="Arial" w:cs="Arial"/>
                <w:snapToGrid w:val="0"/>
                <w:color w:val="000000"/>
              </w:rPr>
              <w:t>-1,792</w:t>
            </w:r>
          </w:p>
        </w:tc>
        <w:tc>
          <w:tcPr>
            <w:tcW w:w="1149" w:type="dxa"/>
          </w:tcPr>
          <w:p w:rsidR="00FF6D53" w:rsidRPr="00DF1156" w:rsidRDefault="005F12EC" w:rsidP="00FF6D53">
            <w:pPr>
              <w:widowControl w:val="0"/>
              <w:tabs>
                <w:tab w:val="right" w:pos="7200"/>
              </w:tabs>
              <w:jc w:val="right"/>
              <w:rPr>
                <w:rFonts w:ascii="Arial" w:hAnsi="Arial" w:cs="Arial"/>
                <w:snapToGrid w:val="0"/>
                <w:color w:val="000000"/>
              </w:rPr>
            </w:pPr>
            <w:r>
              <w:rPr>
                <w:rFonts w:ascii="Arial" w:hAnsi="Arial" w:cs="Arial"/>
                <w:snapToGrid w:val="0"/>
                <w:color w:val="000000"/>
              </w:rPr>
              <w:t>205,28</w:t>
            </w:r>
            <w:r w:rsidR="00E85B21">
              <w:rPr>
                <w:rFonts w:ascii="Arial" w:hAnsi="Arial" w:cs="Arial"/>
                <w:snapToGrid w:val="0"/>
                <w:color w:val="000000"/>
              </w:rPr>
              <w:t>1</w:t>
            </w:r>
          </w:p>
        </w:tc>
      </w:tr>
      <w:tr w:rsidR="008214BB" w:rsidRPr="00DF1156" w:rsidTr="00EB10B9">
        <w:trPr>
          <w:trHeight w:val="506"/>
        </w:trPr>
        <w:tc>
          <w:tcPr>
            <w:tcW w:w="2520" w:type="dxa"/>
          </w:tcPr>
          <w:p w:rsidR="008214BB" w:rsidRPr="00DF1156" w:rsidRDefault="008214BB" w:rsidP="00B923EA">
            <w:pPr>
              <w:widowControl w:val="0"/>
              <w:tabs>
                <w:tab w:val="right" w:pos="7200"/>
              </w:tabs>
              <w:rPr>
                <w:rFonts w:ascii="Arial" w:hAnsi="Arial" w:cs="Arial"/>
                <w:b/>
                <w:snapToGrid w:val="0"/>
                <w:color w:val="000000"/>
              </w:rPr>
            </w:pPr>
            <w:r w:rsidRPr="00DF1156">
              <w:rPr>
                <w:rFonts w:ascii="Arial" w:hAnsi="Arial" w:cs="Arial"/>
                <w:b/>
                <w:snapToGrid w:val="0"/>
                <w:color w:val="000000"/>
              </w:rPr>
              <w:t xml:space="preserve">Pooled </w:t>
            </w:r>
            <w:r w:rsidR="00DF7008" w:rsidRPr="00DF1156">
              <w:rPr>
                <w:rFonts w:ascii="Arial" w:hAnsi="Arial" w:cs="Arial"/>
                <w:b/>
                <w:snapToGrid w:val="0"/>
                <w:color w:val="000000"/>
              </w:rPr>
              <w:t xml:space="preserve">property </w:t>
            </w:r>
            <w:r w:rsidRPr="00DF1156">
              <w:rPr>
                <w:rFonts w:ascii="Arial" w:hAnsi="Arial" w:cs="Arial"/>
                <w:b/>
                <w:snapToGrid w:val="0"/>
                <w:color w:val="000000"/>
              </w:rPr>
              <w:t>investments</w:t>
            </w:r>
          </w:p>
          <w:p w:rsidR="00DF7008" w:rsidRPr="00DF1156" w:rsidRDefault="00DF7008" w:rsidP="00B923EA">
            <w:pPr>
              <w:widowControl w:val="0"/>
              <w:tabs>
                <w:tab w:val="right" w:pos="7200"/>
              </w:tabs>
              <w:rPr>
                <w:rFonts w:ascii="Arial" w:hAnsi="Arial" w:cs="Arial"/>
                <w:b/>
                <w:snapToGrid w:val="0"/>
                <w:color w:val="000000"/>
              </w:rPr>
            </w:pPr>
          </w:p>
        </w:tc>
        <w:tc>
          <w:tcPr>
            <w:tcW w:w="1200" w:type="dxa"/>
          </w:tcPr>
          <w:p w:rsidR="008214BB" w:rsidRPr="00DF1156" w:rsidRDefault="00D25414"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33,093</w:t>
            </w:r>
          </w:p>
        </w:tc>
        <w:tc>
          <w:tcPr>
            <w:tcW w:w="1320" w:type="dxa"/>
          </w:tcPr>
          <w:p w:rsidR="008214BB" w:rsidRPr="00DF1156" w:rsidRDefault="006F5480"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1,200</w:t>
            </w:r>
          </w:p>
        </w:tc>
        <w:tc>
          <w:tcPr>
            <w:tcW w:w="1200" w:type="dxa"/>
          </w:tcPr>
          <w:p w:rsidR="008214BB" w:rsidRPr="00DF1156" w:rsidRDefault="006F5480"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-18</w:t>
            </w:r>
          </w:p>
        </w:tc>
        <w:tc>
          <w:tcPr>
            <w:tcW w:w="1200" w:type="dxa"/>
          </w:tcPr>
          <w:p w:rsidR="008214BB" w:rsidRPr="00DF1156" w:rsidRDefault="006F5480"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464</w:t>
            </w:r>
          </w:p>
        </w:tc>
        <w:tc>
          <w:tcPr>
            <w:tcW w:w="1149" w:type="dxa"/>
          </w:tcPr>
          <w:p w:rsidR="008214BB" w:rsidRPr="00DF1156" w:rsidRDefault="001D1DC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34,739</w:t>
            </w:r>
          </w:p>
        </w:tc>
      </w:tr>
      <w:tr w:rsidR="008214BB" w:rsidRPr="00DF1156" w:rsidTr="0042447D">
        <w:trPr>
          <w:trHeight w:val="643"/>
        </w:trPr>
        <w:tc>
          <w:tcPr>
            <w:tcW w:w="2520" w:type="dxa"/>
          </w:tcPr>
          <w:p w:rsidR="008214BB" w:rsidRPr="00DF1156" w:rsidRDefault="00DF7008" w:rsidP="00B923EA">
            <w:pPr>
              <w:widowControl w:val="0"/>
              <w:tabs>
                <w:tab w:val="right" w:pos="7200"/>
              </w:tabs>
              <w:rPr>
                <w:rFonts w:ascii="Arial" w:hAnsi="Arial" w:cs="Arial"/>
                <w:b/>
                <w:snapToGrid w:val="0"/>
                <w:color w:val="000000"/>
              </w:rPr>
            </w:pPr>
            <w:r w:rsidRPr="00DF1156">
              <w:rPr>
                <w:rFonts w:ascii="Arial" w:hAnsi="Arial" w:cs="Arial"/>
                <w:b/>
                <w:snapToGrid w:val="0"/>
                <w:color w:val="000000"/>
              </w:rPr>
              <w:t>Private equity/infrastructure</w:t>
            </w:r>
          </w:p>
        </w:tc>
        <w:tc>
          <w:tcPr>
            <w:tcW w:w="1200" w:type="dxa"/>
          </w:tcPr>
          <w:p w:rsidR="008214BB" w:rsidRPr="00DF1156" w:rsidRDefault="00D25414"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60,183</w:t>
            </w:r>
          </w:p>
        </w:tc>
        <w:tc>
          <w:tcPr>
            <w:tcW w:w="1320" w:type="dxa"/>
          </w:tcPr>
          <w:p w:rsidR="008214BB" w:rsidRPr="00DF1156" w:rsidRDefault="00633125"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25,175</w:t>
            </w:r>
          </w:p>
        </w:tc>
        <w:tc>
          <w:tcPr>
            <w:tcW w:w="1200" w:type="dxa"/>
          </w:tcPr>
          <w:p w:rsidR="008214BB" w:rsidRPr="00DF1156" w:rsidRDefault="000139B8"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-5,</w:t>
            </w:r>
            <w:r w:rsidR="00E31FB8" w:rsidRPr="00DF1156">
              <w:rPr>
                <w:rFonts w:ascii="Arial" w:hAnsi="Arial" w:cs="Arial"/>
                <w:snapToGrid w:val="0"/>
                <w:color w:val="000000"/>
              </w:rPr>
              <w:t>456</w:t>
            </w:r>
          </w:p>
        </w:tc>
        <w:tc>
          <w:tcPr>
            <w:tcW w:w="1200" w:type="dxa"/>
          </w:tcPr>
          <w:p w:rsidR="008214BB" w:rsidRPr="00DF1156" w:rsidRDefault="000139B8"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827</w:t>
            </w:r>
          </w:p>
        </w:tc>
        <w:tc>
          <w:tcPr>
            <w:tcW w:w="1149" w:type="dxa"/>
          </w:tcPr>
          <w:p w:rsidR="008214BB" w:rsidRPr="00DF1156" w:rsidRDefault="000009CC"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80,729</w:t>
            </w:r>
          </w:p>
        </w:tc>
      </w:tr>
      <w:tr w:rsidR="008214BB" w:rsidRPr="00DF1156" w:rsidTr="00EB10B9">
        <w:trPr>
          <w:trHeight w:val="488"/>
        </w:trPr>
        <w:tc>
          <w:tcPr>
            <w:tcW w:w="2520" w:type="dxa"/>
          </w:tcPr>
          <w:p w:rsidR="008214BB" w:rsidRPr="00DF1156" w:rsidRDefault="00946C6C" w:rsidP="00B923EA">
            <w:pPr>
              <w:widowControl w:val="0"/>
              <w:tabs>
                <w:tab w:val="right" w:pos="7200"/>
              </w:tabs>
              <w:rPr>
                <w:rFonts w:ascii="Arial" w:hAnsi="Arial" w:cs="Arial"/>
                <w:b/>
                <w:snapToGrid w:val="0"/>
                <w:color w:val="000000"/>
              </w:rPr>
            </w:pPr>
            <w:r w:rsidRPr="00DF1156">
              <w:rPr>
                <w:rFonts w:ascii="Arial" w:hAnsi="Arial" w:cs="Arial"/>
                <w:b/>
                <w:snapToGrid w:val="0"/>
                <w:color w:val="000000"/>
              </w:rPr>
              <w:t>Global Tactical Asset Allocation</w:t>
            </w:r>
          </w:p>
        </w:tc>
        <w:tc>
          <w:tcPr>
            <w:tcW w:w="1200" w:type="dxa"/>
            <w:tcBorders>
              <w:bottom w:val="single" w:sz="4" w:space="0" w:color="auto"/>
            </w:tcBorders>
          </w:tcPr>
          <w:p w:rsidR="008214BB" w:rsidRPr="00DF1156" w:rsidRDefault="00946C6C"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18,827</w:t>
            </w:r>
          </w:p>
        </w:tc>
        <w:tc>
          <w:tcPr>
            <w:tcW w:w="1320" w:type="dxa"/>
            <w:tcBorders>
              <w:bottom w:val="single" w:sz="4" w:space="0" w:color="auto"/>
            </w:tcBorders>
          </w:tcPr>
          <w:p w:rsidR="008214BB" w:rsidRPr="00DF1156" w:rsidRDefault="005619D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0</w:t>
            </w:r>
          </w:p>
        </w:tc>
        <w:tc>
          <w:tcPr>
            <w:tcW w:w="1200" w:type="dxa"/>
            <w:tcBorders>
              <w:bottom w:val="single" w:sz="4" w:space="0" w:color="auto"/>
            </w:tcBorders>
          </w:tcPr>
          <w:p w:rsidR="008214BB" w:rsidRPr="00DF1156" w:rsidRDefault="005619D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w:t>
            </w:r>
            <w:r w:rsidR="00B72819" w:rsidRPr="00DF1156">
              <w:rPr>
                <w:rFonts w:ascii="Arial" w:hAnsi="Arial" w:cs="Arial"/>
                <w:snapToGrid w:val="0"/>
                <w:color w:val="000000"/>
              </w:rPr>
              <w:t>17,199</w:t>
            </w:r>
          </w:p>
        </w:tc>
        <w:tc>
          <w:tcPr>
            <w:tcW w:w="1200" w:type="dxa"/>
            <w:tcBorders>
              <w:bottom w:val="single" w:sz="4" w:space="0" w:color="auto"/>
            </w:tcBorders>
          </w:tcPr>
          <w:p w:rsidR="008214BB" w:rsidRPr="00DF1156" w:rsidRDefault="005619DB"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w:t>
            </w:r>
            <w:r w:rsidR="00F6229F" w:rsidRPr="00DF1156">
              <w:rPr>
                <w:rFonts w:ascii="Arial" w:hAnsi="Arial" w:cs="Arial"/>
                <w:snapToGrid w:val="0"/>
                <w:color w:val="000000"/>
              </w:rPr>
              <w:t>1,628</w:t>
            </w:r>
          </w:p>
        </w:tc>
        <w:tc>
          <w:tcPr>
            <w:tcW w:w="1149" w:type="dxa"/>
            <w:tcBorders>
              <w:bottom w:val="single" w:sz="4" w:space="0" w:color="auto"/>
            </w:tcBorders>
          </w:tcPr>
          <w:p w:rsidR="008214BB" w:rsidRPr="00DF1156" w:rsidRDefault="00EA34A6" w:rsidP="00B923EA">
            <w:pPr>
              <w:widowControl w:val="0"/>
              <w:tabs>
                <w:tab w:val="right" w:pos="7200"/>
              </w:tabs>
              <w:jc w:val="right"/>
              <w:rPr>
                <w:rFonts w:ascii="Arial" w:hAnsi="Arial" w:cs="Arial"/>
                <w:snapToGrid w:val="0"/>
                <w:color w:val="000000"/>
              </w:rPr>
            </w:pPr>
            <w:r w:rsidRPr="00DF1156">
              <w:rPr>
                <w:rFonts w:ascii="Arial" w:hAnsi="Arial" w:cs="Arial"/>
                <w:snapToGrid w:val="0"/>
                <w:color w:val="000000"/>
              </w:rPr>
              <w:t>0</w:t>
            </w:r>
          </w:p>
        </w:tc>
      </w:tr>
      <w:tr w:rsidR="008214BB" w:rsidRPr="00DF1156" w:rsidTr="00EB10B9">
        <w:trPr>
          <w:trHeight w:val="421"/>
        </w:trPr>
        <w:tc>
          <w:tcPr>
            <w:tcW w:w="2520" w:type="dxa"/>
          </w:tcPr>
          <w:p w:rsidR="008214BB" w:rsidRPr="00DF1156" w:rsidRDefault="008214BB" w:rsidP="00B923EA">
            <w:pPr>
              <w:widowControl w:val="0"/>
              <w:tabs>
                <w:tab w:val="right" w:pos="7200"/>
              </w:tabs>
              <w:rPr>
                <w:rFonts w:ascii="Arial" w:hAnsi="Arial" w:cs="Arial"/>
                <w:snapToGrid w:val="0"/>
                <w:color w:val="000000"/>
              </w:rPr>
            </w:pPr>
          </w:p>
        </w:tc>
        <w:tc>
          <w:tcPr>
            <w:tcW w:w="1200" w:type="dxa"/>
            <w:tcBorders>
              <w:top w:val="single" w:sz="4" w:space="0" w:color="auto"/>
            </w:tcBorders>
          </w:tcPr>
          <w:p w:rsidR="008214BB" w:rsidRPr="00DF1156" w:rsidRDefault="00EC2004"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486,414</w:t>
            </w:r>
          </w:p>
        </w:tc>
        <w:tc>
          <w:tcPr>
            <w:tcW w:w="1320" w:type="dxa"/>
            <w:tcBorders>
              <w:top w:val="single" w:sz="4" w:space="0" w:color="auto"/>
            </w:tcBorders>
          </w:tcPr>
          <w:p w:rsidR="008214BB" w:rsidRPr="00DF1156" w:rsidRDefault="004C5C92" w:rsidP="00B923EA">
            <w:pPr>
              <w:widowControl w:val="0"/>
              <w:tabs>
                <w:tab w:val="right" w:pos="7200"/>
              </w:tabs>
              <w:jc w:val="right"/>
              <w:rPr>
                <w:rFonts w:ascii="Arial" w:hAnsi="Arial" w:cs="Arial"/>
                <w:b/>
                <w:snapToGrid w:val="0"/>
                <w:color w:val="000000"/>
              </w:rPr>
            </w:pPr>
            <w:r>
              <w:rPr>
                <w:rFonts w:ascii="Arial" w:hAnsi="Arial" w:cs="Arial"/>
                <w:b/>
                <w:snapToGrid w:val="0"/>
                <w:color w:val="000000"/>
              </w:rPr>
              <w:t>378,383</w:t>
            </w:r>
          </w:p>
        </w:tc>
        <w:tc>
          <w:tcPr>
            <w:tcW w:w="1200" w:type="dxa"/>
            <w:tcBorders>
              <w:top w:val="single" w:sz="4" w:space="0" w:color="auto"/>
            </w:tcBorders>
          </w:tcPr>
          <w:p w:rsidR="008214BB" w:rsidRPr="00DF1156" w:rsidRDefault="008E359A"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w:t>
            </w:r>
            <w:r w:rsidR="004C5C92">
              <w:rPr>
                <w:rFonts w:ascii="Arial" w:hAnsi="Arial" w:cs="Arial"/>
                <w:b/>
                <w:snapToGrid w:val="0"/>
                <w:color w:val="000000"/>
              </w:rPr>
              <w:t>373,040</w:t>
            </w:r>
          </w:p>
        </w:tc>
        <w:tc>
          <w:tcPr>
            <w:tcW w:w="1200" w:type="dxa"/>
            <w:tcBorders>
              <w:top w:val="single" w:sz="4" w:space="0" w:color="auto"/>
            </w:tcBorders>
          </w:tcPr>
          <w:p w:rsidR="008214BB" w:rsidRPr="00DF1156" w:rsidRDefault="00BE3AD4"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w:t>
            </w:r>
            <w:r w:rsidR="00670A9C" w:rsidRPr="00DF1156">
              <w:rPr>
                <w:rFonts w:ascii="Arial" w:hAnsi="Arial" w:cs="Arial"/>
                <w:b/>
                <w:snapToGrid w:val="0"/>
                <w:color w:val="000000"/>
              </w:rPr>
              <w:t>7,477</w:t>
            </w:r>
          </w:p>
        </w:tc>
        <w:tc>
          <w:tcPr>
            <w:tcW w:w="1149" w:type="dxa"/>
            <w:tcBorders>
              <w:top w:val="single" w:sz="4" w:space="0" w:color="auto"/>
            </w:tcBorders>
          </w:tcPr>
          <w:p w:rsidR="008214BB" w:rsidRPr="00DF1156" w:rsidRDefault="00746324" w:rsidP="00B923EA">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484,28</w:t>
            </w:r>
            <w:r w:rsidR="00E85B21">
              <w:rPr>
                <w:rFonts w:ascii="Arial" w:hAnsi="Arial" w:cs="Arial"/>
                <w:b/>
                <w:snapToGrid w:val="0"/>
                <w:color w:val="000000"/>
              </w:rPr>
              <w:t>0</w:t>
            </w:r>
          </w:p>
        </w:tc>
      </w:tr>
      <w:tr w:rsidR="009F79DE" w:rsidRPr="00DF1156" w:rsidTr="00EB10B9">
        <w:trPr>
          <w:trHeight w:val="571"/>
        </w:trPr>
        <w:tc>
          <w:tcPr>
            <w:tcW w:w="2520" w:type="dxa"/>
          </w:tcPr>
          <w:p w:rsidR="009F79DE" w:rsidRPr="00DF1156" w:rsidRDefault="009F79DE" w:rsidP="00512646">
            <w:pPr>
              <w:widowControl w:val="0"/>
              <w:tabs>
                <w:tab w:val="right" w:pos="7200"/>
              </w:tabs>
              <w:rPr>
                <w:rFonts w:ascii="Arial" w:hAnsi="Arial" w:cs="Arial"/>
                <w:b/>
                <w:snapToGrid w:val="0"/>
                <w:color w:val="000000"/>
              </w:rPr>
            </w:pPr>
            <w:r w:rsidRPr="00DF1156">
              <w:rPr>
                <w:rFonts w:ascii="Arial" w:hAnsi="Arial" w:cs="Arial"/>
                <w:b/>
                <w:snapToGrid w:val="0"/>
                <w:color w:val="000000"/>
              </w:rPr>
              <w:t>Other investment balances:</w:t>
            </w:r>
          </w:p>
        </w:tc>
        <w:tc>
          <w:tcPr>
            <w:tcW w:w="1200" w:type="dxa"/>
          </w:tcPr>
          <w:p w:rsidR="009F79DE" w:rsidRPr="00DF1156" w:rsidRDefault="009F79DE" w:rsidP="00512646">
            <w:pPr>
              <w:widowControl w:val="0"/>
              <w:tabs>
                <w:tab w:val="right" w:pos="7200"/>
              </w:tabs>
              <w:jc w:val="right"/>
              <w:rPr>
                <w:rFonts w:ascii="Arial" w:hAnsi="Arial" w:cs="Arial"/>
                <w:snapToGrid w:val="0"/>
                <w:color w:val="000000"/>
              </w:rPr>
            </w:pPr>
          </w:p>
        </w:tc>
        <w:tc>
          <w:tcPr>
            <w:tcW w:w="1320" w:type="dxa"/>
          </w:tcPr>
          <w:p w:rsidR="009F79DE" w:rsidRPr="00DF1156" w:rsidRDefault="009F79DE" w:rsidP="00512646">
            <w:pPr>
              <w:widowControl w:val="0"/>
              <w:tabs>
                <w:tab w:val="right" w:pos="7200"/>
              </w:tabs>
              <w:jc w:val="right"/>
              <w:rPr>
                <w:rFonts w:ascii="Arial" w:hAnsi="Arial" w:cs="Arial"/>
                <w:snapToGrid w:val="0"/>
                <w:color w:val="000000"/>
              </w:rPr>
            </w:pPr>
          </w:p>
        </w:tc>
        <w:tc>
          <w:tcPr>
            <w:tcW w:w="1200" w:type="dxa"/>
          </w:tcPr>
          <w:p w:rsidR="009F79DE" w:rsidRPr="00DF1156" w:rsidRDefault="009F79DE" w:rsidP="00512646">
            <w:pPr>
              <w:widowControl w:val="0"/>
              <w:tabs>
                <w:tab w:val="right" w:pos="7200"/>
              </w:tabs>
              <w:jc w:val="right"/>
              <w:rPr>
                <w:rFonts w:ascii="Arial" w:hAnsi="Arial" w:cs="Arial"/>
                <w:snapToGrid w:val="0"/>
                <w:color w:val="000000"/>
              </w:rPr>
            </w:pPr>
          </w:p>
        </w:tc>
        <w:tc>
          <w:tcPr>
            <w:tcW w:w="1200" w:type="dxa"/>
          </w:tcPr>
          <w:p w:rsidR="009F79DE" w:rsidRPr="00DF1156" w:rsidRDefault="009F79DE" w:rsidP="00512646">
            <w:pPr>
              <w:widowControl w:val="0"/>
              <w:tabs>
                <w:tab w:val="right" w:pos="7200"/>
              </w:tabs>
              <w:jc w:val="right"/>
              <w:rPr>
                <w:rFonts w:ascii="Arial" w:hAnsi="Arial" w:cs="Arial"/>
                <w:snapToGrid w:val="0"/>
                <w:color w:val="000000"/>
              </w:rPr>
            </w:pPr>
          </w:p>
        </w:tc>
        <w:tc>
          <w:tcPr>
            <w:tcW w:w="1149" w:type="dxa"/>
          </w:tcPr>
          <w:p w:rsidR="009F79DE" w:rsidRPr="00DF1156" w:rsidRDefault="009F79DE" w:rsidP="00512646">
            <w:pPr>
              <w:widowControl w:val="0"/>
              <w:tabs>
                <w:tab w:val="right" w:pos="7200"/>
              </w:tabs>
              <w:jc w:val="right"/>
              <w:rPr>
                <w:rFonts w:ascii="Arial" w:hAnsi="Arial" w:cs="Arial"/>
                <w:snapToGrid w:val="0"/>
                <w:color w:val="000000"/>
              </w:rPr>
            </w:pPr>
          </w:p>
        </w:tc>
      </w:tr>
      <w:tr w:rsidR="009F79DE" w:rsidRPr="00DF1156" w:rsidTr="00EB10B9">
        <w:trPr>
          <w:trHeight w:val="488"/>
        </w:trPr>
        <w:tc>
          <w:tcPr>
            <w:tcW w:w="2520" w:type="dxa"/>
          </w:tcPr>
          <w:p w:rsidR="009F79DE" w:rsidRPr="00DF1156" w:rsidRDefault="008A4C67" w:rsidP="008A4C67">
            <w:pPr>
              <w:widowControl w:val="0"/>
              <w:tabs>
                <w:tab w:val="right" w:pos="7200"/>
              </w:tabs>
              <w:rPr>
                <w:rFonts w:ascii="Arial" w:hAnsi="Arial" w:cs="Arial"/>
                <w:b/>
                <w:snapToGrid w:val="0"/>
                <w:color w:val="000000"/>
              </w:rPr>
            </w:pPr>
            <w:r w:rsidRPr="00DF1156">
              <w:rPr>
                <w:rFonts w:ascii="Arial" w:hAnsi="Arial" w:cs="Arial"/>
                <w:b/>
                <w:snapToGrid w:val="0"/>
                <w:color w:val="000000"/>
              </w:rPr>
              <w:t>Investment income due</w:t>
            </w:r>
          </w:p>
        </w:tc>
        <w:tc>
          <w:tcPr>
            <w:tcW w:w="1200" w:type="dxa"/>
          </w:tcPr>
          <w:p w:rsidR="009F79DE" w:rsidRPr="00DF1156" w:rsidRDefault="00EC2004" w:rsidP="00512646">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489</w:t>
            </w:r>
          </w:p>
        </w:tc>
        <w:tc>
          <w:tcPr>
            <w:tcW w:w="1320" w:type="dxa"/>
          </w:tcPr>
          <w:p w:rsidR="009F79DE" w:rsidRPr="00DF1156" w:rsidRDefault="009F79DE" w:rsidP="00512646">
            <w:pPr>
              <w:widowControl w:val="0"/>
              <w:tabs>
                <w:tab w:val="right" w:pos="7200"/>
              </w:tabs>
              <w:jc w:val="right"/>
              <w:rPr>
                <w:rFonts w:ascii="Arial" w:hAnsi="Arial" w:cs="Arial"/>
                <w:b/>
                <w:snapToGrid w:val="0"/>
                <w:color w:val="000000"/>
              </w:rPr>
            </w:pPr>
          </w:p>
        </w:tc>
        <w:tc>
          <w:tcPr>
            <w:tcW w:w="1200" w:type="dxa"/>
          </w:tcPr>
          <w:p w:rsidR="009F79DE" w:rsidRPr="00DF1156" w:rsidRDefault="009F79DE" w:rsidP="00512646">
            <w:pPr>
              <w:widowControl w:val="0"/>
              <w:tabs>
                <w:tab w:val="right" w:pos="7200"/>
              </w:tabs>
              <w:jc w:val="right"/>
              <w:rPr>
                <w:rFonts w:ascii="Arial" w:hAnsi="Arial" w:cs="Arial"/>
                <w:b/>
                <w:snapToGrid w:val="0"/>
                <w:color w:val="000000"/>
              </w:rPr>
            </w:pPr>
          </w:p>
        </w:tc>
        <w:tc>
          <w:tcPr>
            <w:tcW w:w="1200" w:type="dxa"/>
          </w:tcPr>
          <w:p w:rsidR="009F79DE" w:rsidRPr="00DF1156" w:rsidRDefault="009F79DE" w:rsidP="00512646">
            <w:pPr>
              <w:widowControl w:val="0"/>
              <w:tabs>
                <w:tab w:val="right" w:pos="7200"/>
              </w:tabs>
              <w:jc w:val="right"/>
              <w:rPr>
                <w:rFonts w:ascii="Arial" w:hAnsi="Arial" w:cs="Arial"/>
                <w:b/>
                <w:snapToGrid w:val="0"/>
                <w:color w:val="000000"/>
              </w:rPr>
            </w:pPr>
          </w:p>
        </w:tc>
        <w:tc>
          <w:tcPr>
            <w:tcW w:w="1149" w:type="dxa"/>
          </w:tcPr>
          <w:p w:rsidR="009F79DE" w:rsidRDefault="00746324" w:rsidP="00512646">
            <w:pPr>
              <w:widowControl w:val="0"/>
              <w:tabs>
                <w:tab w:val="right" w:pos="7200"/>
              </w:tabs>
              <w:jc w:val="right"/>
              <w:rPr>
                <w:rFonts w:ascii="Arial" w:hAnsi="Arial" w:cs="Arial"/>
                <w:b/>
                <w:snapToGrid w:val="0"/>
                <w:color w:val="000000"/>
              </w:rPr>
            </w:pPr>
            <w:r w:rsidRPr="00DF1156">
              <w:rPr>
                <w:rFonts w:ascii="Arial" w:hAnsi="Arial" w:cs="Arial"/>
                <w:b/>
                <w:snapToGrid w:val="0"/>
                <w:color w:val="000000"/>
              </w:rPr>
              <w:t>544</w:t>
            </w:r>
          </w:p>
          <w:p w:rsidR="00C13F8B" w:rsidRDefault="00C13F8B" w:rsidP="00512646">
            <w:pPr>
              <w:widowControl w:val="0"/>
              <w:tabs>
                <w:tab w:val="right" w:pos="7200"/>
              </w:tabs>
              <w:jc w:val="right"/>
              <w:rPr>
                <w:rFonts w:ascii="Arial" w:hAnsi="Arial" w:cs="Arial"/>
                <w:b/>
                <w:snapToGrid w:val="0"/>
                <w:color w:val="000000"/>
              </w:rPr>
            </w:pPr>
          </w:p>
          <w:p w:rsidR="00C13F8B" w:rsidRPr="00DF1156" w:rsidRDefault="00C13F8B" w:rsidP="00512646">
            <w:pPr>
              <w:widowControl w:val="0"/>
              <w:tabs>
                <w:tab w:val="right" w:pos="7200"/>
              </w:tabs>
              <w:jc w:val="right"/>
              <w:rPr>
                <w:rFonts w:ascii="Arial" w:hAnsi="Arial" w:cs="Arial"/>
                <w:b/>
                <w:snapToGrid w:val="0"/>
                <w:color w:val="000000"/>
              </w:rPr>
            </w:pPr>
          </w:p>
        </w:tc>
      </w:tr>
      <w:tr w:rsidR="00D470A2" w:rsidRPr="00DF1156" w:rsidTr="00D470A2">
        <w:trPr>
          <w:trHeight w:val="272"/>
        </w:trPr>
        <w:tc>
          <w:tcPr>
            <w:tcW w:w="2520" w:type="dxa"/>
          </w:tcPr>
          <w:p w:rsidR="00D470A2" w:rsidRPr="00DF1156" w:rsidRDefault="00D470A2" w:rsidP="00B923EA">
            <w:pPr>
              <w:widowControl w:val="0"/>
              <w:tabs>
                <w:tab w:val="right" w:pos="7200"/>
              </w:tabs>
              <w:rPr>
                <w:rFonts w:ascii="Arial" w:hAnsi="Arial" w:cs="Arial"/>
                <w:b/>
                <w:snapToGrid w:val="0"/>
                <w:color w:val="000000"/>
              </w:rPr>
            </w:pPr>
            <w:r w:rsidRPr="00DF1156">
              <w:rPr>
                <w:rFonts w:ascii="Arial" w:hAnsi="Arial" w:cs="Arial"/>
                <w:b/>
                <w:snapToGrid w:val="0"/>
                <w:color w:val="000000"/>
              </w:rPr>
              <w:t>Net investment assets</w:t>
            </w:r>
          </w:p>
        </w:tc>
        <w:tc>
          <w:tcPr>
            <w:tcW w:w="1200" w:type="dxa"/>
            <w:tcBorders>
              <w:top w:val="single" w:sz="4" w:space="0" w:color="auto"/>
              <w:bottom w:val="single" w:sz="4" w:space="0" w:color="auto"/>
            </w:tcBorders>
          </w:tcPr>
          <w:p w:rsidR="00D470A2" w:rsidRPr="00DF1156" w:rsidRDefault="00960C93" w:rsidP="00B923EA">
            <w:pPr>
              <w:widowControl w:val="0"/>
              <w:tabs>
                <w:tab w:val="right" w:pos="7200"/>
              </w:tabs>
              <w:jc w:val="right"/>
              <w:rPr>
                <w:rFonts w:ascii="Arial" w:hAnsi="Arial" w:cs="Arial"/>
                <w:b/>
                <w:snapToGrid w:val="0"/>
                <w:color w:val="000000"/>
              </w:rPr>
            </w:pPr>
            <w:r>
              <w:rPr>
                <w:rFonts w:ascii="Arial" w:hAnsi="Arial" w:cs="Arial"/>
                <w:b/>
                <w:snapToGrid w:val="0"/>
                <w:color w:val="000000"/>
              </w:rPr>
              <w:t>486,903</w:t>
            </w:r>
          </w:p>
        </w:tc>
        <w:tc>
          <w:tcPr>
            <w:tcW w:w="1320" w:type="dxa"/>
          </w:tcPr>
          <w:p w:rsidR="00D470A2" w:rsidRPr="00DF1156" w:rsidRDefault="00D470A2" w:rsidP="00B923EA">
            <w:pPr>
              <w:widowControl w:val="0"/>
              <w:tabs>
                <w:tab w:val="right" w:pos="7200"/>
              </w:tabs>
              <w:jc w:val="right"/>
              <w:rPr>
                <w:rFonts w:ascii="Arial" w:hAnsi="Arial" w:cs="Arial"/>
                <w:b/>
                <w:snapToGrid w:val="0"/>
                <w:color w:val="000000"/>
              </w:rPr>
            </w:pPr>
          </w:p>
        </w:tc>
        <w:tc>
          <w:tcPr>
            <w:tcW w:w="1200" w:type="dxa"/>
          </w:tcPr>
          <w:p w:rsidR="00D470A2" w:rsidRPr="00DF1156" w:rsidRDefault="00D470A2" w:rsidP="00B923EA">
            <w:pPr>
              <w:widowControl w:val="0"/>
              <w:tabs>
                <w:tab w:val="right" w:pos="7200"/>
              </w:tabs>
              <w:jc w:val="right"/>
              <w:rPr>
                <w:rFonts w:ascii="Arial" w:hAnsi="Arial" w:cs="Arial"/>
                <w:b/>
                <w:snapToGrid w:val="0"/>
                <w:color w:val="000000"/>
              </w:rPr>
            </w:pPr>
          </w:p>
        </w:tc>
        <w:tc>
          <w:tcPr>
            <w:tcW w:w="1200" w:type="dxa"/>
          </w:tcPr>
          <w:p w:rsidR="00D470A2" w:rsidRPr="00DF1156" w:rsidRDefault="00D470A2" w:rsidP="00D470A2">
            <w:pPr>
              <w:widowControl w:val="0"/>
              <w:tabs>
                <w:tab w:val="right" w:pos="7200"/>
              </w:tabs>
              <w:jc w:val="right"/>
              <w:rPr>
                <w:rFonts w:ascii="Arial" w:hAnsi="Arial" w:cs="Arial"/>
                <w:snapToGrid w:val="0"/>
                <w:color w:val="000000"/>
              </w:rPr>
            </w:pPr>
          </w:p>
        </w:tc>
        <w:tc>
          <w:tcPr>
            <w:tcW w:w="1149" w:type="dxa"/>
            <w:tcBorders>
              <w:top w:val="single" w:sz="4" w:space="0" w:color="auto"/>
              <w:bottom w:val="single" w:sz="4" w:space="0" w:color="auto"/>
            </w:tcBorders>
          </w:tcPr>
          <w:p w:rsidR="00D470A2" w:rsidRPr="00DF1156" w:rsidRDefault="00C13F8B" w:rsidP="00B923EA">
            <w:pPr>
              <w:widowControl w:val="0"/>
              <w:tabs>
                <w:tab w:val="right" w:pos="7200"/>
              </w:tabs>
              <w:jc w:val="right"/>
              <w:rPr>
                <w:rFonts w:ascii="Arial" w:hAnsi="Arial" w:cs="Arial"/>
                <w:b/>
                <w:snapToGrid w:val="0"/>
                <w:color w:val="000000"/>
              </w:rPr>
            </w:pPr>
            <w:r>
              <w:rPr>
                <w:rFonts w:ascii="Arial" w:hAnsi="Arial" w:cs="Arial"/>
                <w:b/>
                <w:snapToGrid w:val="0"/>
                <w:color w:val="000000"/>
              </w:rPr>
              <w:t>484,82</w:t>
            </w:r>
            <w:r w:rsidR="00E85B21">
              <w:rPr>
                <w:rFonts w:ascii="Arial" w:hAnsi="Arial" w:cs="Arial"/>
                <w:b/>
                <w:snapToGrid w:val="0"/>
                <w:color w:val="000000"/>
              </w:rPr>
              <w:t>4</w:t>
            </w:r>
          </w:p>
        </w:tc>
      </w:tr>
    </w:tbl>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FE16D6" w:rsidRDefault="00830E50" w:rsidP="00941C39">
      <w:pPr>
        <w:widowControl w:val="0"/>
        <w:tabs>
          <w:tab w:val="right" w:pos="7200"/>
        </w:tabs>
        <w:rPr>
          <w:rFonts w:ascii="Arial" w:hAnsi="Arial" w:cs="Arial"/>
          <w:snapToGrid w:val="0"/>
          <w:color w:val="000000"/>
          <w:sz w:val="24"/>
        </w:rPr>
      </w:pPr>
    </w:p>
    <w:p w:rsidR="00830E50" w:rsidRPr="00FE16D6" w:rsidRDefault="00877FD0" w:rsidP="00941C39">
      <w:pPr>
        <w:widowControl w:val="0"/>
        <w:tabs>
          <w:tab w:val="right" w:pos="7200"/>
        </w:tabs>
        <w:rPr>
          <w:rFonts w:ascii="Arial" w:hAnsi="Arial" w:cs="Arial"/>
          <w:snapToGrid w:val="0"/>
          <w:color w:val="000000"/>
          <w:sz w:val="24"/>
        </w:rPr>
      </w:pPr>
      <w:r w:rsidRPr="00FE16D6">
        <w:rPr>
          <w:rFonts w:ascii="Arial" w:hAnsi="Arial" w:cs="Arial"/>
          <w:snapToGrid w:val="0"/>
          <w:color w:val="000000"/>
          <w:sz w:val="24"/>
        </w:rPr>
        <w:t>Transaction costs are included in the cost of purchases and in sale proceeds. These include costs charged directly to the F</w:t>
      </w:r>
      <w:r w:rsidR="00CD1824" w:rsidRPr="00FE16D6">
        <w:rPr>
          <w:rFonts w:ascii="Arial" w:hAnsi="Arial" w:cs="Arial"/>
          <w:snapToGrid w:val="0"/>
          <w:color w:val="000000"/>
          <w:sz w:val="24"/>
        </w:rPr>
        <w:t xml:space="preserve">und, such as commissions, </w:t>
      </w:r>
      <w:r w:rsidRPr="00FE16D6">
        <w:rPr>
          <w:rFonts w:ascii="Arial" w:hAnsi="Arial" w:cs="Arial"/>
          <w:snapToGrid w:val="0"/>
          <w:color w:val="000000"/>
          <w:sz w:val="24"/>
        </w:rPr>
        <w:t>stamp duty</w:t>
      </w:r>
      <w:r w:rsidR="00CD1824" w:rsidRPr="00FE16D6">
        <w:rPr>
          <w:rFonts w:ascii="Arial" w:hAnsi="Arial" w:cs="Arial"/>
          <w:snapToGrid w:val="0"/>
          <w:color w:val="000000"/>
          <w:sz w:val="24"/>
        </w:rPr>
        <w:t xml:space="preserve"> and other fees.</w:t>
      </w: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830E50" w:rsidRPr="003D2F7A" w:rsidRDefault="00830E50" w:rsidP="00941C39">
      <w:pPr>
        <w:widowControl w:val="0"/>
        <w:tabs>
          <w:tab w:val="right" w:pos="7200"/>
        </w:tabs>
        <w:rPr>
          <w:rFonts w:ascii="Arial" w:hAnsi="Arial" w:cs="Arial"/>
          <w:snapToGrid w:val="0"/>
          <w:color w:val="000000"/>
          <w:sz w:val="24"/>
          <w:highlight w:val="yellow"/>
        </w:rPr>
      </w:pPr>
    </w:p>
    <w:p w:rsidR="00941C39" w:rsidRPr="00E919BD" w:rsidRDefault="008214BB" w:rsidP="00941C39">
      <w:pPr>
        <w:widowControl w:val="0"/>
        <w:tabs>
          <w:tab w:val="right" w:pos="7200"/>
        </w:tabs>
        <w:rPr>
          <w:rFonts w:ascii="Arial" w:hAnsi="Arial" w:cs="Arial"/>
          <w:snapToGrid w:val="0"/>
          <w:color w:val="000000"/>
          <w:sz w:val="24"/>
        </w:rPr>
      </w:pPr>
      <w:r w:rsidRPr="003D2F7A">
        <w:rPr>
          <w:rFonts w:ascii="Arial" w:hAnsi="Arial" w:cs="Arial"/>
          <w:b/>
          <w:snapToGrid w:val="0"/>
          <w:color w:val="000000"/>
          <w:sz w:val="24"/>
          <w:highlight w:val="yellow"/>
        </w:rPr>
        <w:br w:type="page"/>
      </w:r>
      <w:r w:rsidR="00A455F3" w:rsidRPr="00E919BD">
        <w:rPr>
          <w:rFonts w:ascii="Arial" w:hAnsi="Arial" w:cs="Arial"/>
          <w:b/>
          <w:snapToGrid w:val="0"/>
          <w:color w:val="000000"/>
          <w:sz w:val="24"/>
        </w:rPr>
        <w:lastRenderedPageBreak/>
        <w:t>b)</w:t>
      </w:r>
      <w:r w:rsidR="00941C39" w:rsidRPr="00E919BD">
        <w:rPr>
          <w:rFonts w:ascii="Arial" w:hAnsi="Arial" w:cs="Arial"/>
          <w:b/>
          <w:snapToGrid w:val="0"/>
          <w:color w:val="000000"/>
          <w:sz w:val="24"/>
        </w:rPr>
        <w:t xml:space="preserve">  Analysis of investments</w:t>
      </w:r>
    </w:p>
    <w:tbl>
      <w:tblPr>
        <w:tblStyle w:val="TableGrid"/>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1920"/>
        <w:gridCol w:w="1920"/>
      </w:tblGrid>
      <w:tr w:rsidR="0079031C" w:rsidRPr="00E919BD" w:rsidTr="00EC635A">
        <w:tc>
          <w:tcPr>
            <w:tcW w:w="5148" w:type="dxa"/>
          </w:tcPr>
          <w:p w:rsidR="0079031C" w:rsidRPr="00E919BD" w:rsidRDefault="0079031C" w:rsidP="00EC635A">
            <w:pPr>
              <w:widowControl w:val="0"/>
              <w:tabs>
                <w:tab w:val="right" w:pos="7224"/>
              </w:tabs>
              <w:jc w:val="both"/>
              <w:rPr>
                <w:rFonts w:ascii="Arial" w:hAnsi="Arial" w:cs="Arial"/>
                <w:snapToGrid w:val="0"/>
                <w:color w:val="000000"/>
                <w:sz w:val="24"/>
              </w:rPr>
            </w:pPr>
          </w:p>
        </w:tc>
        <w:tc>
          <w:tcPr>
            <w:tcW w:w="1920" w:type="dxa"/>
          </w:tcPr>
          <w:p w:rsidR="0079031C" w:rsidRPr="00E919BD" w:rsidRDefault="00CA1BED" w:rsidP="00EC635A">
            <w:pPr>
              <w:widowControl w:val="0"/>
              <w:tabs>
                <w:tab w:val="right" w:pos="7224"/>
              </w:tabs>
              <w:jc w:val="right"/>
              <w:rPr>
                <w:rFonts w:ascii="Arial" w:hAnsi="Arial" w:cs="Arial"/>
                <w:b/>
                <w:snapToGrid w:val="0"/>
                <w:color w:val="000000"/>
                <w:sz w:val="24"/>
              </w:rPr>
            </w:pPr>
            <w:r w:rsidRPr="00E919BD">
              <w:rPr>
                <w:rFonts w:ascii="Arial" w:hAnsi="Arial" w:cs="Arial"/>
                <w:b/>
                <w:snapToGrid w:val="0"/>
                <w:color w:val="000000"/>
                <w:sz w:val="24"/>
              </w:rPr>
              <w:t>31 March 2012</w:t>
            </w:r>
          </w:p>
        </w:tc>
        <w:tc>
          <w:tcPr>
            <w:tcW w:w="1920" w:type="dxa"/>
          </w:tcPr>
          <w:p w:rsidR="0079031C" w:rsidRPr="00E919BD" w:rsidRDefault="00CA1BED" w:rsidP="00EC635A">
            <w:pPr>
              <w:widowControl w:val="0"/>
              <w:tabs>
                <w:tab w:val="right" w:pos="7224"/>
              </w:tabs>
              <w:jc w:val="right"/>
              <w:rPr>
                <w:rFonts w:ascii="Arial" w:hAnsi="Arial" w:cs="Arial"/>
                <w:b/>
                <w:snapToGrid w:val="0"/>
                <w:color w:val="000000"/>
                <w:sz w:val="24"/>
              </w:rPr>
            </w:pPr>
            <w:r w:rsidRPr="00E919BD">
              <w:rPr>
                <w:rFonts w:ascii="Arial" w:hAnsi="Arial" w:cs="Arial"/>
                <w:b/>
                <w:snapToGrid w:val="0"/>
                <w:color w:val="000000"/>
                <w:sz w:val="24"/>
              </w:rPr>
              <w:t>31 March 2013</w:t>
            </w:r>
          </w:p>
        </w:tc>
      </w:tr>
      <w:tr w:rsidR="0079031C" w:rsidRPr="00E919BD" w:rsidTr="00EC635A">
        <w:tc>
          <w:tcPr>
            <w:tcW w:w="5148" w:type="dxa"/>
          </w:tcPr>
          <w:p w:rsidR="0079031C" w:rsidRPr="00E919BD" w:rsidRDefault="0079031C" w:rsidP="00EC635A">
            <w:pPr>
              <w:widowControl w:val="0"/>
              <w:tabs>
                <w:tab w:val="right" w:pos="7224"/>
              </w:tabs>
              <w:jc w:val="both"/>
              <w:rPr>
                <w:rFonts w:ascii="Arial" w:hAnsi="Arial" w:cs="Arial"/>
                <w:snapToGrid w:val="0"/>
                <w:color w:val="000000"/>
                <w:sz w:val="24"/>
              </w:rPr>
            </w:pPr>
          </w:p>
        </w:tc>
        <w:tc>
          <w:tcPr>
            <w:tcW w:w="1920" w:type="dxa"/>
          </w:tcPr>
          <w:p w:rsidR="0079031C" w:rsidRPr="00E919BD" w:rsidRDefault="0079031C" w:rsidP="00EC635A">
            <w:pPr>
              <w:widowControl w:val="0"/>
              <w:tabs>
                <w:tab w:val="right" w:pos="7224"/>
              </w:tabs>
              <w:jc w:val="right"/>
              <w:rPr>
                <w:rFonts w:ascii="Arial" w:hAnsi="Arial" w:cs="Arial"/>
                <w:b/>
                <w:snapToGrid w:val="0"/>
                <w:color w:val="000000"/>
                <w:sz w:val="24"/>
              </w:rPr>
            </w:pPr>
            <w:r w:rsidRPr="00E919BD">
              <w:rPr>
                <w:rFonts w:ascii="Arial" w:hAnsi="Arial" w:cs="Arial"/>
                <w:b/>
                <w:snapToGrid w:val="0"/>
                <w:color w:val="000000"/>
                <w:sz w:val="24"/>
              </w:rPr>
              <w:t>£’000</w:t>
            </w:r>
          </w:p>
        </w:tc>
        <w:tc>
          <w:tcPr>
            <w:tcW w:w="1920" w:type="dxa"/>
          </w:tcPr>
          <w:p w:rsidR="0079031C" w:rsidRPr="00E919BD" w:rsidRDefault="0079031C" w:rsidP="00EC635A">
            <w:pPr>
              <w:widowControl w:val="0"/>
              <w:tabs>
                <w:tab w:val="right" w:pos="7224"/>
              </w:tabs>
              <w:jc w:val="right"/>
              <w:rPr>
                <w:rFonts w:ascii="Arial" w:hAnsi="Arial" w:cs="Arial"/>
                <w:b/>
                <w:snapToGrid w:val="0"/>
                <w:color w:val="000000"/>
                <w:sz w:val="24"/>
              </w:rPr>
            </w:pPr>
            <w:r w:rsidRPr="00E919BD">
              <w:rPr>
                <w:rFonts w:ascii="Arial" w:hAnsi="Arial" w:cs="Arial"/>
                <w:b/>
                <w:snapToGrid w:val="0"/>
                <w:color w:val="000000"/>
                <w:sz w:val="24"/>
              </w:rPr>
              <w:t>£’000</w:t>
            </w:r>
          </w:p>
        </w:tc>
      </w:tr>
      <w:tr w:rsidR="0079031C" w:rsidRPr="00E919BD" w:rsidTr="00EC635A">
        <w:tc>
          <w:tcPr>
            <w:tcW w:w="5148" w:type="dxa"/>
          </w:tcPr>
          <w:p w:rsidR="0079031C" w:rsidRPr="00E919BD" w:rsidRDefault="0079031C" w:rsidP="00EC635A">
            <w:pPr>
              <w:widowControl w:val="0"/>
              <w:tabs>
                <w:tab w:val="right" w:pos="7224"/>
              </w:tabs>
              <w:rPr>
                <w:rFonts w:ascii="Arial" w:hAnsi="Arial" w:cs="Arial"/>
                <w:b/>
                <w:snapToGrid w:val="0"/>
                <w:color w:val="000000"/>
                <w:sz w:val="24"/>
              </w:rPr>
            </w:pPr>
            <w:r w:rsidRPr="00E919BD">
              <w:rPr>
                <w:rFonts w:ascii="Arial" w:hAnsi="Arial" w:cs="Arial"/>
                <w:b/>
                <w:snapToGrid w:val="0"/>
                <w:color w:val="000000"/>
                <w:sz w:val="24"/>
              </w:rPr>
              <w:t>Fixed interest securities</w:t>
            </w:r>
          </w:p>
        </w:tc>
        <w:tc>
          <w:tcPr>
            <w:tcW w:w="1920" w:type="dxa"/>
          </w:tcPr>
          <w:p w:rsidR="0079031C" w:rsidRPr="00E919BD" w:rsidRDefault="0079031C" w:rsidP="00EC635A">
            <w:pPr>
              <w:widowControl w:val="0"/>
              <w:tabs>
                <w:tab w:val="right" w:pos="7224"/>
              </w:tabs>
              <w:jc w:val="right"/>
              <w:rPr>
                <w:rFonts w:ascii="Arial" w:hAnsi="Arial" w:cs="Arial"/>
                <w:snapToGrid w:val="0"/>
                <w:color w:val="000000"/>
                <w:sz w:val="24"/>
              </w:rPr>
            </w:pPr>
          </w:p>
        </w:tc>
        <w:tc>
          <w:tcPr>
            <w:tcW w:w="1920" w:type="dxa"/>
          </w:tcPr>
          <w:p w:rsidR="0079031C" w:rsidRPr="00E919BD" w:rsidRDefault="0079031C" w:rsidP="00EC635A">
            <w:pPr>
              <w:widowControl w:val="0"/>
              <w:tabs>
                <w:tab w:val="right" w:pos="7224"/>
              </w:tabs>
              <w:jc w:val="right"/>
              <w:rPr>
                <w:rFonts w:ascii="Arial" w:hAnsi="Arial" w:cs="Arial"/>
                <w:snapToGrid w:val="0"/>
                <w:color w:val="000000"/>
                <w:sz w:val="24"/>
              </w:rPr>
            </w:pPr>
          </w:p>
        </w:tc>
      </w:tr>
      <w:tr w:rsidR="0079031C" w:rsidRPr="00E919BD" w:rsidTr="00EC635A">
        <w:tc>
          <w:tcPr>
            <w:tcW w:w="5148" w:type="dxa"/>
          </w:tcPr>
          <w:p w:rsidR="0079031C" w:rsidRPr="00E919BD" w:rsidRDefault="0079031C" w:rsidP="00EC635A">
            <w:pPr>
              <w:widowControl w:val="0"/>
              <w:tabs>
                <w:tab w:val="right" w:pos="7224"/>
              </w:tabs>
              <w:rPr>
                <w:rFonts w:ascii="Arial" w:hAnsi="Arial" w:cs="Arial"/>
                <w:b/>
                <w:snapToGrid w:val="0"/>
                <w:color w:val="000000"/>
                <w:sz w:val="24"/>
              </w:rPr>
            </w:pPr>
            <w:smartTag w:uri="urn:schemas-microsoft-com:office:smarttags" w:element="place">
              <w:smartTag w:uri="urn:schemas-microsoft-com:office:smarttags" w:element="country-region">
                <w:r w:rsidRPr="00E919BD">
                  <w:rPr>
                    <w:rFonts w:ascii="Arial" w:hAnsi="Arial" w:cs="Arial"/>
                    <w:b/>
                    <w:snapToGrid w:val="0"/>
                    <w:color w:val="000000"/>
                    <w:sz w:val="24"/>
                  </w:rPr>
                  <w:t>UK</w:t>
                </w:r>
              </w:smartTag>
            </w:smartTag>
          </w:p>
        </w:tc>
        <w:tc>
          <w:tcPr>
            <w:tcW w:w="1920" w:type="dxa"/>
          </w:tcPr>
          <w:p w:rsidR="0079031C" w:rsidRPr="00E919BD" w:rsidRDefault="0079031C" w:rsidP="00EC635A">
            <w:pPr>
              <w:widowControl w:val="0"/>
              <w:tabs>
                <w:tab w:val="right" w:pos="7224"/>
              </w:tabs>
              <w:jc w:val="right"/>
              <w:rPr>
                <w:rFonts w:ascii="Arial" w:hAnsi="Arial" w:cs="Arial"/>
                <w:snapToGrid w:val="0"/>
                <w:color w:val="000000"/>
                <w:sz w:val="24"/>
              </w:rPr>
            </w:pPr>
          </w:p>
        </w:tc>
        <w:tc>
          <w:tcPr>
            <w:tcW w:w="1920" w:type="dxa"/>
          </w:tcPr>
          <w:p w:rsidR="0079031C" w:rsidRPr="00E919BD" w:rsidRDefault="0079031C" w:rsidP="00EC635A">
            <w:pPr>
              <w:widowControl w:val="0"/>
              <w:tabs>
                <w:tab w:val="right" w:pos="7224"/>
              </w:tabs>
              <w:jc w:val="right"/>
              <w:rPr>
                <w:rFonts w:ascii="Arial" w:hAnsi="Arial" w:cs="Arial"/>
                <w:snapToGrid w:val="0"/>
                <w:color w:val="000000"/>
                <w:sz w:val="24"/>
              </w:rPr>
            </w:pPr>
          </w:p>
        </w:tc>
      </w:tr>
      <w:tr w:rsidR="0079031C" w:rsidRPr="00E919BD" w:rsidTr="00EC635A">
        <w:tc>
          <w:tcPr>
            <w:tcW w:w="5148" w:type="dxa"/>
          </w:tcPr>
          <w:p w:rsidR="0079031C" w:rsidRPr="00E919BD" w:rsidRDefault="006F4F94" w:rsidP="00EC635A">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Public sector quoted</w:t>
            </w:r>
          </w:p>
        </w:tc>
        <w:tc>
          <w:tcPr>
            <w:tcW w:w="1920" w:type="dxa"/>
          </w:tcPr>
          <w:p w:rsidR="0079031C" w:rsidRPr="00E919BD" w:rsidRDefault="00711FEB"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66,09</w:t>
            </w:r>
            <w:r w:rsidR="001E1314">
              <w:rPr>
                <w:rFonts w:ascii="Arial" w:hAnsi="Arial" w:cs="Arial"/>
                <w:snapToGrid w:val="0"/>
                <w:color w:val="000000"/>
                <w:sz w:val="24"/>
              </w:rPr>
              <w:t>4</w:t>
            </w:r>
          </w:p>
        </w:tc>
        <w:tc>
          <w:tcPr>
            <w:tcW w:w="1920" w:type="dxa"/>
          </w:tcPr>
          <w:p w:rsidR="0079031C" w:rsidRPr="00E919BD" w:rsidRDefault="00CB32CE"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0</w:t>
            </w:r>
          </w:p>
        </w:tc>
      </w:tr>
      <w:tr w:rsidR="0079031C" w:rsidRPr="00E919BD" w:rsidTr="00EC635A">
        <w:tc>
          <w:tcPr>
            <w:tcW w:w="5148" w:type="dxa"/>
          </w:tcPr>
          <w:p w:rsidR="0079031C" w:rsidRPr="00E919BD" w:rsidRDefault="006F4F94" w:rsidP="00EC635A">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Corporate quoted</w:t>
            </w:r>
          </w:p>
        </w:tc>
        <w:tc>
          <w:tcPr>
            <w:tcW w:w="1920" w:type="dxa"/>
          </w:tcPr>
          <w:p w:rsidR="0079031C" w:rsidRPr="00E919BD" w:rsidRDefault="00C5196A"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1,141</w:t>
            </w:r>
          </w:p>
        </w:tc>
        <w:tc>
          <w:tcPr>
            <w:tcW w:w="1920" w:type="dxa"/>
          </w:tcPr>
          <w:p w:rsidR="0079031C" w:rsidRPr="00E919BD" w:rsidRDefault="00CB32CE"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0</w:t>
            </w:r>
          </w:p>
        </w:tc>
      </w:tr>
      <w:tr w:rsidR="0079031C" w:rsidRPr="00E919BD" w:rsidTr="00EC635A">
        <w:tc>
          <w:tcPr>
            <w:tcW w:w="5148" w:type="dxa"/>
          </w:tcPr>
          <w:p w:rsidR="0079031C" w:rsidRPr="00E919BD" w:rsidRDefault="006F4F94" w:rsidP="00EC635A">
            <w:pPr>
              <w:widowControl w:val="0"/>
              <w:tabs>
                <w:tab w:val="right" w:pos="7224"/>
              </w:tabs>
              <w:rPr>
                <w:rFonts w:ascii="Arial" w:hAnsi="Arial" w:cs="Arial"/>
                <w:b/>
                <w:snapToGrid w:val="0"/>
                <w:color w:val="000000"/>
                <w:sz w:val="24"/>
              </w:rPr>
            </w:pPr>
            <w:r w:rsidRPr="00E919BD">
              <w:rPr>
                <w:rFonts w:ascii="Arial" w:hAnsi="Arial" w:cs="Arial"/>
                <w:b/>
                <w:snapToGrid w:val="0"/>
                <w:color w:val="000000"/>
                <w:sz w:val="24"/>
              </w:rPr>
              <w:t>Overseas</w:t>
            </w:r>
          </w:p>
        </w:tc>
        <w:tc>
          <w:tcPr>
            <w:tcW w:w="1920" w:type="dxa"/>
          </w:tcPr>
          <w:p w:rsidR="0079031C" w:rsidRPr="00E919BD" w:rsidRDefault="0079031C" w:rsidP="00EC635A">
            <w:pPr>
              <w:widowControl w:val="0"/>
              <w:tabs>
                <w:tab w:val="right" w:pos="7224"/>
              </w:tabs>
              <w:jc w:val="right"/>
              <w:rPr>
                <w:rFonts w:ascii="Arial" w:hAnsi="Arial" w:cs="Arial"/>
                <w:snapToGrid w:val="0"/>
                <w:color w:val="000000"/>
                <w:sz w:val="24"/>
              </w:rPr>
            </w:pPr>
          </w:p>
        </w:tc>
        <w:tc>
          <w:tcPr>
            <w:tcW w:w="1920" w:type="dxa"/>
          </w:tcPr>
          <w:p w:rsidR="0079031C" w:rsidRPr="00E919BD" w:rsidRDefault="0079031C" w:rsidP="00EC635A">
            <w:pPr>
              <w:widowControl w:val="0"/>
              <w:tabs>
                <w:tab w:val="right" w:pos="7224"/>
              </w:tabs>
              <w:jc w:val="right"/>
              <w:rPr>
                <w:rFonts w:ascii="Arial" w:hAnsi="Arial" w:cs="Arial"/>
                <w:snapToGrid w:val="0"/>
                <w:color w:val="000000"/>
                <w:sz w:val="24"/>
              </w:rPr>
            </w:pPr>
          </w:p>
        </w:tc>
      </w:tr>
      <w:tr w:rsidR="0079031C" w:rsidRPr="00E919BD" w:rsidTr="00EC635A">
        <w:tc>
          <w:tcPr>
            <w:tcW w:w="5148" w:type="dxa"/>
          </w:tcPr>
          <w:p w:rsidR="0079031C" w:rsidRPr="00E919BD" w:rsidRDefault="006F4F94" w:rsidP="00EC635A">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Public sector quoted</w:t>
            </w:r>
          </w:p>
        </w:tc>
        <w:tc>
          <w:tcPr>
            <w:tcW w:w="1920" w:type="dxa"/>
          </w:tcPr>
          <w:p w:rsidR="0079031C" w:rsidRPr="00E919BD" w:rsidRDefault="002F401B"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9</w:t>
            </w:r>
            <w:r w:rsidR="00FD0937">
              <w:rPr>
                <w:rFonts w:ascii="Arial" w:hAnsi="Arial" w:cs="Arial"/>
                <w:snapToGrid w:val="0"/>
                <w:color w:val="000000"/>
                <w:sz w:val="24"/>
              </w:rPr>
              <w:t>,</w:t>
            </w:r>
            <w:r>
              <w:rPr>
                <w:rFonts w:ascii="Arial" w:hAnsi="Arial" w:cs="Arial"/>
                <w:snapToGrid w:val="0"/>
                <w:color w:val="000000"/>
                <w:sz w:val="24"/>
              </w:rPr>
              <w:t>805</w:t>
            </w:r>
          </w:p>
        </w:tc>
        <w:tc>
          <w:tcPr>
            <w:tcW w:w="1920" w:type="dxa"/>
          </w:tcPr>
          <w:p w:rsidR="0079031C" w:rsidRPr="00E919BD" w:rsidRDefault="00CB32CE"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0</w:t>
            </w:r>
          </w:p>
        </w:tc>
      </w:tr>
      <w:tr w:rsidR="00207717" w:rsidRPr="00E919BD" w:rsidTr="00EC635A">
        <w:tc>
          <w:tcPr>
            <w:tcW w:w="5148" w:type="dxa"/>
          </w:tcPr>
          <w:p w:rsidR="00207717" w:rsidRPr="00E919BD" w:rsidRDefault="00207717" w:rsidP="00EC635A">
            <w:pPr>
              <w:widowControl w:val="0"/>
              <w:tabs>
                <w:tab w:val="right" w:pos="7224"/>
              </w:tabs>
              <w:rPr>
                <w:rFonts w:ascii="Arial" w:hAnsi="Arial" w:cs="Arial"/>
                <w:snapToGrid w:val="0"/>
                <w:color w:val="000000"/>
                <w:sz w:val="24"/>
              </w:rPr>
            </w:pPr>
          </w:p>
        </w:tc>
        <w:tc>
          <w:tcPr>
            <w:tcW w:w="1920" w:type="dxa"/>
          </w:tcPr>
          <w:p w:rsidR="00207717" w:rsidRPr="00E919BD" w:rsidRDefault="00CA1BED" w:rsidP="00EC635A">
            <w:pPr>
              <w:widowControl w:val="0"/>
              <w:tabs>
                <w:tab w:val="right" w:pos="7224"/>
              </w:tabs>
              <w:jc w:val="right"/>
              <w:rPr>
                <w:rFonts w:ascii="Arial" w:hAnsi="Arial" w:cs="Arial"/>
                <w:b/>
                <w:snapToGrid w:val="0"/>
                <w:color w:val="000000"/>
                <w:sz w:val="24"/>
              </w:rPr>
            </w:pPr>
            <w:r w:rsidRPr="00E919BD">
              <w:rPr>
                <w:rFonts w:ascii="Arial" w:hAnsi="Arial" w:cs="Arial"/>
                <w:b/>
                <w:snapToGrid w:val="0"/>
                <w:color w:val="000000"/>
                <w:sz w:val="24"/>
              </w:rPr>
              <w:t>7</w:t>
            </w:r>
            <w:r w:rsidR="00C5196A">
              <w:rPr>
                <w:rFonts w:ascii="Arial" w:hAnsi="Arial" w:cs="Arial"/>
                <w:b/>
                <w:snapToGrid w:val="0"/>
                <w:color w:val="000000"/>
                <w:sz w:val="24"/>
              </w:rPr>
              <w:t>7,040</w:t>
            </w:r>
          </w:p>
        </w:tc>
        <w:tc>
          <w:tcPr>
            <w:tcW w:w="1920" w:type="dxa"/>
          </w:tcPr>
          <w:p w:rsidR="00207717" w:rsidRPr="00E919BD" w:rsidRDefault="00CB32CE" w:rsidP="00EC635A">
            <w:pPr>
              <w:widowControl w:val="0"/>
              <w:tabs>
                <w:tab w:val="right" w:pos="7224"/>
              </w:tabs>
              <w:jc w:val="right"/>
              <w:rPr>
                <w:rFonts w:ascii="Arial" w:hAnsi="Arial" w:cs="Arial"/>
                <w:b/>
                <w:snapToGrid w:val="0"/>
                <w:color w:val="000000"/>
                <w:sz w:val="24"/>
              </w:rPr>
            </w:pPr>
            <w:r>
              <w:rPr>
                <w:rFonts w:ascii="Arial" w:hAnsi="Arial" w:cs="Arial"/>
                <w:b/>
                <w:snapToGrid w:val="0"/>
                <w:color w:val="000000"/>
                <w:sz w:val="24"/>
              </w:rPr>
              <w:t>0</w:t>
            </w:r>
          </w:p>
        </w:tc>
      </w:tr>
      <w:tr w:rsidR="00207717" w:rsidRPr="00E919BD" w:rsidTr="00EC635A">
        <w:tc>
          <w:tcPr>
            <w:tcW w:w="5148" w:type="dxa"/>
          </w:tcPr>
          <w:p w:rsidR="00207717" w:rsidRPr="00E919BD" w:rsidRDefault="00F15F24" w:rsidP="00EC635A">
            <w:pPr>
              <w:widowControl w:val="0"/>
              <w:tabs>
                <w:tab w:val="right" w:pos="7224"/>
              </w:tabs>
              <w:rPr>
                <w:rFonts w:ascii="Arial" w:hAnsi="Arial" w:cs="Arial"/>
                <w:b/>
                <w:snapToGrid w:val="0"/>
                <w:color w:val="000000"/>
                <w:sz w:val="24"/>
              </w:rPr>
            </w:pPr>
            <w:r w:rsidRPr="00E919BD">
              <w:rPr>
                <w:rFonts w:ascii="Arial" w:hAnsi="Arial" w:cs="Arial"/>
                <w:b/>
                <w:snapToGrid w:val="0"/>
                <w:color w:val="000000"/>
                <w:sz w:val="24"/>
              </w:rPr>
              <w:t>Equities</w:t>
            </w:r>
          </w:p>
        </w:tc>
        <w:tc>
          <w:tcPr>
            <w:tcW w:w="1920" w:type="dxa"/>
          </w:tcPr>
          <w:p w:rsidR="00207717" w:rsidRPr="00E919BD" w:rsidRDefault="00207717" w:rsidP="00EC635A">
            <w:pPr>
              <w:widowControl w:val="0"/>
              <w:tabs>
                <w:tab w:val="right" w:pos="7224"/>
              </w:tabs>
              <w:jc w:val="right"/>
              <w:rPr>
                <w:rFonts w:ascii="Arial" w:hAnsi="Arial" w:cs="Arial"/>
                <w:snapToGrid w:val="0"/>
                <w:color w:val="000000"/>
                <w:sz w:val="24"/>
              </w:rPr>
            </w:pPr>
          </w:p>
        </w:tc>
        <w:tc>
          <w:tcPr>
            <w:tcW w:w="1920" w:type="dxa"/>
          </w:tcPr>
          <w:p w:rsidR="00207717" w:rsidRPr="00E919BD" w:rsidRDefault="00207717" w:rsidP="00EC635A">
            <w:pPr>
              <w:widowControl w:val="0"/>
              <w:tabs>
                <w:tab w:val="right" w:pos="7224"/>
              </w:tabs>
              <w:jc w:val="right"/>
              <w:rPr>
                <w:rFonts w:ascii="Arial" w:hAnsi="Arial" w:cs="Arial"/>
                <w:snapToGrid w:val="0"/>
                <w:color w:val="000000"/>
                <w:sz w:val="24"/>
              </w:rPr>
            </w:pPr>
          </w:p>
        </w:tc>
      </w:tr>
      <w:tr w:rsidR="00207717" w:rsidRPr="00E919BD" w:rsidTr="00EC635A">
        <w:tc>
          <w:tcPr>
            <w:tcW w:w="5148" w:type="dxa"/>
          </w:tcPr>
          <w:p w:rsidR="00207717" w:rsidRPr="00E919BD" w:rsidRDefault="00F15F24" w:rsidP="00EC635A">
            <w:pPr>
              <w:widowControl w:val="0"/>
              <w:tabs>
                <w:tab w:val="right" w:pos="7224"/>
              </w:tabs>
              <w:rPr>
                <w:rFonts w:ascii="Arial" w:hAnsi="Arial" w:cs="Arial"/>
                <w:b/>
                <w:snapToGrid w:val="0"/>
                <w:color w:val="000000"/>
                <w:sz w:val="24"/>
              </w:rPr>
            </w:pPr>
            <w:smartTag w:uri="urn:schemas-microsoft-com:office:smarttags" w:element="place">
              <w:smartTag w:uri="urn:schemas-microsoft-com:office:smarttags" w:element="country-region">
                <w:r w:rsidRPr="00E919BD">
                  <w:rPr>
                    <w:rFonts w:ascii="Arial" w:hAnsi="Arial" w:cs="Arial"/>
                    <w:b/>
                    <w:snapToGrid w:val="0"/>
                    <w:color w:val="000000"/>
                    <w:sz w:val="24"/>
                  </w:rPr>
                  <w:t>UK</w:t>
                </w:r>
              </w:smartTag>
            </w:smartTag>
          </w:p>
        </w:tc>
        <w:tc>
          <w:tcPr>
            <w:tcW w:w="1920" w:type="dxa"/>
          </w:tcPr>
          <w:p w:rsidR="00207717" w:rsidRPr="00E919BD" w:rsidRDefault="00207717" w:rsidP="00EC635A">
            <w:pPr>
              <w:widowControl w:val="0"/>
              <w:tabs>
                <w:tab w:val="right" w:pos="7224"/>
              </w:tabs>
              <w:jc w:val="right"/>
              <w:rPr>
                <w:rFonts w:ascii="Arial" w:hAnsi="Arial" w:cs="Arial"/>
                <w:snapToGrid w:val="0"/>
                <w:color w:val="000000"/>
                <w:sz w:val="24"/>
              </w:rPr>
            </w:pPr>
          </w:p>
        </w:tc>
        <w:tc>
          <w:tcPr>
            <w:tcW w:w="1920" w:type="dxa"/>
          </w:tcPr>
          <w:p w:rsidR="00207717" w:rsidRPr="00E919BD" w:rsidRDefault="00207717" w:rsidP="00EC635A">
            <w:pPr>
              <w:widowControl w:val="0"/>
              <w:tabs>
                <w:tab w:val="right" w:pos="7224"/>
              </w:tabs>
              <w:jc w:val="right"/>
              <w:rPr>
                <w:rFonts w:ascii="Arial" w:hAnsi="Arial" w:cs="Arial"/>
                <w:snapToGrid w:val="0"/>
                <w:color w:val="000000"/>
                <w:sz w:val="24"/>
              </w:rPr>
            </w:pPr>
          </w:p>
        </w:tc>
      </w:tr>
      <w:tr w:rsidR="0079031C" w:rsidRPr="00E919BD" w:rsidTr="00EC635A">
        <w:tc>
          <w:tcPr>
            <w:tcW w:w="5148" w:type="dxa"/>
          </w:tcPr>
          <w:p w:rsidR="0079031C" w:rsidRPr="00E919BD" w:rsidRDefault="00EF7D1F" w:rsidP="00EC635A">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Quoted</w:t>
            </w:r>
          </w:p>
        </w:tc>
        <w:tc>
          <w:tcPr>
            <w:tcW w:w="1920" w:type="dxa"/>
          </w:tcPr>
          <w:p w:rsidR="0079031C" w:rsidRPr="00E919BD" w:rsidRDefault="00E751E7"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86,491</w:t>
            </w:r>
          </w:p>
        </w:tc>
        <w:tc>
          <w:tcPr>
            <w:tcW w:w="1920" w:type="dxa"/>
          </w:tcPr>
          <w:p w:rsidR="0079031C" w:rsidRPr="00E919BD" w:rsidRDefault="0022258E"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0</w:t>
            </w:r>
          </w:p>
        </w:tc>
      </w:tr>
      <w:tr w:rsidR="006C35C1" w:rsidRPr="00E919BD" w:rsidTr="00EC635A">
        <w:tc>
          <w:tcPr>
            <w:tcW w:w="5148" w:type="dxa"/>
          </w:tcPr>
          <w:p w:rsidR="006C35C1" w:rsidRPr="00E919BD" w:rsidRDefault="006C35C1" w:rsidP="00EC635A">
            <w:pPr>
              <w:widowControl w:val="0"/>
              <w:tabs>
                <w:tab w:val="right" w:pos="7224"/>
              </w:tabs>
              <w:rPr>
                <w:rFonts w:ascii="Arial" w:hAnsi="Arial" w:cs="Arial"/>
                <w:snapToGrid w:val="0"/>
                <w:color w:val="000000"/>
                <w:sz w:val="24"/>
              </w:rPr>
            </w:pPr>
          </w:p>
        </w:tc>
        <w:tc>
          <w:tcPr>
            <w:tcW w:w="1920" w:type="dxa"/>
          </w:tcPr>
          <w:p w:rsidR="006C35C1" w:rsidRPr="00E919BD" w:rsidRDefault="00515187" w:rsidP="00EC635A">
            <w:pPr>
              <w:widowControl w:val="0"/>
              <w:tabs>
                <w:tab w:val="right" w:pos="7224"/>
              </w:tabs>
              <w:jc w:val="right"/>
              <w:rPr>
                <w:rFonts w:ascii="Arial" w:hAnsi="Arial" w:cs="Arial"/>
                <w:b/>
                <w:snapToGrid w:val="0"/>
                <w:color w:val="000000"/>
                <w:sz w:val="24"/>
              </w:rPr>
            </w:pPr>
            <w:r>
              <w:rPr>
                <w:rFonts w:ascii="Arial" w:hAnsi="Arial" w:cs="Arial"/>
                <w:b/>
                <w:snapToGrid w:val="0"/>
                <w:color w:val="000000"/>
                <w:sz w:val="24"/>
              </w:rPr>
              <w:t>86,491</w:t>
            </w:r>
          </w:p>
        </w:tc>
        <w:tc>
          <w:tcPr>
            <w:tcW w:w="1920" w:type="dxa"/>
          </w:tcPr>
          <w:p w:rsidR="006C35C1" w:rsidRPr="00E919BD" w:rsidRDefault="005D5126" w:rsidP="00EC635A">
            <w:pPr>
              <w:widowControl w:val="0"/>
              <w:tabs>
                <w:tab w:val="right" w:pos="7224"/>
              </w:tabs>
              <w:jc w:val="right"/>
              <w:rPr>
                <w:rFonts w:ascii="Arial" w:hAnsi="Arial" w:cs="Arial"/>
                <w:b/>
                <w:snapToGrid w:val="0"/>
                <w:color w:val="000000"/>
                <w:sz w:val="24"/>
              </w:rPr>
            </w:pPr>
            <w:r>
              <w:rPr>
                <w:rFonts w:ascii="Arial" w:hAnsi="Arial" w:cs="Arial"/>
                <w:b/>
                <w:snapToGrid w:val="0"/>
                <w:color w:val="000000"/>
                <w:sz w:val="24"/>
              </w:rPr>
              <w:t>0</w:t>
            </w:r>
          </w:p>
        </w:tc>
      </w:tr>
      <w:tr w:rsidR="006C35C1" w:rsidRPr="00E919BD" w:rsidTr="00EC635A">
        <w:tc>
          <w:tcPr>
            <w:tcW w:w="5148" w:type="dxa"/>
          </w:tcPr>
          <w:p w:rsidR="006C35C1" w:rsidRPr="00E919BD" w:rsidRDefault="006C35C1" w:rsidP="00EC635A">
            <w:pPr>
              <w:widowControl w:val="0"/>
              <w:tabs>
                <w:tab w:val="right" w:pos="7224"/>
              </w:tabs>
              <w:rPr>
                <w:rFonts w:ascii="Arial" w:hAnsi="Arial" w:cs="Arial"/>
                <w:b/>
                <w:snapToGrid w:val="0"/>
                <w:color w:val="000000"/>
                <w:sz w:val="24"/>
              </w:rPr>
            </w:pPr>
            <w:r w:rsidRPr="00E919BD">
              <w:rPr>
                <w:rFonts w:ascii="Arial" w:hAnsi="Arial" w:cs="Arial"/>
                <w:b/>
                <w:snapToGrid w:val="0"/>
                <w:color w:val="000000"/>
                <w:sz w:val="24"/>
              </w:rPr>
              <w:t>Pooled funds – additional analysis</w:t>
            </w:r>
          </w:p>
        </w:tc>
        <w:tc>
          <w:tcPr>
            <w:tcW w:w="1920" w:type="dxa"/>
          </w:tcPr>
          <w:p w:rsidR="006C35C1" w:rsidRPr="00E919BD" w:rsidRDefault="006C35C1" w:rsidP="00EC635A">
            <w:pPr>
              <w:widowControl w:val="0"/>
              <w:tabs>
                <w:tab w:val="right" w:pos="7224"/>
              </w:tabs>
              <w:jc w:val="right"/>
              <w:rPr>
                <w:rFonts w:ascii="Arial" w:hAnsi="Arial" w:cs="Arial"/>
                <w:snapToGrid w:val="0"/>
                <w:color w:val="000000"/>
                <w:sz w:val="24"/>
              </w:rPr>
            </w:pPr>
          </w:p>
        </w:tc>
        <w:tc>
          <w:tcPr>
            <w:tcW w:w="1920" w:type="dxa"/>
          </w:tcPr>
          <w:p w:rsidR="006C35C1" w:rsidRPr="00E919BD" w:rsidRDefault="006C35C1" w:rsidP="00EC635A">
            <w:pPr>
              <w:widowControl w:val="0"/>
              <w:tabs>
                <w:tab w:val="right" w:pos="7224"/>
              </w:tabs>
              <w:jc w:val="right"/>
              <w:rPr>
                <w:rFonts w:ascii="Arial" w:hAnsi="Arial" w:cs="Arial"/>
                <w:snapToGrid w:val="0"/>
                <w:color w:val="000000"/>
                <w:sz w:val="24"/>
              </w:rPr>
            </w:pPr>
          </w:p>
        </w:tc>
      </w:tr>
      <w:tr w:rsidR="00693495" w:rsidRPr="00E919BD" w:rsidTr="00EC635A">
        <w:tc>
          <w:tcPr>
            <w:tcW w:w="5148" w:type="dxa"/>
          </w:tcPr>
          <w:p w:rsidR="00693495" w:rsidRPr="00E919BD" w:rsidRDefault="00693495" w:rsidP="00EC635A">
            <w:pPr>
              <w:widowControl w:val="0"/>
              <w:tabs>
                <w:tab w:val="right" w:pos="7224"/>
              </w:tabs>
              <w:rPr>
                <w:rFonts w:ascii="Arial" w:hAnsi="Arial" w:cs="Arial"/>
                <w:snapToGrid w:val="0"/>
                <w:color w:val="000000"/>
                <w:sz w:val="24"/>
              </w:rPr>
            </w:pPr>
            <w:r w:rsidRPr="00E919BD">
              <w:rPr>
                <w:rFonts w:ascii="Arial" w:hAnsi="Arial" w:cs="Arial"/>
                <w:b/>
                <w:snapToGrid w:val="0"/>
                <w:color w:val="000000"/>
                <w:sz w:val="24"/>
              </w:rPr>
              <w:t>UK</w:t>
            </w:r>
          </w:p>
        </w:tc>
        <w:tc>
          <w:tcPr>
            <w:tcW w:w="1920" w:type="dxa"/>
          </w:tcPr>
          <w:p w:rsidR="00693495" w:rsidRPr="00E919BD" w:rsidRDefault="00693495" w:rsidP="00EC635A">
            <w:pPr>
              <w:widowControl w:val="0"/>
              <w:tabs>
                <w:tab w:val="right" w:pos="7224"/>
              </w:tabs>
              <w:jc w:val="right"/>
              <w:rPr>
                <w:rFonts w:ascii="Arial" w:hAnsi="Arial" w:cs="Arial"/>
                <w:snapToGrid w:val="0"/>
                <w:color w:val="000000"/>
                <w:sz w:val="24"/>
              </w:rPr>
            </w:pPr>
          </w:p>
        </w:tc>
        <w:tc>
          <w:tcPr>
            <w:tcW w:w="1920" w:type="dxa"/>
          </w:tcPr>
          <w:p w:rsidR="00693495" w:rsidRPr="00E919BD" w:rsidRDefault="00693495" w:rsidP="00EC635A">
            <w:pPr>
              <w:widowControl w:val="0"/>
              <w:tabs>
                <w:tab w:val="right" w:pos="7224"/>
              </w:tabs>
              <w:jc w:val="right"/>
              <w:rPr>
                <w:rFonts w:ascii="Arial" w:hAnsi="Arial" w:cs="Arial"/>
                <w:snapToGrid w:val="0"/>
                <w:color w:val="000000"/>
                <w:sz w:val="24"/>
              </w:rPr>
            </w:pPr>
          </w:p>
        </w:tc>
      </w:tr>
      <w:tr w:rsidR="00642EAB" w:rsidRPr="00E919BD" w:rsidTr="00642EAB">
        <w:tc>
          <w:tcPr>
            <w:tcW w:w="5148" w:type="dxa"/>
          </w:tcPr>
          <w:p w:rsidR="00642EAB" w:rsidRPr="00E919BD" w:rsidRDefault="00642EAB" w:rsidP="00642EAB">
            <w:pPr>
              <w:widowControl w:val="0"/>
              <w:tabs>
                <w:tab w:val="right" w:pos="7224"/>
              </w:tabs>
              <w:rPr>
                <w:rFonts w:ascii="Arial" w:hAnsi="Arial" w:cs="Arial"/>
                <w:snapToGrid w:val="0"/>
                <w:color w:val="000000"/>
                <w:sz w:val="24"/>
              </w:rPr>
            </w:pPr>
            <w:r>
              <w:rPr>
                <w:rFonts w:ascii="Arial" w:hAnsi="Arial" w:cs="Arial"/>
                <w:snapToGrid w:val="0"/>
                <w:color w:val="000000"/>
                <w:sz w:val="24"/>
              </w:rPr>
              <w:t>Fixed income unit trust</w:t>
            </w:r>
          </w:p>
        </w:tc>
        <w:tc>
          <w:tcPr>
            <w:tcW w:w="1920" w:type="dxa"/>
          </w:tcPr>
          <w:p w:rsidR="00642EAB" w:rsidRPr="00E919BD" w:rsidRDefault="00642EAB" w:rsidP="00642EAB">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0</w:t>
            </w:r>
          </w:p>
        </w:tc>
        <w:tc>
          <w:tcPr>
            <w:tcW w:w="1920" w:type="dxa"/>
          </w:tcPr>
          <w:p w:rsidR="00642EAB" w:rsidRPr="00E919BD" w:rsidRDefault="00642EAB" w:rsidP="00642EAB">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82,898</w:t>
            </w:r>
          </w:p>
        </w:tc>
      </w:tr>
      <w:tr w:rsidR="009D76EC" w:rsidRPr="00E919BD" w:rsidTr="00EC635A">
        <w:tc>
          <w:tcPr>
            <w:tcW w:w="5148" w:type="dxa"/>
          </w:tcPr>
          <w:p w:rsidR="009D76EC" w:rsidRPr="00E919BD" w:rsidRDefault="008C670F" w:rsidP="00EC635A">
            <w:pPr>
              <w:widowControl w:val="0"/>
              <w:tabs>
                <w:tab w:val="right" w:pos="7224"/>
              </w:tabs>
              <w:rPr>
                <w:rFonts w:ascii="Arial" w:hAnsi="Arial" w:cs="Arial"/>
                <w:snapToGrid w:val="0"/>
                <w:color w:val="000000"/>
                <w:sz w:val="24"/>
              </w:rPr>
            </w:pPr>
            <w:r>
              <w:rPr>
                <w:rFonts w:ascii="Arial" w:hAnsi="Arial" w:cs="Arial"/>
                <w:snapToGrid w:val="0"/>
                <w:color w:val="000000"/>
                <w:sz w:val="24"/>
              </w:rPr>
              <w:t>Unit trusts</w:t>
            </w:r>
          </w:p>
        </w:tc>
        <w:tc>
          <w:tcPr>
            <w:tcW w:w="1920" w:type="dxa"/>
          </w:tcPr>
          <w:p w:rsidR="009D76EC" w:rsidRDefault="00AF5F15"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15,980</w:t>
            </w:r>
          </w:p>
        </w:tc>
        <w:tc>
          <w:tcPr>
            <w:tcW w:w="1920" w:type="dxa"/>
          </w:tcPr>
          <w:p w:rsidR="009D76EC" w:rsidRPr="00E919BD" w:rsidRDefault="001E2F3B"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99,392</w:t>
            </w:r>
          </w:p>
        </w:tc>
      </w:tr>
      <w:tr w:rsidR="00F23EF3" w:rsidRPr="00E919BD" w:rsidTr="00F23EF3">
        <w:tc>
          <w:tcPr>
            <w:tcW w:w="5148" w:type="dxa"/>
          </w:tcPr>
          <w:p w:rsidR="00F23EF3" w:rsidRPr="00E919BD" w:rsidRDefault="00F23EF3" w:rsidP="00F23EF3">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Fund of hedge funds</w:t>
            </w:r>
          </w:p>
        </w:tc>
        <w:tc>
          <w:tcPr>
            <w:tcW w:w="1920" w:type="dxa"/>
          </w:tcPr>
          <w:p w:rsidR="00F23EF3" w:rsidRPr="00E919BD" w:rsidRDefault="00F23EF3" w:rsidP="00F23EF3">
            <w:pPr>
              <w:widowControl w:val="0"/>
              <w:tabs>
                <w:tab w:val="right" w:pos="7224"/>
              </w:tabs>
              <w:jc w:val="right"/>
              <w:rPr>
                <w:rFonts w:ascii="Arial" w:hAnsi="Arial" w:cs="Arial"/>
                <w:snapToGrid w:val="0"/>
                <w:color w:val="000000"/>
                <w:sz w:val="24"/>
              </w:rPr>
            </w:pPr>
            <w:r w:rsidRPr="00E919BD">
              <w:rPr>
                <w:rFonts w:ascii="Arial" w:hAnsi="Arial" w:cs="Arial"/>
                <w:snapToGrid w:val="0"/>
                <w:color w:val="000000"/>
                <w:sz w:val="24"/>
              </w:rPr>
              <w:t>40,494</w:t>
            </w:r>
          </w:p>
        </w:tc>
        <w:tc>
          <w:tcPr>
            <w:tcW w:w="1920" w:type="dxa"/>
          </w:tcPr>
          <w:p w:rsidR="00F23EF3" w:rsidRPr="00E919BD" w:rsidRDefault="00F23EF3" w:rsidP="00F23EF3">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27,231</w:t>
            </w:r>
          </w:p>
        </w:tc>
      </w:tr>
      <w:tr w:rsidR="00F23EF3" w:rsidRPr="00E919BD" w:rsidTr="00F23EF3">
        <w:tc>
          <w:tcPr>
            <w:tcW w:w="5148" w:type="dxa"/>
          </w:tcPr>
          <w:p w:rsidR="00F23EF3" w:rsidRPr="00E919BD" w:rsidRDefault="00F23EF3" w:rsidP="00F23EF3">
            <w:pPr>
              <w:widowControl w:val="0"/>
              <w:tabs>
                <w:tab w:val="right" w:pos="7224"/>
              </w:tabs>
              <w:rPr>
                <w:rFonts w:ascii="Arial" w:hAnsi="Arial" w:cs="Arial"/>
                <w:snapToGrid w:val="0"/>
                <w:color w:val="000000"/>
                <w:sz w:val="24"/>
              </w:rPr>
            </w:pPr>
            <w:r>
              <w:rPr>
                <w:rFonts w:ascii="Arial" w:hAnsi="Arial" w:cs="Arial"/>
                <w:snapToGrid w:val="0"/>
                <w:color w:val="000000"/>
                <w:sz w:val="24"/>
              </w:rPr>
              <w:t>Diversified growth funds</w:t>
            </w:r>
          </w:p>
        </w:tc>
        <w:tc>
          <w:tcPr>
            <w:tcW w:w="1920" w:type="dxa"/>
          </w:tcPr>
          <w:p w:rsidR="00F23EF3" w:rsidRPr="00EF3981" w:rsidRDefault="00F23EF3" w:rsidP="00F23EF3">
            <w:pPr>
              <w:widowControl w:val="0"/>
              <w:tabs>
                <w:tab w:val="right" w:pos="7224"/>
              </w:tabs>
              <w:jc w:val="right"/>
              <w:rPr>
                <w:rFonts w:ascii="Arial" w:hAnsi="Arial" w:cs="Arial"/>
                <w:snapToGrid w:val="0"/>
                <w:color w:val="000000"/>
                <w:sz w:val="24"/>
              </w:rPr>
            </w:pPr>
            <w:r w:rsidRPr="00EF3981">
              <w:rPr>
                <w:rFonts w:ascii="Arial" w:hAnsi="Arial" w:cs="Arial"/>
                <w:snapToGrid w:val="0"/>
                <w:color w:val="000000"/>
                <w:sz w:val="24"/>
              </w:rPr>
              <w:t>0</w:t>
            </w:r>
          </w:p>
        </w:tc>
        <w:tc>
          <w:tcPr>
            <w:tcW w:w="1920" w:type="dxa"/>
          </w:tcPr>
          <w:p w:rsidR="00F23EF3" w:rsidRPr="00EF3981" w:rsidRDefault="00F23EF3" w:rsidP="00F23EF3">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33,953</w:t>
            </w:r>
          </w:p>
        </w:tc>
      </w:tr>
      <w:tr w:rsidR="004F14C7" w:rsidRPr="00E919BD" w:rsidTr="00EC635A">
        <w:tc>
          <w:tcPr>
            <w:tcW w:w="5148" w:type="dxa"/>
          </w:tcPr>
          <w:p w:rsidR="004F14C7" w:rsidRPr="00E919BD" w:rsidRDefault="004F14C7" w:rsidP="00EC635A">
            <w:pPr>
              <w:widowControl w:val="0"/>
              <w:tabs>
                <w:tab w:val="right" w:pos="7224"/>
              </w:tabs>
              <w:rPr>
                <w:rFonts w:ascii="Arial" w:hAnsi="Arial" w:cs="Arial"/>
                <w:snapToGrid w:val="0"/>
                <w:color w:val="000000"/>
                <w:sz w:val="24"/>
              </w:rPr>
            </w:pPr>
            <w:r w:rsidRPr="00E919BD">
              <w:rPr>
                <w:rFonts w:ascii="Arial" w:hAnsi="Arial" w:cs="Arial"/>
                <w:b/>
                <w:snapToGrid w:val="0"/>
                <w:color w:val="000000"/>
                <w:sz w:val="24"/>
              </w:rPr>
              <w:t>Overseas</w:t>
            </w:r>
          </w:p>
        </w:tc>
        <w:tc>
          <w:tcPr>
            <w:tcW w:w="1920" w:type="dxa"/>
          </w:tcPr>
          <w:p w:rsidR="004F14C7" w:rsidRPr="00E919BD" w:rsidRDefault="004F14C7" w:rsidP="00EC635A">
            <w:pPr>
              <w:widowControl w:val="0"/>
              <w:tabs>
                <w:tab w:val="right" w:pos="7224"/>
              </w:tabs>
              <w:jc w:val="right"/>
              <w:rPr>
                <w:rFonts w:ascii="Arial" w:hAnsi="Arial" w:cs="Arial"/>
                <w:snapToGrid w:val="0"/>
                <w:color w:val="000000"/>
                <w:sz w:val="24"/>
              </w:rPr>
            </w:pPr>
          </w:p>
        </w:tc>
        <w:tc>
          <w:tcPr>
            <w:tcW w:w="1920" w:type="dxa"/>
          </w:tcPr>
          <w:p w:rsidR="004F14C7" w:rsidRPr="00E919BD" w:rsidRDefault="004F14C7" w:rsidP="00EC635A">
            <w:pPr>
              <w:widowControl w:val="0"/>
              <w:tabs>
                <w:tab w:val="right" w:pos="7224"/>
              </w:tabs>
              <w:jc w:val="right"/>
              <w:rPr>
                <w:rFonts w:ascii="Arial" w:hAnsi="Arial" w:cs="Arial"/>
                <w:snapToGrid w:val="0"/>
                <w:color w:val="000000"/>
                <w:sz w:val="24"/>
              </w:rPr>
            </w:pPr>
          </w:p>
        </w:tc>
      </w:tr>
      <w:tr w:rsidR="00221B35" w:rsidRPr="00E919BD" w:rsidTr="00EC635A">
        <w:tc>
          <w:tcPr>
            <w:tcW w:w="5148" w:type="dxa"/>
          </w:tcPr>
          <w:p w:rsidR="00221B35" w:rsidRDefault="00EC1F33" w:rsidP="00EC635A">
            <w:pPr>
              <w:widowControl w:val="0"/>
              <w:tabs>
                <w:tab w:val="right" w:pos="7224"/>
              </w:tabs>
              <w:rPr>
                <w:rFonts w:ascii="Arial" w:hAnsi="Arial" w:cs="Arial"/>
                <w:snapToGrid w:val="0"/>
                <w:color w:val="000000"/>
                <w:sz w:val="24"/>
              </w:rPr>
            </w:pPr>
            <w:r>
              <w:rPr>
                <w:rFonts w:ascii="Arial" w:hAnsi="Arial" w:cs="Arial"/>
                <w:snapToGrid w:val="0"/>
                <w:color w:val="000000"/>
                <w:sz w:val="24"/>
              </w:rPr>
              <w:t>Unit trusts</w:t>
            </w:r>
          </w:p>
        </w:tc>
        <w:tc>
          <w:tcPr>
            <w:tcW w:w="1920" w:type="dxa"/>
          </w:tcPr>
          <w:p w:rsidR="00221B35" w:rsidRDefault="00EC1F33" w:rsidP="00E85B21">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148,80</w:t>
            </w:r>
            <w:r w:rsidR="00E85B21">
              <w:rPr>
                <w:rFonts w:ascii="Arial" w:hAnsi="Arial" w:cs="Arial"/>
                <w:snapToGrid w:val="0"/>
                <w:color w:val="000000"/>
                <w:sz w:val="24"/>
              </w:rPr>
              <w:t>7</w:t>
            </w:r>
          </w:p>
        </w:tc>
        <w:tc>
          <w:tcPr>
            <w:tcW w:w="1920" w:type="dxa"/>
          </w:tcPr>
          <w:p w:rsidR="00221B35" w:rsidRPr="00E919BD" w:rsidRDefault="002F7AFB" w:rsidP="00EC635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161,590</w:t>
            </w:r>
          </w:p>
        </w:tc>
      </w:tr>
      <w:tr w:rsidR="00793F14" w:rsidRPr="00E919BD" w:rsidTr="00EC635A">
        <w:tc>
          <w:tcPr>
            <w:tcW w:w="5148" w:type="dxa"/>
          </w:tcPr>
          <w:p w:rsidR="00793F14" w:rsidRPr="00E919BD" w:rsidRDefault="00793F14" w:rsidP="00EC635A">
            <w:pPr>
              <w:widowControl w:val="0"/>
              <w:tabs>
                <w:tab w:val="right" w:pos="7224"/>
              </w:tabs>
              <w:rPr>
                <w:rFonts w:ascii="Arial" w:hAnsi="Arial" w:cs="Arial"/>
                <w:snapToGrid w:val="0"/>
                <w:color w:val="000000"/>
                <w:sz w:val="24"/>
              </w:rPr>
            </w:pPr>
          </w:p>
        </w:tc>
        <w:tc>
          <w:tcPr>
            <w:tcW w:w="1920" w:type="dxa"/>
          </w:tcPr>
          <w:p w:rsidR="00793F14" w:rsidRPr="0078325F" w:rsidRDefault="00793F14" w:rsidP="00EC635A">
            <w:pPr>
              <w:widowControl w:val="0"/>
              <w:tabs>
                <w:tab w:val="right" w:pos="7224"/>
              </w:tabs>
              <w:jc w:val="right"/>
              <w:rPr>
                <w:rFonts w:ascii="Arial" w:hAnsi="Arial" w:cs="Arial"/>
                <w:b/>
                <w:snapToGrid w:val="0"/>
                <w:color w:val="000000"/>
                <w:sz w:val="24"/>
              </w:rPr>
            </w:pPr>
          </w:p>
        </w:tc>
        <w:tc>
          <w:tcPr>
            <w:tcW w:w="1920" w:type="dxa"/>
          </w:tcPr>
          <w:p w:rsidR="00793F14" w:rsidRPr="00E919BD" w:rsidRDefault="00793F14" w:rsidP="00EC635A">
            <w:pPr>
              <w:widowControl w:val="0"/>
              <w:tabs>
                <w:tab w:val="right" w:pos="7224"/>
              </w:tabs>
              <w:jc w:val="right"/>
              <w:rPr>
                <w:rFonts w:ascii="Arial" w:hAnsi="Arial" w:cs="Arial"/>
                <w:snapToGrid w:val="0"/>
                <w:color w:val="000000"/>
                <w:sz w:val="24"/>
              </w:rPr>
            </w:pPr>
          </w:p>
        </w:tc>
      </w:tr>
      <w:tr w:rsidR="00EC1F33" w:rsidRPr="00E919BD" w:rsidTr="00EC635A">
        <w:tc>
          <w:tcPr>
            <w:tcW w:w="5148" w:type="dxa"/>
          </w:tcPr>
          <w:p w:rsidR="00EC1F33" w:rsidRPr="00E919BD" w:rsidRDefault="00EC1F33" w:rsidP="00EC635A">
            <w:pPr>
              <w:widowControl w:val="0"/>
              <w:tabs>
                <w:tab w:val="right" w:pos="7224"/>
              </w:tabs>
              <w:rPr>
                <w:rFonts w:ascii="Arial" w:hAnsi="Arial" w:cs="Arial"/>
                <w:snapToGrid w:val="0"/>
                <w:color w:val="000000"/>
                <w:sz w:val="24"/>
              </w:rPr>
            </w:pPr>
          </w:p>
        </w:tc>
        <w:tc>
          <w:tcPr>
            <w:tcW w:w="1920" w:type="dxa"/>
          </w:tcPr>
          <w:p w:rsidR="00EC1F33" w:rsidRPr="0078325F" w:rsidRDefault="0078325F" w:rsidP="00EC635A">
            <w:pPr>
              <w:widowControl w:val="0"/>
              <w:tabs>
                <w:tab w:val="right" w:pos="7224"/>
              </w:tabs>
              <w:jc w:val="right"/>
              <w:rPr>
                <w:rFonts w:ascii="Arial" w:hAnsi="Arial" w:cs="Arial"/>
                <w:b/>
                <w:snapToGrid w:val="0"/>
                <w:color w:val="000000"/>
                <w:sz w:val="24"/>
              </w:rPr>
            </w:pPr>
            <w:r w:rsidRPr="0078325F">
              <w:rPr>
                <w:rFonts w:ascii="Arial" w:hAnsi="Arial" w:cs="Arial"/>
                <w:b/>
                <w:snapToGrid w:val="0"/>
                <w:color w:val="000000"/>
                <w:sz w:val="24"/>
              </w:rPr>
              <w:t>205,28</w:t>
            </w:r>
            <w:r w:rsidR="00E85B21">
              <w:rPr>
                <w:rFonts w:ascii="Arial" w:hAnsi="Arial" w:cs="Arial"/>
                <w:b/>
                <w:snapToGrid w:val="0"/>
                <w:color w:val="000000"/>
                <w:sz w:val="24"/>
              </w:rPr>
              <w:t>1</w:t>
            </w:r>
          </w:p>
        </w:tc>
        <w:tc>
          <w:tcPr>
            <w:tcW w:w="1920" w:type="dxa"/>
          </w:tcPr>
          <w:p w:rsidR="00EC1F33" w:rsidRPr="0075490D" w:rsidRDefault="0075490D" w:rsidP="00EC635A">
            <w:pPr>
              <w:widowControl w:val="0"/>
              <w:tabs>
                <w:tab w:val="right" w:pos="7224"/>
              </w:tabs>
              <w:jc w:val="right"/>
              <w:rPr>
                <w:rFonts w:ascii="Arial" w:hAnsi="Arial" w:cs="Arial"/>
                <w:b/>
                <w:snapToGrid w:val="0"/>
                <w:color w:val="000000"/>
                <w:sz w:val="24"/>
              </w:rPr>
            </w:pPr>
            <w:r w:rsidRPr="0075490D">
              <w:rPr>
                <w:rFonts w:ascii="Arial" w:hAnsi="Arial" w:cs="Arial"/>
                <w:b/>
                <w:snapToGrid w:val="0"/>
                <w:color w:val="000000"/>
                <w:sz w:val="24"/>
              </w:rPr>
              <w:t>405,064</w:t>
            </w:r>
          </w:p>
        </w:tc>
      </w:tr>
      <w:tr w:rsidR="00B65750" w:rsidRPr="00E919BD" w:rsidTr="002C2B6A">
        <w:tc>
          <w:tcPr>
            <w:tcW w:w="5148" w:type="dxa"/>
          </w:tcPr>
          <w:p w:rsidR="00B65750" w:rsidRPr="00E919BD" w:rsidRDefault="00B65750" w:rsidP="002C2B6A">
            <w:pPr>
              <w:widowControl w:val="0"/>
              <w:tabs>
                <w:tab w:val="right" w:pos="7224"/>
              </w:tabs>
              <w:rPr>
                <w:rFonts w:ascii="Arial" w:hAnsi="Arial" w:cs="Arial"/>
                <w:snapToGrid w:val="0"/>
                <w:color w:val="000000"/>
                <w:sz w:val="24"/>
              </w:rPr>
            </w:pPr>
          </w:p>
        </w:tc>
        <w:tc>
          <w:tcPr>
            <w:tcW w:w="1920" w:type="dxa"/>
          </w:tcPr>
          <w:p w:rsidR="00B65750" w:rsidRDefault="00B65750" w:rsidP="002C2B6A">
            <w:pPr>
              <w:widowControl w:val="0"/>
              <w:tabs>
                <w:tab w:val="right" w:pos="7224"/>
              </w:tabs>
              <w:jc w:val="right"/>
              <w:rPr>
                <w:rFonts w:ascii="Arial" w:hAnsi="Arial" w:cs="Arial"/>
                <w:snapToGrid w:val="0"/>
                <w:color w:val="000000"/>
                <w:sz w:val="24"/>
              </w:rPr>
            </w:pPr>
          </w:p>
        </w:tc>
        <w:tc>
          <w:tcPr>
            <w:tcW w:w="1920" w:type="dxa"/>
          </w:tcPr>
          <w:p w:rsidR="00B65750" w:rsidRPr="00E919BD" w:rsidRDefault="00B65750" w:rsidP="002C2B6A">
            <w:pPr>
              <w:widowControl w:val="0"/>
              <w:tabs>
                <w:tab w:val="right" w:pos="7224"/>
              </w:tabs>
              <w:jc w:val="right"/>
              <w:rPr>
                <w:rFonts w:ascii="Arial" w:hAnsi="Arial" w:cs="Arial"/>
                <w:snapToGrid w:val="0"/>
                <w:color w:val="000000"/>
                <w:sz w:val="24"/>
              </w:rPr>
            </w:pPr>
          </w:p>
        </w:tc>
      </w:tr>
      <w:tr w:rsidR="002C2B6A" w:rsidRPr="00E919BD" w:rsidTr="002C2B6A">
        <w:tc>
          <w:tcPr>
            <w:tcW w:w="5148" w:type="dxa"/>
          </w:tcPr>
          <w:p w:rsidR="002C2B6A" w:rsidRPr="00E919BD" w:rsidRDefault="002C2B6A" w:rsidP="002C2B6A">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Pooled property investments</w:t>
            </w:r>
          </w:p>
        </w:tc>
        <w:tc>
          <w:tcPr>
            <w:tcW w:w="1920" w:type="dxa"/>
          </w:tcPr>
          <w:p w:rsidR="002C2B6A" w:rsidRPr="00E919BD" w:rsidRDefault="002C2B6A" w:rsidP="002C2B6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34,739</w:t>
            </w:r>
          </w:p>
        </w:tc>
        <w:tc>
          <w:tcPr>
            <w:tcW w:w="1920" w:type="dxa"/>
          </w:tcPr>
          <w:p w:rsidR="002C2B6A" w:rsidRPr="00E919BD" w:rsidRDefault="00D95BBE" w:rsidP="002C2B6A">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33,320</w:t>
            </w:r>
          </w:p>
        </w:tc>
      </w:tr>
      <w:tr w:rsidR="004541AF" w:rsidRPr="00E919BD" w:rsidTr="004541AF">
        <w:tc>
          <w:tcPr>
            <w:tcW w:w="5148" w:type="dxa"/>
          </w:tcPr>
          <w:p w:rsidR="004541AF" w:rsidRPr="00E919BD" w:rsidRDefault="004541AF" w:rsidP="004541AF">
            <w:pPr>
              <w:widowControl w:val="0"/>
              <w:tabs>
                <w:tab w:val="right" w:pos="7224"/>
              </w:tabs>
              <w:rPr>
                <w:rFonts w:ascii="Arial" w:hAnsi="Arial" w:cs="Arial"/>
                <w:snapToGrid w:val="0"/>
                <w:color w:val="000000"/>
                <w:sz w:val="24"/>
              </w:rPr>
            </w:pPr>
            <w:r w:rsidRPr="00E919BD">
              <w:rPr>
                <w:rFonts w:ascii="Arial" w:hAnsi="Arial" w:cs="Arial"/>
                <w:snapToGrid w:val="0"/>
                <w:color w:val="000000"/>
                <w:sz w:val="24"/>
              </w:rPr>
              <w:t>Private equity/infrastructure</w:t>
            </w:r>
          </w:p>
        </w:tc>
        <w:tc>
          <w:tcPr>
            <w:tcW w:w="1920" w:type="dxa"/>
          </w:tcPr>
          <w:p w:rsidR="004541AF" w:rsidRPr="00E919BD" w:rsidRDefault="004541AF" w:rsidP="004541AF">
            <w:pPr>
              <w:widowControl w:val="0"/>
              <w:tabs>
                <w:tab w:val="right" w:pos="7224"/>
              </w:tabs>
              <w:jc w:val="right"/>
              <w:rPr>
                <w:rFonts w:ascii="Arial" w:hAnsi="Arial" w:cs="Arial"/>
                <w:snapToGrid w:val="0"/>
                <w:color w:val="000000"/>
                <w:sz w:val="24"/>
              </w:rPr>
            </w:pPr>
            <w:r w:rsidRPr="00E919BD">
              <w:rPr>
                <w:rFonts w:ascii="Arial" w:hAnsi="Arial" w:cs="Arial"/>
                <w:snapToGrid w:val="0"/>
                <w:color w:val="000000"/>
                <w:sz w:val="24"/>
              </w:rPr>
              <w:t>8</w:t>
            </w:r>
            <w:r w:rsidR="00C5196A">
              <w:rPr>
                <w:rFonts w:ascii="Arial" w:hAnsi="Arial" w:cs="Arial"/>
                <w:snapToGrid w:val="0"/>
                <w:color w:val="000000"/>
                <w:sz w:val="24"/>
              </w:rPr>
              <w:t>0,729</w:t>
            </w:r>
          </w:p>
        </w:tc>
        <w:tc>
          <w:tcPr>
            <w:tcW w:w="1920" w:type="dxa"/>
          </w:tcPr>
          <w:p w:rsidR="004541AF" w:rsidRPr="00E919BD" w:rsidRDefault="00D95BBE" w:rsidP="004541AF">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9</w:t>
            </w:r>
            <w:r w:rsidR="00024211">
              <w:rPr>
                <w:rFonts w:ascii="Arial" w:hAnsi="Arial" w:cs="Arial"/>
                <w:snapToGrid w:val="0"/>
                <w:color w:val="000000"/>
                <w:sz w:val="24"/>
              </w:rPr>
              <w:t>9,913</w:t>
            </w:r>
          </w:p>
        </w:tc>
      </w:tr>
      <w:tr w:rsidR="00EC1F33" w:rsidRPr="00E919BD" w:rsidTr="00EC635A">
        <w:tc>
          <w:tcPr>
            <w:tcW w:w="5148" w:type="dxa"/>
          </w:tcPr>
          <w:p w:rsidR="00EC1F33" w:rsidRPr="00E919BD" w:rsidRDefault="00EC1F33" w:rsidP="00EC635A">
            <w:pPr>
              <w:widowControl w:val="0"/>
              <w:tabs>
                <w:tab w:val="right" w:pos="7224"/>
              </w:tabs>
              <w:rPr>
                <w:rFonts w:ascii="Arial" w:hAnsi="Arial" w:cs="Arial"/>
                <w:snapToGrid w:val="0"/>
                <w:color w:val="000000"/>
                <w:sz w:val="24"/>
              </w:rPr>
            </w:pPr>
          </w:p>
        </w:tc>
        <w:tc>
          <w:tcPr>
            <w:tcW w:w="1920" w:type="dxa"/>
          </w:tcPr>
          <w:p w:rsidR="00EC1F33" w:rsidRPr="0078325F" w:rsidRDefault="0078325F" w:rsidP="00EC635A">
            <w:pPr>
              <w:widowControl w:val="0"/>
              <w:tabs>
                <w:tab w:val="right" w:pos="7224"/>
              </w:tabs>
              <w:jc w:val="right"/>
              <w:rPr>
                <w:rFonts w:ascii="Arial" w:hAnsi="Arial" w:cs="Arial"/>
                <w:b/>
                <w:snapToGrid w:val="0"/>
                <w:color w:val="000000"/>
                <w:sz w:val="24"/>
              </w:rPr>
            </w:pPr>
            <w:r w:rsidRPr="0078325F">
              <w:rPr>
                <w:rFonts w:ascii="Arial" w:hAnsi="Arial" w:cs="Arial"/>
                <w:b/>
                <w:snapToGrid w:val="0"/>
                <w:color w:val="000000"/>
                <w:sz w:val="24"/>
              </w:rPr>
              <w:t>1</w:t>
            </w:r>
            <w:r w:rsidR="004710D5">
              <w:rPr>
                <w:rFonts w:ascii="Arial" w:hAnsi="Arial" w:cs="Arial"/>
                <w:b/>
                <w:snapToGrid w:val="0"/>
                <w:color w:val="000000"/>
                <w:sz w:val="24"/>
              </w:rPr>
              <w:t>15,468</w:t>
            </w:r>
          </w:p>
        </w:tc>
        <w:tc>
          <w:tcPr>
            <w:tcW w:w="1920" w:type="dxa"/>
          </w:tcPr>
          <w:p w:rsidR="00EC1F33" w:rsidRPr="000029E8" w:rsidRDefault="000029E8" w:rsidP="00EC635A">
            <w:pPr>
              <w:widowControl w:val="0"/>
              <w:tabs>
                <w:tab w:val="right" w:pos="7224"/>
              </w:tabs>
              <w:jc w:val="right"/>
              <w:rPr>
                <w:rFonts w:ascii="Arial" w:hAnsi="Arial" w:cs="Arial"/>
                <w:b/>
                <w:snapToGrid w:val="0"/>
                <w:color w:val="000000"/>
                <w:sz w:val="24"/>
              </w:rPr>
            </w:pPr>
            <w:r w:rsidRPr="000029E8">
              <w:rPr>
                <w:rFonts w:ascii="Arial" w:hAnsi="Arial" w:cs="Arial"/>
                <w:b/>
                <w:snapToGrid w:val="0"/>
                <w:color w:val="000000"/>
                <w:sz w:val="24"/>
              </w:rPr>
              <w:t>13</w:t>
            </w:r>
            <w:r w:rsidR="00024211">
              <w:rPr>
                <w:rFonts w:ascii="Arial" w:hAnsi="Arial" w:cs="Arial"/>
                <w:b/>
                <w:snapToGrid w:val="0"/>
                <w:color w:val="000000"/>
                <w:sz w:val="24"/>
              </w:rPr>
              <w:t>3,233</w:t>
            </w:r>
          </w:p>
        </w:tc>
      </w:tr>
      <w:tr w:rsidR="00B65750" w:rsidRPr="00E919BD" w:rsidTr="00EC635A">
        <w:tc>
          <w:tcPr>
            <w:tcW w:w="5148" w:type="dxa"/>
          </w:tcPr>
          <w:p w:rsidR="00B65750" w:rsidRPr="00E919BD" w:rsidRDefault="00B65750" w:rsidP="00EC635A">
            <w:pPr>
              <w:widowControl w:val="0"/>
              <w:tabs>
                <w:tab w:val="right" w:pos="7224"/>
              </w:tabs>
              <w:rPr>
                <w:rFonts w:ascii="Arial" w:hAnsi="Arial" w:cs="Arial"/>
                <w:snapToGrid w:val="0"/>
                <w:color w:val="000000"/>
                <w:sz w:val="24"/>
              </w:rPr>
            </w:pPr>
          </w:p>
        </w:tc>
        <w:tc>
          <w:tcPr>
            <w:tcW w:w="1920" w:type="dxa"/>
          </w:tcPr>
          <w:p w:rsidR="00B65750" w:rsidRPr="0078325F" w:rsidRDefault="00B65750" w:rsidP="00EC635A">
            <w:pPr>
              <w:widowControl w:val="0"/>
              <w:tabs>
                <w:tab w:val="right" w:pos="7224"/>
              </w:tabs>
              <w:jc w:val="right"/>
              <w:rPr>
                <w:rFonts w:ascii="Arial" w:hAnsi="Arial" w:cs="Arial"/>
                <w:b/>
                <w:snapToGrid w:val="0"/>
                <w:color w:val="000000"/>
                <w:sz w:val="24"/>
              </w:rPr>
            </w:pPr>
          </w:p>
        </w:tc>
        <w:tc>
          <w:tcPr>
            <w:tcW w:w="1920" w:type="dxa"/>
          </w:tcPr>
          <w:p w:rsidR="00B65750" w:rsidRPr="00E919BD" w:rsidRDefault="00B65750" w:rsidP="00EC635A">
            <w:pPr>
              <w:widowControl w:val="0"/>
              <w:tabs>
                <w:tab w:val="right" w:pos="7224"/>
              </w:tabs>
              <w:jc w:val="right"/>
              <w:rPr>
                <w:rFonts w:ascii="Arial" w:hAnsi="Arial" w:cs="Arial"/>
                <w:snapToGrid w:val="0"/>
                <w:color w:val="000000"/>
                <w:sz w:val="24"/>
              </w:rPr>
            </w:pPr>
          </w:p>
        </w:tc>
      </w:tr>
      <w:tr w:rsidR="00F738F5" w:rsidRPr="00E919BD" w:rsidTr="00CE5873">
        <w:tc>
          <w:tcPr>
            <w:tcW w:w="5148" w:type="dxa"/>
          </w:tcPr>
          <w:p w:rsidR="00F738F5" w:rsidRPr="00E919BD" w:rsidRDefault="00F738F5" w:rsidP="00EC635A">
            <w:pPr>
              <w:widowControl w:val="0"/>
              <w:tabs>
                <w:tab w:val="right" w:pos="7224"/>
              </w:tabs>
              <w:rPr>
                <w:rFonts w:ascii="Arial" w:hAnsi="Arial" w:cs="Arial"/>
                <w:snapToGrid w:val="0"/>
                <w:color w:val="000000"/>
                <w:sz w:val="24"/>
              </w:rPr>
            </w:pPr>
          </w:p>
        </w:tc>
        <w:tc>
          <w:tcPr>
            <w:tcW w:w="1920" w:type="dxa"/>
            <w:tcBorders>
              <w:top w:val="single" w:sz="4" w:space="0" w:color="auto"/>
              <w:bottom w:val="single" w:sz="4" w:space="0" w:color="auto"/>
            </w:tcBorders>
          </w:tcPr>
          <w:p w:rsidR="00F738F5" w:rsidRPr="00E919BD" w:rsidRDefault="005A62E0" w:rsidP="00EC635A">
            <w:pPr>
              <w:widowControl w:val="0"/>
              <w:tabs>
                <w:tab w:val="right" w:pos="7224"/>
              </w:tabs>
              <w:jc w:val="right"/>
              <w:rPr>
                <w:rFonts w:ascii="Arial" w:hAnsi="Arial" w:cs="Arial"/>
                <w:b/>
                <w:snapToGrid w:val="0"/>
                <w:color w:val="000000"/>
                <w:sz w:val="24"/>
              </w:rPr>
            </w:pPr>
            <w:r w:rsidRPr="00E919BD">
              <w:rPr>
                <w:rFonts w:ascii="Arial" w:hAnsi="Arial" w:cs="Arial"/>
                <w:b/>
                <w:snapToGrid w:val="0"/>
                <w:color w:val="000000"/>
                <w:sz w:val="24"/>
              </w:rPr>
              <w:t>484,28</w:t>
            </w:r>
            <w:r w:rsidR="00E85B21">
              <w:rPr>
                <w:rFonts w:ascii="Arial" w:hAnsi="Arial" w:cs="Arial"/>
                <w:b/>
                <w:snapToGrid w:val="0"/>
                <w:color w:val="000000"/>
                <w:sz w:val="24"/>
              </w:rPr>
              <w:t>0</w:t>
            </w:r>
          </w:p>
        </w:tc>
        <w:tc>
          <w:tcPr>
            <w:tcW w:w="1920" w:type="dxa"/>
            <w:tcBorders>
              <w:top w:val="single" w:sz="4" w:space="0" w:color="auto"/>
              <w:bottom w:val="single" w:sz="4" w:space="0" w:color="auto"/>
            </w:tcBorders>
          </w:tcPr>
          <w:p w:rsidR="00F738F5" w:rsidRPr="00E919BD" w:rsidRDefault="000029E8" w:rsidP="00EC635A">
            <w:pPr>
              <w:widowControl w:val="0"/>
              <w:tabs>
                <w:tab w:val="right" w:pos="7224"/>
              </w:tabs>
              <w:jc w:val="right"/>
              <w:rPr>
                <w:rFonts w:ascii="Arial" w:hAnsi="Arial" w:cs="Arial"/>
                <w:b/>
                <w:snapToGrid w:val="0"/>
                <w:color w:val="000000"/>
                <w:sz w:val="24"/>
              </w:rPr>
            </w:pPr>
            <w:r>
              <w:rPr>
                <w:rFonts w:ascii="Arial" w:hAnsi="Arial" w:cs="Arial"/>
                <w:b/>
                <w:snapToGrid w:val="0"/>
                <w:color w:val="000000"/>
                <w:sz w:val="24"/>
              </w:rPr>
              <w:t>53</w:t>
            </w:r>
            <w:r w:rsidR="009A4D01">
              <w:rPr>
                <w:rFonts w:ascii="Arial" w:hAnsi="Arial" w:cs="Arial"/>
                <w:b/>
                <w:snapToGrid w:val="0"/>
                <w:color w:val="000000"/>
                <w:sz w:val="24"/>
              </w:rPr>
              <w:t>8,297</w:t>
            </w:r>
          </w:p>
        </w:tc>
      </w:tr>
    </w:tbl>
    <w:p w:rsidR="0079031C" w:rsidRPr="00E919BD" w:rsidRDefault="0079031C" w:rsidP="00925ED9">
      <w:pPr>
        <w:widowControl w:val="0"/>
        <w:tabs>
          <w:tab w:val="right" w:pos="7200"/>
        </w:tabs>
        <w:rPr>
          <w:b/>
          <w:snapToGrid w:val="0"/>
          <w:color w:val="000000"/>
          <w:sz w:val="24"/>
        </w:rPr>
      </w:pPr>
    </w:p>
    <w:p w:rsidR="00AE1AB6" w:rsidRPr="003D2F7A" w:rsidRDefault="00AE1AB6" w:rsidP="00AE1AB6">
      <w:pPr>
        <w:widowControl w:val="0"/>
        <w:tabs>
          <w:tab w:val="right" w:pos="7200"/>
        </w:tabs>
        <w:rPr>
          <w:rFonts w:ascii="Arial" w:hAnsi="Arial" w:cs="Arial"/>
          <w:b/>
          <w:sz w:val="24"/>
          <w:szCs w:val="24"/>
        </w:rPr>
      </w:pPr>
      <w:r w:rsidRPr="003D2F7A">
        <w:rPr>
          <w:rFonts w:ascii="Arial" w:hAnsi="Arial" w:cs="Arial"/>
          <w:b/>
          <w:sz w:val="24"/>
          <w:szCs w:val="24"/>
        </w:rPr>
        <w:t xml:space="preserve"> </w:t>
      </w:r>
    </w:p>
    <w:p w:rsidR="00794448" w:rsidRDefault="00794448">
      <w:pPr>
        <w:rPr>
          <w:rFonts w:ascii="Arial" w:hAnsi="Arial" w:cs="Arial"/>
          <w:b/>
          <w:snapToGrid w:val="0"/>
          <w:color w:val="000000"/>
          <w:sz w:val="24"/>
        </w:rPr>
      </w:pPr>
      <w:r>
        <w:rPr>
          <w:rFonts w:ascii="Arial" w:hAnsi="Arial" w:cs="Arial"/>
          <w:b/>
          <w:snapToGrid w:val="0"/>
          <w:color w:val="000000"/>
          <w:sz w:val="24"/>
        </w:rPr>
        <w:br w:type="page"/>
      </w:r>
    </w:p>
    <w:p w:rsidR="00302CE6" w:rsidRPr="00862E01" w:rsidRDefault="00302CE6" w:rsidP="00302CE6">
      <w:pPr>
        <w:widowControl w:val="0"/>
        <w:tabs>
          <w:tab w:val="right" w:pos="7200"/>
        </w:tabs>
        <w:rPr>
          <w:rFonts w:ascii="Arial" w:hAnsi="Arial" w:cs="Arial"/>
          <w:snapToGrid w:val="0"/>
          <w:color w:val="000000"/>
          <w:sz w:val="24"/>
        </w:rPr>
      </w:pPr>
      <w:r w:rsidRPr="00862E01">
        <w:rPr>
          <w:rFonts w:ascii="Arial" w:hAnsi="Arial" w:cs="Arial"/>
          <w:b/>
          <w:snapToGrid w:val="0"/>
          <w:color w:val="000000"/>
          <w:sz w:val="24"/>
        </w:rPr>
        <w:lastRenderedPageBreak/>
        <w:t>Investments analysed by fund manager</w:t>
      </w:r>
    </w:p>
    <w:p w:rsidR="0079031C" w:rsidRPr="00862E01" w:rsidRDefault="0079031C" w:rsidP="00302CE6">
      <w:pPr>
        <w:widowControl w:val="0"/>
        <w:tabs>
          <w:tab w:val="right" w:pos="7200"/>
        </w:tabs>
        <w:rPr>
          <w:b/>
          <w:snapToGrid w:val="0"/>
          <w:color w:val="000000"/>
          <w:sz w:val="24"/>
        </w:rPr>
      </w:pPr>
    </w:p>
    <w:tbl>
      <w:tblPr>
        <w:tblStyle w:val="TableGrid"/>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48"/>
        <w:gridCol w:w="1920"/>
        <w:gridCol w:w="960"/>
        <w:gridCol w:w="120"/>
        <w:gridCol w:w="1920"/>
        <w:gridCol w:w="960"/>
      </w:tblGrid>
      <w:tr w:rsidR="00197AAD" w:rsidRPr="00862E01" w:rsidTr="004B0A96">
        <w:tc>
          <w:tcPr>
            <w:tcW w:w="2748" w:type="dxa"/>
          </w:tcPr>
          <w:p w:rsidR="00197AAD" w:rsidRPr="00862E01" w:rsidRDefault="00197AAD"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197AAD" w:rsidRPr="00862E01" w:rsidRDefault="00776C69" w:rsidP="00197AAD">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Market value 31 March 2012</w:t>
            </w:r>
          </w:p>
        </w:tc>
        <w:tc>
          <w:tcPr>
            <w:tcW w:w="1080" w:type="dxa"/>
            <w:gridSpan w:val="2"/>
          </w:tcPr>
          <w:p w:rsidR="00197AAD" w:rsidRPr="00862E01" w:rsidRDefault="00197AAD" w:rsidP="00197AAD">
            <w:pPr>
              <w:widowControl w:val="0"/>
              <w:tabs>
                <w:tab w:val="left" w:pos="180"/>
                <w:tab w:val="right" w:pos="3060"/>
                <w:tab w:val="right" w:pos="4150"/>
              </w:tabs>
              <w:jc w:val="right"/>
              <w:rPr>
                <w:rFonts w:ascii="Arial" w:hAnsi="Arial" w:cs="Arial"/>
                <w:b/>
                <w:snapToGrid w:val="0"/>
                <w:color w:val="000000"/>
                <w:sz w:val="24"/>
              </w:rPr>
            </w:pPr>
          </w:p>
        </w:tc>
        <w:tc>
          <w:tcPr>
            <w:tcW w:w="1920" w:type="dxa"/>
          </w:tcPr>
          <w:p w:rsidR="00197AAD" w:rsidRPr="00862E01" w:rsidRDefault="00197AAD" w:rsidP="00197AAD">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Market</w:t>
            </w:r>
            <w:r w:rsidR="00776C69" w:rsidRPr="00862E01">
              <w:rPr>
                <w:rFonts w:ascii="Arial" w:hAnsi="Arial" w:cs="Arial"/>
                <w:b/>
                <w:snapToGrid w:val="0"/>
                <w:color w:val="000000"/>
                <w:sz w:val="24"/>
              </w:rPr>
              <w:t xml:space="preserve"> value  31 March 2013</w:t>
            </w:r>
          </w:p>
        </w:tc>
        <w:tc>
          <w:tcPr>
            <w:tcW w:w="960" w:type="dxa"/>
          </w:tcPr>
          <w:p w:rsidR="00197AAD" w:rsidRPr="00862E01" w:rsidRDefault="00197AAD" w:rsidP="0045149D">
            <w:pPr>
              <w:widowControl w:val="0"/>
              <w:tabs>
                <w:tab w:val="left" w:pos="180"/>
                <w:tab w:val="right" w:pos="3060"/>
                <w:tab w:val="right" w:pos="4150"/>
              </w:tabs>
              <w:jc w:val="center"/>
              <w:rPr>
                <w:rFonts w:ascii="Arial" w:hAnsi="Arial" w:cs="Arial"/>
                <w:b/>
                <w:snapToGrid w:val="0"/>
                <w:color w:val="000000"/>
                <w:sz w:val="24"/>
              </w:rPr>
            </w:pPr>
          </w:p>
        </w:tc>
      </w:tr>
      <w:tr w:rsidR="00CC11A3" w:rsidRPr="00862E01" w:rsidTr="00197AAD">
        <w:tc>
          <w:tcPr>
            <w:tcW w:w="2748" w:type="dxa"/>
          </w:tcPr>
          <w:p w:rsidR="00CC11A3" w:rsidRPr="00862E01" w:rsidRDefault="00CC11A3"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£’000</w:t>
            </w:r>
          </w:p>
        </w:tc>
        <w:tc>
          <w:tcPr>
            <w:tcW w:w="960" w:type="dxa"/>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w:t>
            </w:r>
          </w:p>
        </w:tc>
        <w:tc>
          <w:tcPr>
            <w:tcW w:w="2040" w:type="dxa"/>
            <w:gridSpan w:val="2"/>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£’000</w:t>
            </w:r>
          </w:p>
        </w:tc>
        <w:tc>
          <w:tcPr>
            <w:tcW w:w="960" w:type="dxa"/>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w:t>
            </w:r>
          </w:p>
        </w:tc>
      </w:tr>
      <w:tr w:rsidR="00CC11A3" w:rsidRPr="00862E01" w:rsidTr="00197AAD">
        <w:tc>
          <w:tcPr>
            <w:tcW w:w="2748" w:type="dxa"/>
          </w:tcPr>
          <w:p w:rsidR="00CC11A3" w:rsidRPr="00862E01" w:rsidRDefault="00CC11A3"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CC11A3" w:rsidRPr="00862E01" w:rsidRDefault="00CC11A3" w:rsidP="00827572">
            <w:pPr>
              <w:widowControl w:val="0"/>
              <w:tabs>
                <w:tab w:val="left" w:pos="180"/>
                <w:tab w:val="right" w:pos="3060"/>
                <w:tab w:val="right" w:pos="4150"/>
              </w:tabs>
              <w:jc w:val="right"/>
              <w:rPr>
                <w:rFonts w:ascii="Arial" w:hAnsi="Arial" w:cs="Arial"/>
                <w:snapToGrid w:val="0"/>
                <w:color w:val="000000"/>
                <w:sz w:val="24"/>
              </w:rPr>
            </w:pPr>
          </w:p>
        </w:tc>
        <w:tc>
          <w:tcPr>
            <w:tcW w:w="960" w:type="dxa"/>
          </w:tcPr>
          <w:p w:rsidR="00CC11A3" w:rsidRPr="00862E01" w:rsidRDefault="00CC11A3" w:rsidP="00827572">
            <w:pPr>
              <w:widowControl w:val="0"/>
              <w:tabs>
                <w:tab w:val="left" w:pos="180"/>
                <w:tab w:val="right" w:pos="3060"/>
                <w:tab w:val="right" w:pos="4150"/>
              </w:tabs>
              <w:jc w:val="right"/>
              <w:rPr>
                <w:rFonts w:ascii="Arial" w:hAnsi="Arial" w:cs="Arial"/>
                <w:snapToGrid w:val="0"/>
                <w:color w:val="000000"/>
                <w:sz w:val="24"/>
              </w:rPr>
            </w:pPr>
          </w:p>
        </w:tc>
        <w:tc>
          <w:tcPr>
            <w:tcW w:w="2040" w:type="dxa"/>
            <w:gridSpan w:val="2"/>
          </w:tcPr>
          <w:p w:rsidR="00CC11A3" w:rsidRPr="00862E01" w:rsidRDefault="00CC11A3" w:rsidP="00827572">
            <w:pPr>
              <w:widowControl w:val="0"/>
              <w:tabs>
                <w:tab w:val="left" w:pos="180"/>
                <w:tab w:val="right" w:pos="3060"/>
                <w:tab w:val="right" w:pos="4150"/>
              </w:tabs>
              <w:jc w:val="right"/>
              <w:rPr>
                <w:rFonts w:ascii="Arial" w:hAnsi="Arial" w:cs="Arial"/>
                <w:snapToGrid w:val="0"/>
                <w:color w:val="000000"/>
                <w:sz w:val="24"/>
              </w:rPr>
            </w:pPr>
          </w:p>
        </w:tc>
        <w:tc>
          <w:tcPr>
            <w:tcW w:w="960" w:type="dxa"/>
          </w:tcPr>
          <w:p w:rsidR="00CC11A3" w:rsidRPr="00862E01" w:rsidRDefault="00CC11A3" w:rsidP="00827572">
            <w:pPr>
              <w:widowControl w:val="0"/>
              <w:tabs>
                <w:tab w:val="left" w:pos="180"/>
                <w:tab w:val="right" w:pos="3060"/>
                <w:tab w:val="right" w:pos="4150"/>
              </w:tabs>
              <w:jc w:val="right"/>
              <w:rPr>
                <w:rFonts w:ascii="Arial" w:hAnsi="Arial" w:cs="Arial"/>
                <w:snapToGrid w:val="0"/>
                <w:color w:val="000000"/>
                <w:sz w:val="24"/>
              </w:rPr>
            </w:pPr>
          </w:p>
        </w:tc>
      </w:tr>
      <w:tr w:rsidR="00CC11A3" w:rsidRPr="00862E01" w:rsidTr="00197AAD">
        <w:tc>
          <w:tcPr>
            <w:tcW w:w="2748" w:type="dxa"/>
          </w:tcPr>
          <w:p w:rsidR="00CC11A3" w:rsidRPr="00862E01" w:rsidRDefault="00D868BB" w:rsidP="00E73B9F">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Legal &amp; General</w:t>
            </w:r>
          </w:p>
        </w:tc>
        <w:tc>
          <w:tcPr>
            <w:tcW w:w="1920" w:type="dxa"/>
          </w:tcPr>
          <w:p w:rsidR="00CC11A3" w:rsidRPr="00862E01" w:rsidRDefault="00604E99" w:rsidP="00827572">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117,76</w:t>
            </w:r>
            <w:r w:rsidR="00E85B21">
              <w:rPr>
                <w:rFonts w:ascii="Arial" w:hAnsi="Arial" w:cs="Arial"/>
                <w:snapToGrid w:val="0"/>
                <w:color w:val="000000"/>
                <w:sz w:val="24"/>
              </w:rPr>
              <w:t>4</w:t>
            </w:r>
          </w:p>
        </w:tc>
        <w:tc>
          <w:tcPr>
            <w:tcW w:w="960" w:type="dxa"/>
          </w:tcPr>
          <w:p w:rsidR="00CC11A3" w:rsidRPr="00862E01" w:rsidRDefault="0046153A" w:rsidP="00827572">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24.</w:t>
            </w:r>
            <w:r w:rsidR="006106A5">
              <w:rPr>
                <w:rFonts w:ascii="Arial" w:hAnsi="Arial" w:cs="Arial"/>
                <w:snapToGrid w:val="0"/>
                <w:color w:val="000000"/>
                <w:sz w:val="24"/>
              </w:rPr>
              <w:t>3</w:t>
            </w:r>
          </w:p>
        </w:tc>
        <w:tc>
          <w:tcPr>
            <w:tcW w:w="2040" w:type="dxa"/>
            <w:gridSpan w:val="2"/>
          </w:tcPr>
          <w:p w:rsidR="00CC11A3" w:rsidRPr="00862E01" w:rsidRDefault="009A034B" w:rsidP="00827572">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202,617</w:t>
            </w:r>
          </w:p>
        </w:tc>
        <w:tc>
          <w:tcPr>
            <w:tcW w:w="960" w:type="dxa"/>
          </w:tcPr>
          <w:p w:rsidR="00CC11A3" w:rsidRPr="00862E01" w:rsidRDefault="00D43E1E" w:rsidP="00827572">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37.</w:t>
            </w:r>
            <w:r w:rsidR="009A4D01">
              <w:rPr>
                <w:rFonts w:ascii="Arial" w:hAnsi="Arial" w:cs="Arial"/>
                <w:snapToGrid w:val="0"/>
                <w:color w:val="000000"/>
                <w:sz w:val="24"/>
              </w:rPr>
              <w:t>6</w:t>
            </w:r>
          </w:p>
        </w:tc>
      </w:tr>
      <w:tr w:rsidR="00DD2E5D" w:rsidRPr="00862E01" w:rsidTr="00DD2E5D">
        <w:tc>
          <w:tcPr>
            <w:tcW w:w="2748" w:type="dxa"/>
          </w:tcPr>
          <w:p w:rsidR="00DD2E5D" w:rsidRPr="00862E01" w:rsidRDefault="00DD2E5D" w:rsidP="00DD2E5D">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Henderson</w:t>
            </w:r>
          </w:p>
        </w:tc>
        <w:tc>
          <w:tcPr>
            <w:tcW w:w="1920" w:type="dxa"/>
          </w:tcPr>
          <w:p w:rsidR="00DD2E5D" w:rsidRPr="00862E01" w:rsidRDefault="00DD2E5D" w:rsidP="00DD2E5D">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93,020</w:t>
            </w:r>
          </w:p>
        </w:tc>
        <w:tc>
          <w:tcPr>
            <w:tcW w:w="960" w:type="dxa"/>
          </w:tcPr>
          <w:p w:rsidR="00DD2E5D" w:rsidRPr="00862E01" w:rsidRDefault="006106A5"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19.2</w:t>
            </w:r>
          </w:p>
        </w:tc>
        <w:tc>
          <w:tcPr>
            <w:tcW w:w="2040" w:type="dxa"/>
            <w:gridSpan w:val="2"/>
          </w:tcPr>
          <w:p w:rsidR="00DD2E5D" w:rsidRPr="00862E01" w:rsidRDefault="009A034B"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105,243</w:t>
            </w:r>
          </w:p>
        </w:tc>
        <w:tc>
          <w:tcPr>
            <w:tcW w:w="960" w:type="dxa"/>
          </w:tcPr>
          <w:p w:rsidR="00DD2E5D" w:rsidRPr="00862E01" w:rsidRDefault="000D1684"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19.</w:t>
            </w:r>
            <w:r w:rsidR="009A4D01">
              <w:rPr>
                <w:rFonts w:ascii="Arial" w:hAnsi="Arial" w:cs="Arial"/>
                <w:snapToGrid w:val="0"/>
                <w:color w:val="000000"/>
                <w:sz w:val="24"/>
              </w:rPr>
              <w:t>5</w:t>
            </w:r>
          </w:p>
        </w:tc>
      </w:tr>
      <w:tr w:rsidR="00DD2E5D" w:rsidRPr="00862E01" w:rsidTr="00DD2E5D">
        <w:tc>
          <w:tcPr>
            <w:tcW w:w="2748" w:type="dxa"/>
          </w:tcPr>
          <w:p w:rsidR="00DD2E5D" w:rsidRPr="00862E01" w:rsidRDefault="00DD2E5D" w:rsidP="00DD2E5D">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Brent in-house investment team</w:t>
            </w:r>
          </w:p>
        </w:tc>
        <w:tc>
          <w:tcPr>
            <w:tcW w:w="1920" w:type="dxa"/>
          </w:tcPr>
          <w:p w:rsidR="00DD2E5D" w:rsidRPr="00862E01" w:rsidRDefault="00C6329C"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87,035</w:t>
            </w:r>
          </w:p>
        </w:tc>
        <w:tc>
          <w:tcPr>
            <w:tcW w:w="960" w:type="dxa"/>
          </w:tcPr>
          <w:p w:rsidR="00DD2E5D" w:rsidRPr="00862E01" w:rsidRDefault="00E60DB4"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17</w:t>
            </w:r>
            <w:r w:rsidR="00543911">
              <w:rPr>
                <w:rFonts w:ascii="Arial" w:hAnsi="Arial" w:cs="Arial"/>
                <w:snapToGrid w:val="0"/>
                <w:color w:val="000000"/>
                <w:sz w:val="24"/>
              </w:rPr>
              <w:t>.</w:t>
            </w:r>
            <w:r>
              <w:rPr>
                <w:rFonts w:ascii="Arial" w:hAnsi="Arial" w:cs="Arial"/>
                <w:snapToGrid w:val="0"/>
                <w:color w:val="000000"/>
                <w:sz w:val="24"/>
              </w:rPr>
              <w:t>9</w:t>
            </w:r>
          </w:p>
        </w:tc>
        <w:tc>
          <w:tcPr>
            <w:tcW w:w="2040" w:type="dxa"/>
            <w:gridSpan w:val="2"/>
          </w:tcPr>
          <w:p w:rsidR="00DD2E5D" w:rsidRPr="00862E01" w:rsidRDefault="00152D16"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0</w:t>
            </w:r>
          </w:p>
        </w:tc>
        <w:tc>
          <w:tcPr>
            <w:tcW w:w="960" w:type="dxa"/>
          </w:tcPr>
          <w:p w:rsidR="00DD2E5D" w:rsidRPr="00862E01" w:rsidRDefault="000D1684"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0</w:t>
            </w:r>
          </w:p>
        </w:tc>
      </w:tr>
      <w:tr w:rsidR="00DD2E5D" w:rsidRPr="00862E01" w:rsidTr="00DD2E5D">
        <w:tc>
          <w:tcPr>
            <w:tcW w:w="2748" w:type="dxa"/>
          </w:tcPr>
          <w:p w:rsidR="00DD2E5D" w:rsidRPr="00862E01" w:rsidRDefault="00DD2E5D" w:rsidP="00DD2E5D">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Capital Dynamics</w:t>
            </w:r>
          </w:p>
        </w:tc>
        <w:tc>
          <w:tcPr>
            <w:tcW w:w="1920" w:type="dxa"/>
          </w:tcPr>
          <w:p w:rsidR="00DD2E5D" w:rsidRPr="00862E01" w:rsidRDefault="002B504B"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63,861</w:t>
            </w:r>
          </w:p>
        </w:tc>
        <w:tc>
          <w:tcPr>
            <w:tcW w:w="960" w:type="dxa"/>
          </w:tcPr>
          <w:p w:rsidR="00DD2E5D" w:rsidRPr="00862E01" w:rsidRDefault="00DD2E5D" w:rsidP="00DD2E5D">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13.</w:t>
            </w:r>
            <w:r w:rsidR="008B32A8">
              <w:rPr>
                <w:rFonts w:ascii="Arial" w:hAnsi="Arial" w:cs="Arial"/>
                <w:snapToGrid w:val="0"/>
                <w:color w:val="000000"/>
                <w:sz w:val="24"/>
              </w:rPr>
              <w:t>1</w:t>
            </w:r>
          </w:p>
        </w:tc>
        <w:tc>
          <w:tcPr>
            <w:tcW w:w="2040" w:type="dxa"/>
            <w:gridSpan w:val="2"/>
          </w:tcPr>
          <w:p w:rsidR="00DD2E5D" w:rsidRPr="00862E01" w:rsidRDefault="009A4D01"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81,199</w:t>
            </w:r>
          </w:p>
        </w:tc>
        <w:tc>
          <w:tcPr>
            <w:tcW w:w="960" w:type="dxa"/>
          </w:tcPr>
          <w:p w:rsidR="00DD2E5D" w:rsidRPr="00862E01" w:rsidRDefault="009A4D01"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15</w:t>
            </w:r>
            <w:r w:rsidR="000D1684">
              <w:rPr>
                <w:rFonts w:ascii="Arial" w:hAnsi="Arial" w:cs="Arial"/>
                <w:snapToGrid w:val="0"/>
                <w:color w:val="000000"/>
                <w:sz w:val="24"/>
              </w:rPr>
              <w:t>.</w:t>
            </w:r>
            <w:r>
              <w:rPr>
                <w:rFonts w:ascii="Arial" w:hAnsi="Arial" w:cs="Arial"/>
                <w:snapToGrid w:val="0"/>
                <w:color w:val="000000"/>
                <w:sz w:val="24"/>
              </w:rPr>
              <w:t>1</w:t>
            </w:r>
          </w:p>
        </w:tc>
      </w:tr>
      <w:tr w:rsidR="00F35BDF" w:rsidRPr="00862E01" w:rsidTr="00DD2E5D">
        <w:tc>
          <w:tcPr>
            <w:tcW w:w="2748" w:type="dxa"/>
          </w:tcPr>
          <w:p w:rsidR="00F35BDF" w:rsidRPr="00862E01" w:rsidRDefault="00F35BDF" w:rsidP="00DD2E5D">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Yorkshire Fund Managers</w:t>
            </w:r>
          </w:p>
        </w:tc>
        <w:tc>
          <w:tcPr>
            <w:tcW w:w="1920" w:type="dxa"/>
          </w:tcPr>
          <w:p w:rsidR="00F35BDF" w:rsidRPr="00862E01" w:rsidRDefault="002B504B"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1,402</w:t>
            </w:r>
          </w:p>
        </w:tc>
        <w:tc>
          <w:tcPr>
            <w:tcW w:w="960" w:type="dxa"/>
          </w:tcPr>
          <w:p w:rsidR="00F35BDF" w:rsidRDefault="008B32A8"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0.3</w:t>
            </w:r>
          </w:p>
        </w:tc>
        <w:tc>
          <w:tcPr>
            <w:tcW w:w="2040" w:type="dxa"/>
            <w:gridSpan w:val="2"/>
          </w:tcPr>
          <w:p w:rsidR="00F35BDF" w:rsidRPr="00862E01" w:rsidRDefault="00F35BDF"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1,144</w:t>
            </w:r>
          </w:p>
        </w:tc>
        <w:tc>
          <w:tcPr>
            <w:tcW w:w="960" w:type="dxa"/>
          </w:tcPr>
          <w:p w:rsidR="00F35BDF" w:rsidRPr="00862E01" w:rsidRDefault="000D1684"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0.2</w:t>
            </w:r>
          </w:p>
        </w:tc>
      </w:tr>
      <w:tr w:rsidR="00DD2E5D" w:rsidRPr="00862E01" w:rsidTr="00DD2E5D">
        <w:tc>
          <w:tcPr>
            <w:tcW w:w="2748" w:type="dxa"/>
          </w:tcPr>
          <w:p w:rsidR="00DD2E5D" w:rsidRPr="00862E01" w:rsidRDefault="00DD2E5D" w:rsidP="00DD2E5D">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Fauchier</w:t>
            </w:r>
          </w:p>
        </w:tc>
        <w:tc>
          <w:tcPr>
            <w:tcW w:w="1920" w:type="dxa"/>
          </w:tcPr>
          <w:p w:rsidR="00DD2E5D" w:rsidRPr="00862E01" w:rsidRDefault="00DD2E5D" w:rsidP="00DD2E5D">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40,494</w:t>
            </w:r>
          </w:p>
        </w:tc>
        <w:tc>
          <w:tcPr>
            <w:tcW w:w="960" w:type="dxa"/>
          </w:tcPr>
          <w:p w:rsidR="00DD2E5D" w:rsidRPr="00862E01" w:rsidRDefault="00BB3538"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8.4</w:t>
            </w:r>
          </w:p>
        </w:tc>
        <w:tc>
          <w:tcPr>
            <w:tcW w:w="2040" w:type="dxa"/>
            <w:gridSpan w:val="2"/>
          </w:tcPr>
          <w:p w:rsidR="00DD2E5D" w:rsidRPr="00862E01" w:rsidRDefault="001D089F"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27,231</w:t>
            </w:r>
          </w:p>
        </w:tc>
        <w:tc>
          <w:tcPr>
            <w:tcW w:w="960" w:type="dxa"/>
          </w:tcPr>
          <w:p w:rsidR="00DD2E5D" w:rsidRPr="00862E01" w:rsidRDefault="000D1684" w:rsidP="00DD2E5D">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5.1</w:t>
            </w:r>
          </w:p>
        </w:tc>
      </w:tr>
      <w:tr w:rsidR="001D089F" w:rsidRPr="00862E01" w:rsidTr="00617A56">
        <w:tc>
          <w:tcPr>
            <w:tcW w:w="2748" w:type="dxa"/>
          </w:tcPr>
          <w:p w:rsidR="001D089F" w:rsidRPr="00862E01" w:rsidRDefault="001D089F" w:rsidP="00617A56">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Baillie Gifford</w:t>
            </w:r>
          </w:p>
        </w:tc>
        <w:tc>
          <w:tcPr>
            <w:tcW w:w="1920" w:type="dxa"/>
          </w:tcPr>
          <w:p w:rsidR="001D089F" w:rsidRPr="00862E01" w:rsidRDefault="001D089F"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0</w:t>
            </w:r>
          </w:p>
        </w:tc>
        <w:tc>
          <w:tcPr>
            <w:tcW w:w="960" w:type="dxa"/>
          </w:tcPr>
          <w:p w:rsidR="001D089F" w:rsidRDefault="001D089F"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0</w:t>
            </w:r>
          </w:p>
        </w:tc>
        <w:tc>
          <w:tcPr>
            <w:tcW w:w="2040" w:type="dxa"/>
            <w:gridSpan w:val="2"/>
          </w:tcPr>
          <w:p w:rsidR="001D089F" w:rsidRDefault="00782EB6"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33,953</w:t>
            </w:r>
          </w:p>
        </w:tc>
        <w:tc>
          <w:tcPr>
            <w:tcW w:w="960" w:type="dxa"/>
          </w:tcPr>
          <w:p w:rsidR="001D089F" w:rsidRPr="00862E01" w:rsidRDefault="00E72666"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6.3</w:t>
            </w:r>
          </w:p>
        </w:tc>
      </w:tr>
      <w:tr w:rsidR="00617A56" w:rsidRPr="00862E01" w:rsidTr="00617A56">
        <w:tc>
          <w:tcPr>
            <w:tcW w:w="2748" w:type="dxa"/>
          </w:tcPr>
          <w:p w:rsidR="00617A56" w:rsidRPr="00862E01" w:rsidRDefault="00617A56" w:rsidP="00617A56">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Aviva</w:t>
            </w:r>
          </w:p>
        </w:tc>
        <w:tc>
          <w:tcPr>
            <w:tcW w:w="1920" w:type="dxa"/>
          </w:tcPr>
          <w:p w:rsidR="00617A56" w:rsidRPr="00862E01" w:rsidRDefault="00617A56" w:rsidP="00617A56">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34,739</w:t>
            </w:r>
          </w:p>
        </w:tc>
        <w:tc>
          <w:tcPr>
            <w:tcW w:w="960" w:type="dxa"/>
          </w:tcPr>
          <w:p w:rsidR="00617A56" w:rsidRPr="00862E01" w:rsidRDefault="00BB3538"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7.2</w:t>
            </w:r>
          </w:p>
        </w:tc>
        <w:tc>
          <w:tcPr>
            <w:tcW w:w="2040" w:type="dxa"/>
            <w:gridSpan w:val="2"/>
          </w:tcPr>
          <w:p w:rsidR="00617A56" w:rsidRPr="00862E01" w:rsidRDefault="00C562D1"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33,320</w:t>
            </w:r>
          </w:p>
        </w:tc>
        <w:tc>
          <w:tcPr>
            <w:tcW w:w="960" w:type="dxa"/>
          </w:tcPr>
          <w:p w:rsidR="00617A56" w:rsidRPr="00862E01" w:rsidRDefault="00E72666"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6.2</w:t>
            </w:r>
          </w:p>
        </w:tc>
      </w:tr>
      <w:tr w:rsidR="00617A56" w:rsidRPr="00862E01" w:rsidTr="00617A56">
        <w:tc>
          <w:tcPr>
            <w:tcW w:w="2748" w:type="dxa"/>
          </w:tcPr>
          <w:p w:rsidR="00617A56" w:rsidRPr="00862E01" w:rsidRDefault="00617A56" w:rsidP="00617A56">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Dimensional</w:t>
            </w:r>
          </w:p>
        </w:tc>
        <w:tc>
          <w:tcPr>
            <w:tcW w:w="1920" w:type="dxa"/>
          </w:tcPr>
          <w:p w:rsidR="00617A56" w:rsidRPr="00862E01" w:rsidRDefault="00617A56" w:rsidP="00617A56">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31,043</w:t>
            </w:r>
          </w:p>
        </w:tc>
        <w:tc>
          <w:tcPr>
            <w:tcW w:w="960" w:type="dxa"/>
          </w:tcPr>
          <w:p w:rsidR="00617A56" w:rsidRPr="00862E01" w:rsidRDefault="00BB3538"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6.4</w:t>
            </w:r>
          </w:p>
        </w:tc>
        <w:tc>
          <w:tcPr>
            <w:tcW w:w="2040" w:type="dxa"/>
            <w:gridSpan w:val="2"/>
          </w:tcPr>
          <w:p w:rsidR="00617A56" w:rsidRPr="00862E01" w:rsidRDefault="00C562D1"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36,94</w:t>
            </w:r>
            <w:r w:rsidR="00577E32">
              <w:rPr>
                <w:rFonts w:ascii="Arial" w:hAnsi="Arial" w:cs="Arial"/>
                <w:snapToGrid w:val="0"/>
                <w:color w:val="000000"/>
                <w:sz w:val="24"/>
              </w:rPr>
              <w:t>5</w:t>
            </w:r>
          </w:p>
        </w:tc>
        <w:tc>
          <w:tcPr>
            <w:tcW w:w="960" w:type="dxa"/>
          </w:tcPr>
          <w:p w:rsidR="00617A56" w:rsidRPr="00862E01" w:rsidRDefault="00E72666" w:rsidP="00617A56">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6.9</w:t>
            </w:r>
          </w:p>
        </w:tc>
      </w:tr>
      <w:tr w:rsidR="00CC11A3" w:rsidRPr="00862E01" w:rsidTr="00197AAD">
        <w:tc>
          <w:tcPr>
            <w:tcW w:w="2748" w:type="dxa"/>
          </w:tcPr>
          <w:p w:rsidR="00CC11A3" w:rsidRPr="00862E01" w:rsidRDefault="00F7151C" w:rsidP="00E73B9F">
            <w:pPr>
              <w:widowControl w:val="0"/>
              <w:tabs>
                <w:tab w:val="left" w:pos="180"/>
                <w:tab w:val="right" w:pos="3060"/>
                <w:tab w:val="right" w:pos="4150"/>
              </w:tabs>
              <w:rPr>
                <w:rFonts w:ascii="Arial" w:hAnsi="Arial" w:cs="Arial"/>
                <w:snapToGrid w:val="0"/>
                <w:color w:val="000000"/>
                <w:sz w:val="24"/>
              </w:rPr>
            </w:pPr>
            <w:r w:rsidRPr="00862E01">
              <w:rPr>
                <w:rFonts w:ascii="Arial" w:hAnsi="Arial" w:cs="Arial"/>
                <w:snapToGrid w:val="0"/>
                <w:color w:val="000000"/>
                <w:sz w:val="24"/>
              </w:rPr>
              <w:t>Alinda</w:t>
            </w:r>
          </w:p>
        </w:tc>
        <w:tc>
          <w:tcPr>
            <w:tcW w:w="1920" w:type="dxa"/>
          </w:tcPr>
          <w:p w:rsidR="00CC11A3" w:rsidRPr="00862E01" w:rsidRDefault="00F7151C" w:rsidP="00827572">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15,466</w:t>
            </w:r>
          </w:p>
        </w:tc>
        <w:tc>
          <w:tcPr>
            <w:tcW w:w="960" w:type="dxa"/>
          </w:tcPr>
          <w:p w:rsidR="00CC11A3" w:rsidRPr="00862E01" w:rsidRDefault="00862E01" w:rsidP="00827572">
            <w:pPr>
              <w:widowControl w:val="0"/>
              <w:tabs>
                <w:tab w:val="left" w:pos="180"/>
                <w:tab w:val="right" w:pos="3060"/>
                <w:tab w:val="right" w:pos="4150"/>
              </w:tabs>
              <w:jc w:val="right"/>
              <w:rPr>
                <w:rFonts w:ascii="Arial" w:hAnsi="Arial" w:cs="Arial"/>
                <w:snapToGrid w:val="0"/>
                <w:color w:val="000000"/>
                <w:sz w:val="24"/>
              </w:rPr>
            </w:pPr>
            <w:r w:rsidRPr="00862E01">
              <w:rPr>
                <w:rFonts w:ascii="Arial" w:hAnsi="Arial" w:cs="Arial"/>
                <w:snapToGrid w:val="0"/>
                <w:color w:val="000000"/>
                <w:sz w:val="24"/>
              </w:rPr>
              <w:t>3.</w:t>
            </w:r>
            <w:r w:rsidR="00BB3538">
              <w:rPr>
                <w:rFonts w:ascii="Arial" w:hAnsi="Arial" w:cs="Arial"/>
                <w:snapToGrid w:val="0"/>
                <w:color w:val="000000"/>
                <w:sz w:val="24"/>
              </w:rPr>
              <w:t>2</w:t>
            </w:r>
          </w:p>
        </w:tc>
        <w:tc>
          <w:tcPr>
            <w:tcW w:w="2040" w:type="dxa"/>
            <w:gridSpan w:val="2"/>
          </w:tcPr>
          <w:p w:rsidR="00CC11A3" w:rsidRPr="00862E01" w:rsidRDefault="00C562D1" w:rsidP="00827572">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16,645</w:t>
            </w:r>
          </w:p>
        </w:tc>
        <w:tc>
          <w:tcPr>
            <w:tcW w:w="960" w:type="dxa"/>
          </w:tcPr>
          <w:p w:rsidR="00CC11A3" w:rsidRPr="00862E01" w:rsidRDefault="00E72666" w:rsidP="00827572">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3.1</w:t>
            </w:r>
          </w:p>
        </w:tc>
      </w:tr>
      <w:tr w:rsidR="00CC11A3" w:rsidRPr="00862E01" w:rsidTr="00197AAD">
        <w:tc>
          <w:tcPr>
            <w:tcW w:w="2748" w:type="dxa"/>
          </w:tcPr>
          <w:p w:rsidR="00CC11A3" w:rsidRPr="00862E01" w:rsidRDefault="00CC11A3" w:rsidP="00E73B9F">
            <w:pPr>
              <w:widowControl w:val="0"/>
              <w:tabs>
                <w:tab w:val="left" w:pos="180"/>
                <w:tab w:val="right" w:pos="3060"/>
                <w:tab w:val="right" w:pos="4150"/>
              </w:tabs>
              <w:rPr>
                <w:rFonts w:ascii="Arial" w:hAnsi="Arial" w:cs="Arial"/>
                <w:b/>
                <w:snapToGrid w:val="0"/>
                <w:color w:val="000000"/>
                <w:sz w:val="24"/>
                <w:szCs w:val="24"/>
              </w:rPr>
            </w:pPr>
          </w:p>
        </w:tc>
        <w:tc>
          <w:tcPr>
            <w:tcW w:w="1920" w:type="dxa"/>
            <w:tcBorders>
              <w:bottom w:val="single" w:sz="4" w:space="0" w:color="auto"/>
            </w:tcBorders>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szCs w:val="24"/>
              </w:rPr>
            </w:pPr>
          </w:p>
        </w:tc>
        <w:tc>
          <w:tcPr>
            <w:tcW w:w="960" w:type="dxa"/>
            <w:tcBorders>
              <w:bottom w:val="single" w:sz="4" w:space="0" w:color="auto"/>
            </w:tcBorders>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szCs w:val="24"/>
              </w:rPr>
            </w:pPr>
          </w:p>
        </w:tc>
        <w:tc>
          <w:tcPr>
            <w:tcW w:w="2040" w:type="dxa"/>
            <w:gridSpan w:val="2"/>
            <w:tcBorders>
              <w:bottom w:val="single" w:sz="4" w:space="0" w:color="auto"/>
            </w:tcBorders>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szCs w:val="24"/>
              </w:rPr>
            </w:pPr>
          </w:p>
        </w:tc>
        <w:tc>
          <w:tcPr>
            <w:tcW w:w="960" w:type="dxa"/>
            <w:tcBorders>
              <w:bottom w:val="single" w:sz="4" w:space="0" w:color="auto"/>
            </w:tcBorders>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szCs w:val="24"/>
              </w:rPr>
            </w:pPr>
          </w:p>
        </w:tc>
      </w:tr>
      <w:tr w:rsidR="00CC11A3" w:rsidRPr="00862E01" w:rsidTr="00197AAD">
        <w:tc>
          <w:tcPr>
            <w:tcW w:w="2748" w:type="dxa"/>
          </w:tcPr>
          <w:p w:rsidR="00CC11A3" w:rsidRPr="00862E01" w:rsidRDefault="00CC11A3" w:rsidP="00E73B9F">
            <w:pPr>
              <w:widowControl w:val="0"/>
              <w:tabs>
                <w:tab w:val="left" w:pos="180"/>
                <w:tab w:val="right" w:pos="3060"/>
                <w:tab w:val="right" w:pos="4150"/>
              </w:tabs>
              <w:rPr>
                <w:rFonts w:ascii="Arial" w:hAnsi="Arial" w:cs="Arial"/>
                <w:b/>
                <w:snapToGrid w:val="0"/>
                <w:color w:val="000000"/>
                <w:sz w:val="24"/>
              </w:rPr>
            </w:pPr>
            <w:r w:rsidRPr="00862E01">
              <w:rPr>
                <w:rFonts w:ascii="Arial" w:hAnsi="Arial" w:cs="Arial"/>
                <w:b/>
                <w:snapToGrid w:val="0"/>
                <w:color w:val="000000"/>
                <w:sz w:val="24"/>
              </w:rPr>
              <w:t>Total</w:t>
            </w:r>
          </w:p>
        </w:tc>
        <w:tc>
          <w:tcPr>
            <w:tcW w:w="1920" w:type="dxa"/>
            <w:tcBorders>
              <w:top w:val="single" w:sz="4" w:space="0" w:color="auto"/>
            </w:tcBorders>
          </w:tcPr>
          <w:p w:rsidR="00CC11A3" w:rsidRPr="00862E01" w:rsidRDefault="00C6329C" w:rsidP="00827572">
            <w:pPr>
              <w:widowControl w:val="0"/>
              <w:tabs>
                <w:tab w:val="left" w:pos="180"/>
                <w:tab w:val="right" w:pos="3060"/>
                <w:tab w:val="right" w:pos="4150"/>
              </w:tabs>
              <w:jc w:val="right"/>
              <w:rPr>
                <w:rFonts w:ascii="Arial" w:hAnsi="Arial" w:cs="Arial"/>
                <w:b/>
                <w:snapToGrid w:val="0"/>
                <w:color w:val="000000"/>
                <w:sz w:val="24"/>
              </w:rPr>
            </w:pPr>
            <w:r>
              <w:rPr>
                <w:rFonts w:ascii="Arial" w:hAnsi="Arial" w:cs="Arial"/>
                <w:b/>
                <w:snapToGrid w:val="0"/>
                <w:color w:val="000000"/>
                <w:sz w:val="24"/>
              </w:rPr>
              <w:t>484,82</w:t>
            </w:r>
            <w:r w:rsidR="00E85B21">
              <w:rPr>
                <w:rFonts w:ascii="Arial" w:hAnsi="Arial" w:cs="Arial"/>
                <w:b/>
                <w:snapToGrid w:val="0"/>
                <w:color w:val="000000"/>
                <w:sz w:val="24"/>
              </w:rPr>
              <w:t>4</w:t>
            </w:r>
          </w:p>
        </w:tc>
        <w:tc>
          <w:tcPr>
            <w:tcW w:w="960" w:type="dxa"/>
            <w:tcBorders>
              <w:top w:val="single" w:sz="4" w:space="0" w:color="auto"/>
            </w:tcBorders>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100.0</w:t>
            </w:r>
          </w:p>
        </w:tc>
        <w:tc>
          <w:tcPr>
            <w:tcW w:w="2040" w:type="dxa"/>
            <w:gridSpan w:val="2"/>
            <w:tcBorders>
              <w:top w:val="single" w:sz="4" w:space="0" w:color="auto"/>
            </w:tcBorders>
          </w:tcPr>
          <w:p w:rsidR="00CC11A3" w:rsidRPr="00862E01" w:rsidRDefault="00782EB6" w:rsidP="00827572">
            <w:pPr>
              <w:widowControl w:val="0"/>
              <w:tabs>
                <w:tab w:val="left" w:pos="180"/>
                <w:tab w:val="right" w:pos="3060"/>
                <w:tab w:val="right" w:pos="4150"/>
              </w:tabs>
              <w:jc w:val="right"/>
              <w:rPr>
                <w:rFonts w:ascii="Arial" w:hAnsi="Arial" w:cs="Arial"/>
                <w:b/>
                <w:snapToGrid w:val="0"/>
                <w:color w:val="000000"/>
                <w:sz w:val="24"/>
              </w:rPr>
            </w:pPr>
            <w:r>
              <w:rPr>
                <w:rFonts w:ascii="Arial" w:hAnsi="Arial" w:cs="Arial"/>
                <w:b/>
                <w:snapToGrid w:val="0"/>
                <w:color w:val="000000"/>
                <w:sz w:val="24"/>
              </w:rPr>
              <w:t>53</w:t>
            </w:r>
            <w:r w:rsidR="009A4D01">
              <w:rPr>
                <w:rFonts w:ascii="Arial" w:hAnsi="Arial" w:cs="Arial"/>
                <w:b/>
                <w:snapToGrid w:val="0"/>
                <w:color w:val="000000"/>
                <w:sz w:val="24"/>
              </w:rPr>
              <w:t>8,297</w:t>
            </w:r>
          </w:p>
        </w:tc>
        <w:tc>
          <w:tcPr>
            <w:tcW w:w="960" w:type="dxa"/>
            <w:tcBorders>
              <w:top w:val="single" w:sz="4" w:space="0" w:color="auto"/>
            </w:tcBorders>
          </w:tcPr>
          <w:p w:rsidR="00CC11A3" w:rsidRPr="00862E01" w:rsidRDefault="00CC11A3" w:rsidP="00827572">
            <w:pPr>
              <w:widowControl w:val="0"/>
              <w:tabs>
                <w:tab w:val="left" w:pos="180"/>
                <w:tab w:val="right" w:pos="3060"/>
                <w:tab w:val="right" w:pos="4150"/>
              </w:tabs>
              <w:jc w:val="right"/>
              <w:rPr>
                <w:rFonts w:ascii="Arial" w:hAnsi="Arial" w:cs="Arial"/>
                <w:b/>
                <w:snapToGrid w:val="0"/>
                <w:color w:val="000000"/>
                <w:sz w:val="24"/>
              </w:rPr>
            </w:pPr>
            <w:r w:rsidRPr="00862E01">
              <w:rPr>
                <w:rFonts w:ascii="Arial" w:hAnsi="Arial" w:cs="Arial"/>
                <w:b/>
                <w:snapToGrid w:val="0"/>
                <w:color w:val="000000"/>
                <w:sz w:val="24"/>
              </w:rPr>
              <w:t>100.0</w:t>
            </w:r>
          </w:p>
        </w:tc>
      </w:tr>
    </w:tbl>
    <w:p w:rsidR="00CD18FA" w:rsidRPr="00862E01" w:rsidRDefault="00CD18FA" w:rsidP="00925ED9">
      <w:pPr>
        <w:widowControl w:val="0"/>
        <w:tabs>
          <w:tab w:val="right" w:pos="7200"/>
        </w:tabs>
        <w:rPr>
          <w:b/>
          <w:snapToGrid w:val="0"/>
          <w:color w:val="000000"/>
          <w:sz w:val="24"/>
        </w:rPr>
      </w:pPr>
    </w:p>
    <w:p w:rsidR="00595D5B" w:rsidRDefault="00CC11A3" w:rsidP="00146CC2">
      <w:pPr>
        <w:widowControl w:val="0"/>
        <w:tabs>
          <w:tab w:val="right" w:pos="7200"/>
        </w:tabs>
        <w:rPr>
          <w:rFonts w:ascii="Arial" w:hAnsi="Arial" w:cs="Arial"/>
          <w:sz w:val="24"/>
          <w:szCs w:val="24"/>
        </w:rPr>
      </w:pPr>
      <w:r w:rsidRPr="005D4FE1">
        <w:rPr>
          <w:rFonts w:ascii="Arial" w:hAnsi="Arial" w:cs="Arial"/>
          <w:sz w:val="24"/>
          <w:szCs w:val="24"/>
        </w:rPr>
        <w:t>All the above companies are registered in the United Kingdom.</w:t>
      </w:r>
    </w:p>
    <w:p w:rsidR="00794448" w:rsidRDefault="00794448" w:rsidP="00146CC2">
      <w:pPr>
        <w:widowControl w:val="0"/>
        <w:tabs>
          <w:tab w:val="right" w:pos="7200"/>
        </w:tabs>
        <w:rPr>
          <w:rFonts w:ascii="Arial" w:hAnsi="Arial" w:cs="Arial"/>
          <w:sz w:val="24"/>
          <w:szCs w:val="24"/>
        </w:rPr>
      </w:pPr>
    </w:p>
    <w:p w:rsidR="00D43E1E" w:rsidRDefault="00D43E1E" w:rsidP="00146CC2">
      <w:pPr>
        <w:widowControl w:val="0"/>
        <w:tabs>
          <w:tab w:val="right" w:pos="7200"/>
        </w:tabs>
        <w:rPr>
          <w:rFonts w:ascii="Arial" w:hAnsi="Arial" w:cs="Arial"/>
          <w:sz w:val="24"/>
          <w:szCs w:val="24"/>
        </w:rPr>
      </w:pPr>
    </w:p>
    <w:p w:rsidR="00AF7133" w:rsidRPr="005D4FE1" w:rsidRDefault="00AF7133" w:rsidP="00AF7133">
      <w:pPr>
        <w:widowControl w:val="0"/>
        <w:tabs>
          <w:tab w:val="right" w:pos="7200"/>
        </w:tabs>
        <w:rPr>
          <w:rFonts w:ascii="Arial" w:hAnsi="Arial" w:cs="Arial"/>
          <w:snapToGrid w:val="0"/>
          <w:color w:val="000000"/>
          <w:sz w:val="24"/>
        </w:rPr>
      </w:pPr>
      <w:r w:rsidRPr="005D4FE1">
        <w:rPr>
          <w:rFonts w:ascii="Arial" w:hAnsi="Arial" w:cs="Arial"/>
          <w:b/>
          <w:snapToGrid w:val="0"/>
          <w:color w:val="000000"/>
          <w:sz w:val="24"/>
        </w:rPr>
        <w:t>Concentration of investments</w:t>
      </w:r>
    </w:p>
    <w:p w:rsidR="00AF7133" w:rsidRPr="005D4FE1" w:rsidRDefault="00AF7133" w:rsidP="00AF7133">
      <w:pPr>
        <w:widowControl w:val="0"/>
        <w:tabs>
          <w:tab w:val="right" w:pos="7200"/>
        </w:tabs>
        <w:rPr>
          <w:rFonts w:ascii="Arial" w:hAnsi="Arial" w:cs="Arial"/>
          <w:snapToGrid w:val="0"/>
          <w:color w:val="000000"/>
          <w:sz w:val="24"/>
        </w:rPr>
      </w:pPr>
    </w:p>
    <w:p w:rsidR="0079031C" w:rsidRPr="005D4FE1" w:rsidRDefault="00AF7133" w:rsidP="00AF7133">
      <w:pPr>
        <w:widowControl w:val="0"/>
        <w:tabs>
          <w:tab w:val="right" w:pos="7200"/>
        </w:tabs>
        <w:rPr>
          <w:b/>
          <w:snapToGrid w:val="0"/>
          <w:color w:val="000000"/>
          <w:sz w:val="24"/>
        </w:rPr>
      </w:pPr>
      <w:r w:rsidRPr="005D4FE1">
        <w:rPr>
          <w:rFonts w:ascii="Arial" w:hAnsi="Arial" w:cs="Arial"/>
          <w:snapToGrid w:val="0"/>
          <w:color w:val="000000"/>
          <w:sz w:val="24"/>
        </w:rPr>
        <w:t>During the year, no individual investment exceeded 5% of the total value of the Fund’s net assets.</w:t>
      </w:r>
    </w:p>
    <w:p w:rsidR="00794448" w:rsidRDefault="00794448" w:rsidP="004F13C7">
      <w:pPr>
        <w:widowControl w:val="0"/>
        <w:tabs>
          <w:tab w:val="right" w:pos="7200"/>
        </w:tabs>
        <w:rPr>
          <w:rFonts w:ascii="Arial" w:hAnsi="Arial" w:cs="Arial"/>
          <w:snapToGrid w:val="0"/>
          <w:color w:val="000000"/>
          <w:sz w:val="24"/>
        </w:rPr>
      </w:pPr>
    </w:p>
    <w:p w:rsidR="00D43E1E" w:rsidRPr="005F1857" w:rsidRDefault="00D43E1E" w:rsidP="004F13C7">
      <w:pPr>
        <w:widowControl w:val="0"/>
        <w:tabs>
          <w:tab w:val="right" w:pos="7200"/>
        </w:tabs>
        <w:rPr>
          <w:rFonts w:ascii="Arial" w:hAnsi="Arial" w:cs="Arial"/>
          <w:snapToGrid w:val="0"/>
          <w:color w:val="000000"/>
          <w:sz w:val="24"/>
        </w:rPr>
      </w:pPr>
    </w:p>
    <w:p w:rsidR="004B0A96" w:rsidRPr="005F1857" w:rsidRDefault="004B0A96" w:rsidP="004B0A96">
      <w:pPr>
        <w:widowControl w:val="0"/>
        <w:tabs>
          <w:tab w:val="left" w:pos="600"/>
          <w:tab w:val="right" w:pos="3060"/>
          <w:tab w:val="right" w:pos="4150"/>
        </w:tabs>
        <w:rPr>
          <w:rFonts w:ascii="Arial" w:hAnsi="Arial" w:cs="Arial"/>
          <w:sz w:val="24"/>
          <w:szCs w:val="24"/>
        </w:rPr>
      </w:pPr>
      <w:r w:rsidRPr="005F1857">
        <w:rPr>
          <w:rFonts w:ascii="Arial" w:hAnsi="Arial" w:cs="Arial"/>
          <w:b/>
          <w:sz w:val="24"/>
          <w:szCs w:val="24"/>
        </w:rPr>
        <w:t>c)</w:t>
      </w:r>
      <w:r w:rsidRPr="005F1857">
        <w:rPr>
          <w:rFonts w:ascii="Arial" w:hAnsi="Arial" w:cs="Arial"/>
          <w:b/>
          <w:sz w:val="24"/>
          <w:szCs w:val="24"/>
        </w:rPr>
        <w:tab/>
        <w:t>Stock lending</w:t>
      </w:r>
    </w:p>
    <w:p w:rsidR="004F13C7" w:rsidRPr="005F1857" w:rsidRDefault="004F13C7" w:rsidP="004F13C7">
      <w:pPr>
        <w:widowControl w:val="0"/>
        <w:tabs>
          <w:tab w:val="right" w:pos="7200"/>
        </w:tabs>
        <w:rPr>
          <w:rFonts w:ascii="Arial" w:hAnsi="Arial" w:cs="Arial"/>
          <w:snapToGrid w:val="0"/>
          <w:color w:val="000000"/>
          <w:sz w:val="24"/>
        </w:rPr>
      </w:pPr>
    </w:p>
    <w:p w:rsidR="009F34B1" w:rsidRPr="003D2F7A" w:rsidRDefault="004F13C7" w:rsidP="009F34B1">
      <w:pPr>
        <w:widowControl w:val="0"/>
        <w:tabs>
          <w:tab w:val="right" w:pos="7200"/>
        </w:tabs>
        <w:rPr>
          <w:rFonts w:ascii="Arial" w:hAnsi="Arial" w:cs="Arial"/>
          <w:snapToGrid w:val="0"/>
          <w:color w:val="000000"/>
          <w:sz w:val="24"/>
        </w:rPr>
      </w:pPr>
      <w:r w:rsidRPr="005F1857">
        <w:rPr>
          <w:rFonts w:ascii="Arial" w:hAnsi="Arial" w:cs="Arial"/>
          <w:snapToGrid w:val="0"/>
          <w:color w:val="000000"/>
          <w:sz w:val="24"/>
        </w:rPr>
        <w:t>The</w:t>
      </w:r>
      <w:r w:rsidR="00D53AA0" w:rsidRPr="005F1857">
        <w:rPr>
          <w:rFonts w:ascii="Arial" w:hAnsi="Arial" w:cs="Arial"/>
          <w:snapToGrid w:val="0"/>
          <w:color w:val="000000"/>
          <w:sz w:val="24"/>
        </w:rPr>
        <w:t xml:space="preserve"> </w:t>
      </w:r>
      <w:r w:rsidR="005F1857" w:rsidRPr="005F1857">
        <w:rPr>
          <w:rFonts w:ascii="Arial" w:hAnsi="Arial" w:cs="Arial"/>
          <w:snapToGrid w:val="0"/>
          <w:color w:val="000000"/>
          <w:sz w:val="24"/>
        </w:rPr>
        <w:t>Brent Pension Fund does not operate a Stock Lending programme.</w:t>
      </w:r>
    </w:p>
    <w:p w:rsidR="004F13C7" w:rsidRDefault="004F13C7" w:rsidP="00925ED9">
      <w:pPr>
        <w:widowControl w:val="0"/>
        <w:tabs>
          <w:tab w:val="right" w:pos="7200"/>
        </w:tabs>
        <w:rPr>
          <w:rFonts w:ascii="Arial" w:hAnsi="Arial" w:cs="Arial"/>
          <w:snapToGrid w:val="0"/>
          <w:color w:val="000000"/>
          <w:sz w:val="24"/>
          <w:highlight w:val="yellow"/>
        </w:rPr>
      </w:pPr>
    </w:p>
    <w:p w:rsidR="000D64EB" w:rsidRPr="008751BA" w:rsidRDefault="000D64EB" w:rsidP="00925ED9">
      <w:pPr>
        <w:widowControl w:val="0"/>
        <w:tabs>
          <w:tab w:val="right" w:pos="7200"/>
        </w:tabs>
        <w:rPr>
          <w:rFonts w:ascii="Arial" w:hAnsi="Arial" w:cs="Arial"/>
          <w:snapToGrid w:val="0"/>
          <w:color w:val="000000"/>
          <w:sz w:val="24"/>
        </w:rPr>
      </w:pPr>
    </w:p>
    <w:p w:rsidR="001C2AF1" w:rsidRDefault="001C2AF1">
      <w:pPr>
        <w:rPr>
          <w:rFonts w:ascii="Arial" w:hAnsi="Arial" w:cs="Arial"/>
          <w:b/>
          <w:snapToGrid w:val="0"/>
          <w:color w:val="000000"/>
          <w:sz w:val="24"/>
        </w:rPr>
      </w:pPr>
      <w:r>
        <w:rPr>
          <w:rFonts w:ascii="Arial" w:hAnsi="Arial" w:cs="Arial"/>
          <w:b/>
          <w:snapToGrid w:val="0"/>
          <w:color w:val="000000"/>
          <w:sz w:val="24"/>
        </w:rPr>
        <w:br w:type="page"/>
      </w:r>
    </w:p>
    <w:p w:rsidR="00E30BFB" w:rsidRPr="008751BA" w:rsidRDefault="00F666FC" w:rsidP="00E30BFB">
      <w:pPr>
        <w:widowControl w:val="0"/>
        <w:tabs>
          <w:tab w:val="right" w:pos="7200"/>
        </w:tabs>
        <w:rPr>
          <w:rFonts w:ascii="Arial" w:hAnsi="Arial" w:cs="Arial"/>
          <w:snapToGrid w:val="0"/>
          <w:color w:val="000000"/>
          <w:sz w:val="24"/>
        </w:rPr>
      </w:pPr>
      <w:r>
        <w:rPr>
          <w:rFonts w:ascii="Arial" w:hAnsi="Arial" w:cs="Arial"/>
          <w:b/>
          <w:snapToGrid w:val="0"/>
          <w:color w:val="000000"/>
          <w:sz w:val="24"/>
        </w:rPr>
        <w:lastRenderedPageBreak/>
        <w:t>15</w:t>
      </w:r>
      <w:r w:rsidR="00E30BFB" w:rsidRPr="008751BA">
        <w:rPr>
          <w:rFonts w:ascii="Arial" w:hAnsi="Arial" w:cs="Arial"/>
          <w:b/>
          <w:snapToGrid w:val="0"/>
          <w:color w:val="000000"/>
          <w:sz w:val="24"/>
        </w:rPr>
        <w:t>.  Financial instruments</w:t>
      </w:r>
    </w:p>
    <w:p w:rsidR="00E30BFB" w:rsidRPr="008751BA" w:rsidRDefault="00E30BFB" w:rsidP="00E30BFB">
      <w:pPr>
        <w:widowControl w:val="0"/>
        <w:tabs>
          <w:tab w:val="right" w:pos="7200"/>
        </w:tabs>
        <w:rPr>
          <w:rFonts w:ascii="Arial" w:hAnsi="Arial" w:cs="Arial"/>
          <w:snapToGrid w:val="0"/>
          <w:color w:val="000000"/>
          <w:sz w:val="24"/>
        </w:rPr>
      </w:pPr>
    </w:p>
    <w:p w:rsidR="004B0A96" w:rsidRPr="008751BA" w:rsidRDefault="004B0A96" w:rsidP="004B0A96">
      <w:pPr>
        <w:widowControl w:val="0"/>
        <w:tabs>
          <w:tab w:val="left" w:pos="600"/>
          <w:tab w:val="right" w:pos="3060"/>
          <w:tab w:val="right" w:pos="4150"/>
        </w:tabs>
        <w:rPr>
          <w:rFonts w:ascii="Arial" w:hAnsi="Arial" w:cs="Arial"/>
          <w:sz w:val="24"/>
          <w:szCs w:val="24"/>
        </w:rPr>
      </w:pPr>
      <w:r w:rsidRPr="008751BA">
        <w:rPr>
          <w:rFonts w:ascii="Arial" w:hAnsi="Arial" w:cs="Arial"/>
          <w:b/>
          <w:sz w:val="24"/>
          <w:szCs w:val="24"/>
        </w:rPr>
        <w:t>a)</w:t>
      </w:r>
      <w:r w:rsidRPr="008751BA">
        <w:rPr>
          <w:rFonts w:ascii="Arial" w:hAnsi="Arial" w:cs="Arial"/>
          <w:b/>
          <w:sz w:val="24"/>
          <w:szCs w:val="24"/>
        </w:rPr>
        <w:tab/>
        <w:t>Classification of financial instruments</w:t>
      </w:r>
    </w:p>
    <w:p w:rsidR="003B61B5" w:rsidRPr="008751BA" w:rsidRDefault="003B61B5" w:rsidP="00E30BFB">
      <w:pPr>
        <w:widowControl w:val="0"/>
        <w:tabs>
          <w:tab w:val="right" w:pos="7200"/>
        </w:tabs>
        <w:rPr>
          <w:rFonts w:ascii="Arial" w:hAnsi="Arial" w:cs="Arial"/>
          <w:snapToGrid w:val="0"/>
          <w:color w:val="000000"/>
          <w:sz w:val="24"/>
        </w:rPr>
      </w:pPr>
    </w:p>
    <w:p w:rsidR="00E30BFB" w:rsidRPr="008751BA" w:rsidRDefault="003B61B5" w:rsidP="00E30BFB">
      <w:pPr>
        <w:widowControl w:val="0"/>
        <w:tabs>
          <w:tab w:val="right" w:pos="7200"/>
        </w:tabs>
        <w:rPr>
          <w:rFonts w:ascii="Arial" w:hAnsi="Arial" w:cs="Arial"/>
          <w:snapToGrid w:val="0"/>
          <w:color w:val="000000"/>
          <w:sz w:val="24"/>
        </w:rPr>
      </w:pPr>
      <w:r w:rsidRPr="008751BA">
        <w:rPr>
          <w:rFonts w:ascii="Arial" w:hAnsi="Arial" w:cs="Arial"/>
          <w:snapToGrid w:val="0"/>
          <w:color w:val="000000"/>
          <w:sz w:val="24"/>
        </w:rPr>
        <w:t>Accounting polic</w:t>
      </w:r>
      <w:r w:rsidR="0073723B" w:rsidRPr="008751BA">
        <w:rPr>
          <w:rFonts w:ascii="Arial" w:hAnsi="Arial" w:cs="Arial"/>
          <w:snapToGrid w:val="0"/>
          <w:color w:val="000000"/>
          <w:sz w:val="24"/>
        </w:rPr>
        <w:t xml:space="preserve">ies describe how different asset </w:t>
      </w:r>
      <w:r w:rsidR="005B31DE" w:rsidRPr="008751BA">
        <w:rPr>
          <w:rFonts w:ascii="Arial" w:hAnsi="Arial" w:cs="Arial"/>
          <w:snapToGrid w:val="0"/>
          <w:color w:val="000000"/>
          <w:sz w:val="24"/>
        </w:rPr>
        <w:t xml:space="preserve">classes </w:t>
      </w:r>
      <w:r w:rsidR="0073723B" w:rsidRPr="008751BA">
        <w:rPr>
          <w:rFonts w:ascii="Arial" w:hAnsi="Arial" w:cs="Arial"/>
          <w:snapToGrid w:val="0"/>
          <w:color w:val="000000"/>
          <w:sz w:val="24"/>
        </w:rPr>
        <w:t>of financial instruments are measured, and how income and expenses, including fair value gains and losses, are recognised. The following table analyses the carrying amounts of financial assets and liabilities by category and net assets statement heading. No financial assets were reclassified during the accounting period.</w:t>
      </w:r>
    </w:p>
    <w:p w:rsidR="00A34150" w:rsidRPr="003D2F7A" w:rsidRDefault="00A34150" w:rsidP="00E30BFB">
      <w:pPr>
        <w:widowControl w:val="0"/>
        <w:tabs>
          <w:tab w:val="right" w:pos="7200"/>
        </w:tabs>
        <w:rPr>
          <w:rFonts w:ascii="Arial" w:hAnsi="Arial" w:cs="Arial"/>
          <w:snapToGrid w:val="0"/>
          <w:color w:val="000000"/>
          <w:sz w:val="24"/>
          <w:highlight w:val="yellow"/>
        </w:rPr>
      </w:pPr>
    </w:p>
    <w:tbl>
      <w:tblPr>
        <w:tblW w:w="9840" w:type="dxa"/>
        <w:tblInd w:w="-492" w:type="dxa"/>
        <w:tblLayout w:type="fixed"/>
        <w:tblLook w:val="0000" w:firstRow="0" w:lastRow="0" w:firstColumn="0" w:lastColumn="0" w:noHBand="0" w:noVBand="0"/>
      </w:tblPr>
      <w:tblGrid>
        <w:gridCol w:w="1320"/>
        <w:gridCol w:w="1320"/>
        <w:gridCol w:w="1200"/>
        <w:gridCol w:w="2160"/>
        <w:gridCol w:w="1320"/>
        <w:gridCol w:w="1320"/>
        <w:gridCol w:w="1200"/>
      </w:tblGrid>
      <w:tr w:rsidR="00962C1C" w:rsidRPr="00602ACC" w:rsidTr="00E97A5B">
        <w:trPr>
          <w:trHeight w:val="383"/>
        </w:trPr>
        <w:tc>
          <w:tcPr>
            <w:tcW w:w="3840" w:type="dxa"/>
            <w:gridSpan w:val="3"/>
          </w:tcPr>
          <w:p w:rsidR="00962C1C" w:rsidRPr="00602ACC" w:rsidRDefault="00962C1C" w:rsidP="00857B65">
            <w:pPr>
              <w:widowControl w:val="0"/>
              <w:tabs>
                <w:tab w:val="right" w:pos="7200"/>
              </w:tabs>
              <w:jc w:val="center"/>
              <w:rPr>
                <w:rFonts w:ascii="Arial" w:hAnsi="Arial" w:cs="Arial"/>
                <w:b/>
                <w:snapToGrid w:val="0"/>
                <w:color w:val="000000"/>
                <w:sz w:val="18"/>
                <w:szCs w:val="18"/>
              </w:rPr>
            </w:pPr>
            <w:r w:rsidRPr="00602ACC">
              <w:rPr>
                <w:rFonts w:ascii="Arial" w:hAnsi="Arial" w:cs="Arial"/>
                <w:b/>
                <w:snapToGrid w:val="0"/>
                <w:color w:val="000000"/>
                <w:sz w:val="18"/>
                <w:szCs w:val="18"/>
              </w:rPr>
              <w:t>31 March 201</w:t>
            </w:r>
            <w:r w:rsidR="00857B65" w:rsidRPr="00602ACC">
              <w:rPr>
                <w:rFonts w:ascii="Arial" w:hAnsi="Arial" w:cs="Arial"/>
                <w:b/>
                <w:snapToGrid w:val="0"/>
                <w:color w:val="000000"/>
                <w:sz w:val="18"/>
                <w:szCs w:val="18"/>
              </w:rPr>
              <w:t>2</w:t>
            </w:r>
          </w:p>
        </w:tc>
        <w:tc>
          <w:tcPr>
            <w:tcW w:w="2160" w:type="dxa"/>
          </w:tcPr>
          <w:p w:rsidR="00962C1C" w:rsidRPr="00602ACC" w:rsidRDefault="00962C1C" w:rsidP="00330888">
            <w:pPr>
              <w:widowControl w:val="0"/>
              <w:tabs>
                <w:tab w:val="right" w:pos="7200"/>
              </w:tabs>
              <w:jc w:val="center"/>
              <w:rPr>
                <w:rFonts w:ascii="Arial" w:hAnsi="Arial" w:cs="Arial"/>
                <w:b/>
                <w:snapToGrid w:val="0"/>
                <w:color w:val="000000"/>
                <w:sz w:val="18"/>
                <w:szCs w:val="18"/>
              </w:rPr>
            </w:pPr>
          </w:p>
        </w:tc>
        <w:tc>
          <w:tcPr>
            <w:tcW w:w="3840" w:type="dxa"/>
            <w:gridSpan w:val="3"/>
          </w:tcPr>
          <w:p w:rsidR="00962C1C" w:rsidRPr="00602ACC" w:rsidRDefault="00962C1C" w:rsidP="00857B65">
            <w:pPr>
              <w:widowControl w:val="0"/>
              <w:tabs>
                <w:tab w:val="right" w:pos="7200"/>
              </w:tabs>
              <w:jc w:val="center"/>
              <w:rPr>
                <w:rFonts w:ascii="Arial" w:hAnsi="Arial" w:cs="Arial"/>
                <w:b/>
                <w:snapToGrid w:val="0"/>
                <w:color w:val="000000"/>
                <w:sz w:val="18"/>
                <w:szCs w:val="18"/>
              </w:rPr>
            </w:pPr>
            <w:r w:rsidRPr="00602ACC">
              <w:rPr>
                <w:rFonts w:ascii="Arial" w:hAnsi="Arial" w:cs="Arial"/>
                <w:b/>
                <w:snapToGrid w:val="0"/>
                <w:color w:val="000000"/>
                <w:sz w:val="18"/>
                <w:szCs w:val="18"/>
              </w:rPr>
              <w:t>31 March 201</w:t>
            </w:r>
            <w:r w:rsidR="00857B65" w:rsidRPr="00602ACC">
              <w:rPr>
                <w:rFonts w:ascii="Arial" w:hAnsi="Arial" w:cs="Arial"/>
                <w:b/>
                <w:snapToGrid w:val="0"/>
                <w:color w:val="000000"/>
                <w:sz w:val="18"/>
                <w:szCs w:val="18"/>
              </w:rPr>
              <w:t>3</w:t>
            </w:r>
          </w:p>
        </w:tc>
      </w:tr>
      <w:tr w:rsidR="003B61B5" w:rsidRPr="00602ACC" w:rsidTr="00E97A5B">
        <w:trPr>
          <w:trHeight w:val="1101"/>
        </w:trPr>
        <w:tc>
          <w:tcPr>
            <w:tcW w:w="1320" w:type="dxa"/>
          </w:tcPr>
          <w:p w:rsidR="003B61B5" w:rsidRPr="00602ACC" w:rsidRDefault="000B1B8F" w:rsidP="004C4919">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F</w:t>
            </w:r>
            <w:r w:rsidR="00247106" w:rsidRPr="00602ACC">
              <w:rPr>
                <w:rFonts w:ascii="Arial" w:hAnsi="Arial" w:cs="Arial"/>
                <w:b/>
                <w:snapToGrid w:val="0"/>
                <w:color w:val="000000"/>
                <w:sz w:val="18"/>
                <w:szCs w:val="18"/>
              </w:rPr>
              <w:t>air value through profit and loss</w:t>
            </w:r>
          </w:p>
        </w:tc>
        <w:tc>
          <w:tcPr>
            <w:tcW w:w="1320" w:type="dxa"/>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Loans and receivables</w:t>
            </w:r>
          </w:p>
          <w:p w:rsidR="00247106" w:rsidRPr="00602ACC" w:rsidRDefault="00247106" w:rsidP="00247106">
            <w:pPr>
              <w:widowControl w:val="0"/>
              <w:tabs>
                <w:tab w:val="right" w:pos="7200"/>
              </w:tabs>
              <w:jc w:val="center"/>
              <w:rPr>
                <w:rFonts w:ascii="Arial" w:hAnsi="Arial" w:cs="Arial"/>
                <w:b/>
                <w:snapToGrid w:val="0"/>
                <w:color w:val="000000"/>
                <w:sz w:val="18"/>
                <w:szCs w:val="18"/>
              </w:rPr>
            </w:pPr>
          </w:p>
        </w:tc>
        <w:tc>
          <w:tcPr>
            <w:tcW w:w="1200" w:type="dxa"/>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Financial liabilities at amortised cost</w:t>
            </w:r>
          </w:p>
        </w:tc>
        <w:tc>
          <w:tcPr>
            <w:tcW w:w="2160" w:type="dxa"/>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c>
          <w:tcPr>
            <w:tcW w:w="1320" w:type="dxa"/>
          </w:tcPr>
          <w:p w:rsidR="003B61B5" w:rsidRPr="00602ACC" w:rsidRDefault="000B1B8F"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F</w:t>
            </w:r>
            <w:r w:rsidR="00247106" w:rsidRPr="00602ACC">
              <w:rPr>
                <w:rFonts w:ascii="Arial" w:hAnsi="Arial" w:cs="Arial"/>
                <w:b/>
                <w:snapToGrid w:val="0"/>
                <w:color w:val="000000"/>
                <w:sz w:val="18"/>
                <w:szCs w:val="18"/>
              </w:rPr>
              <w:t>air value through profit and loss</w:t>
            </w:r>
          </w:p>
        </w:tc>
        <w:tc>
          <w:tcPr>
            <w:tcW w:w="1320" w:type="dxa"/>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 xml:space="preserve">Loans and receivables </w:t>
            </w:r>
          </w:p>
        </w:tc>
        <w:tc>
          <w:tcPr>
            <w:tcW w:w="1200" w:type="dxa"/>
          </w:tcPr>
          <w:p w:rsidR="003B61B5" w:rsidRPr="00602ACC" w:rsidRDefault="007608C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 xml:space="preserve">Financial liabilities at amortised cost </w:t>
            </w:r>
          </w:p>
        </w:tc>
      </w:tr>
      <w:tr w:rsidR="003B61B5" w:rsidRPr="00602ACC" w:rsidTr="00E97A5B">
        <w:trPr>
          <w:trHeight w:val="287"/>
        </w:trPr>
        <w:tc>
          <w:tcPr>
            <w:tcW w:w="1320" w:type="dxa"/>
          </w:tcPr>
          <w:p w:rsidR="003B61B5" w:rsidRPr="00602ACC" w:rsidRDefault="00247106" w:rsidP="004C4919">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£000</w:t>
            </w:r>
          </w:p>
        </w:tc>
        <w:tc>
          <w:tcPr>
            <w:tcW w:w="1320" w:type="dxa"/>
            <w:vAlign w:val="center"/>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£000</w:t>
            </w:r>
          </w:p>
        </w:tc>
        <w:tc>
          <w:tcPr>
            <w:tcW w:w="1200" w:type="dxa"/>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£000</w:t>
            </w:r>
          </w:p>
        </w:tc>
        <w:tc>
          <w:tcPr>
            <w:tcW w:w="2160" w:type="dxa"/>
            <w:vAlign w:val="center"/>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c>
          <w:tcPr>
            <w:tcW w:w="1320" w:type="dxa"/>
            <w:vAlign w:val="center"/>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w:t>
            </w:r>
            <w:r w:rsidR="003B61B5" w:rsidRPr="00602ACC">
              <w:rPr>
                <w:rFonts w:ascii="Arial" w:hAnsi="Arial" w:cs="Arial"/>
                <w:b/>
                <w:snapToGrid w:val="0"/>
                <w:color w:val="000000"/>
                <w:sz w:val="18"/>
                <w:szCs w:val="18"/>
              </w:rPr>
              <w:t>000</w:t>
            </w:r>
          </w:p>
        </w:tc>
        <w:tc>
          <w:tcPr>
            <w:tcW w:w="1320" w:type="dxa"/>
            <w:vAlign w:val="center"/>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w:t>
            </w:r>
            <w:r w:rsidR="003B61B5" w:rsidRPr="00602ACC">
              <w:rPr>
                <w:rFonts w:ascii="Arial" w:hAnsi="Arial" w:cs="Arial"/>
                <w:b/>
                <w:snapToGrid w:val="0"/>
                <w:color w:val="000000"/>
                <w:sz w:val="18"/>
                <w:szCs w:val="18"/>
              </w:rPr>
              <w:t>000</w:t>
            </w:r>
          </w:p>
        </w:tc>
        <w:tc>
          <w:tcPr>
            <w:tcW w:w="1200" w:type="dxa"/>
            <w:vAlign w:val="center"/>
          </w:tcPr>
          <w:p w:rsidR="003B61B5" w:rsidRPr="00602ACC" w:rsidRDefault="00247106"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w:t>
            </w:r>
            <w:r w:rsidR="003B61B5" w:rsidRPr="00602ACC">
              <w:rPr>
                <w:rFonts w:ascii="Arial" w:hAnsi="Arial" w:cs="Arial"/>
                <w:b/>
                <w:snapToGrid w:val="0"/>
                <w:color w:val="000000"/>
                <w:sz w:val="18"/>
                <w:szCs w:val="18"/>
              </w:rPr>
              <w:t>000</w:t>
            </w:r>
          </w:p>
        </w:tc>
      </w:tr>
      <w:tr w:rsidR="003B61B5" w:rsidRPr="00602ACC" w:rsidTr="00E97A5B">
        <w:trPr>
          <w:trHeight w:val="466"/>
        </w:trPr>
        <w:tc>
          <w:tcPr>
            <w:tcW w:w="1320" w:type="dxa"/>
          </w:tcPr>
          <w:p w:rsidR="003B61B5" w:rsidRPr="00602ACC" w:rsidRDefault="003B61B5" w:rsidP="006C5DE1">
            <w:pPr>
              <w:widowControl w:val="0"/>
              <w:tabs>
                <w:tab w:val="right" w:pos="7200"/>
              </w:tabs>
              <w:rPr>
                <w:rFonts w:ascii="Arial" w:hAnsi="Arial" w:cs="Arial"/>
                <w:b/>
                <w:snapToGrid w:val="0"/>
                <w:color w:val="000000"/>
                <w:sz w:val="18"/>
                <w:szCs w:val="18"/>
              </w:rPr>
            </w:pP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7608C6" w:rsidP="00E97A5B">
            <w:pPr>
              <w:widowControl w:val="0"/>
              <w:tabs>
                <w:tab w:val="right" w:pos="7200"/>
              </w:tabs>
              <w:rPr>
                <w:rFonts w:ascii="Arial" w:hAnsi="Arial" w:cs="Arial"/>
                <w:snapToGrid w:val="0"/>
                <w:color w:val="000000"/>
                <w:sz w:val="18"/>
                <w:szCs w:val="18"/>
              </w:rPr>
            </w:pPr>
            <w:r w:rsidRPr="00602ACC">
              <w:rPr>
                <w:rFonts w:ascii="Arial" w:hAnsi="Arial" w:cs="Arial"/>
                <w:b/>
                <w:snapToGrid w:val="0"/>
                <w:color w:val="000000"/>
                <w:sz w:val="18"/>
                <w:szCs w:val="18"/>
              </w:rPr>
              <w:t>Financial assets</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320" w:type="dxa"/>
          </w:tcPr>
          <w:p w:rsidR="003B61B5" w:rsidRPr="00602ACC" w:rsidRDefault="003B61B5" w:rsidP="006C5DE1">
            <w:pPr>
              <w:widowControl w:val="0"/>
              <w:tabs>
                <w:tab w:val="right" w:pos="7200"/>
              </w:tabs>
              <w:jc w:val="center"/>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r>
      <w:tr w:rsidR="003B61B5" w:rsidRPr="00602ACC" w:rsidTr="00E97A5B">
        <w:trPr>
          <w:trHeight w:val="466"/>
        </w:trPr>
        <w:tc>
          <w:tcPr>
            <w:tcW w:w="1320" w:type="dxa"/>
          </w:tcPr>
          <w:p w:rsidR="003B61B5" w:rsidRPr="00602ACC" w:rsidRDefault="009F5FA8" w:rsidP="009369DD">
            <w:pPr>
              <w:widowControl w:val="0"/>
              <w:tabs>
                <w:tab w:val="right" w:pos="7200"/>
              </w:tabs>
              <w:jc w:val="right"/>
              <w:rPr>
                <w:rFonts w:ascii="Arial" w:hAnsi="Arial" w:cs="Arial"/>
                <w:snapToGrid w:val="0"/>
                <w:color w:val="000000"/>
                <w:sz w:val="18"/>
                <w:szCs w:val="18"/>
              </w:rPr>
            </w:pPr>
            <w:r w:rsidRPr="00602ACC">
              <w:rPr>
                <w:rFonts w:ascii="Arial" w:hAnsi="Arial" w:cs="Arial"/>
                <w:snapToGrid w:val="0"/>
                <w:color w:val="000000"/>
                <w:sz w:val="18"/>
                <w:szCs w:val="18"/>
              </w:rPr>
              <w:t>77,040</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7608C6"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Fixed interest securities</w:t>
            </w:r>
          </w:p>
          <w:p w:rsidR="00DE7DCF" w:rsidRPr="00602ACC" w:rsidRDefault="00DE7DCF" w:rsidP="00E97A5B">
            <w:pPr>
              <w:widowControl w:val="0"/>
              <w:tabs>
                <w:tab w:val="right" w:pos="7200"/>
              </w:tabs>
              <w:rPr>
                <w:rFonts w:ascii="Arial" w:hAnsi="Arial" w:cs="Arial"/>
                <w:snapToGrid w:val="0"/>
                <w:color w:val="000000"/>
                <w:sz w:val="18"/>
                <w:szCs w:val="18"/>
              </w:rPr>
            </w:pPr>
          </w:p>
        </w:tc>
        <w:tc>
          <w:tcPr>
            <w:tcW w:w="1320" w:type="dxa"/>
          </w:tcPr>
          <w:p w:rsidR="003B61B5" w:rsidRPr="00602ACC" w:rsidRDefault="00B20EBB"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0</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r>
      <w:tr w:rsidR="003B61B5" w:rsidRPr="00602ACC" w:rsidTr="00E97A5B">
        <w:trPr>
          <w:trHeight w:val="493"/>
        </w:trPr>
        <w:tc>
          <w:tcPr>
            <w:tcW w:w="1320" w:type="dxa"/>
          </w:tcPr>
          <w:p w:rsidR="003B61B5" w:rsidRPr="00602ACC" w:rsidRDefault="000F3164" w:rsidP="009369DD">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86,491</w:t>
            </w:r>
          </w:p>
        </w:tc>
        <w:tc>
          <w:tcPr>
            <w:tcW w:w="1320" w:type="dxa"/>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7608C6"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Equities</w:t>
            </w:r>
          </w:p>
        </w:tc>
        <w:tc>
          <w:tcPr>
            <w:tcW w:w="1320" w:type="dxa"/>
          </w:tcPr>
          <w:p w:rsidR="003B61B5" w:rsidRPr="00602ACC" w:rsidRDefault="00B20EBB"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0</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r>
      <w:tr w:rsidR="003B61B5" w:rsidRPr="00602ACC" w:rsidTr="00E97A5B">
        <w:trPr>
          <w:trHeight w:val="506"/>
        </w:trPr>
        <w:tc>
          <w:tcPr>
            <w:tcW w:w="1320" w:type="dxa"/>
          </w:tcPr>
          <w:p w:rsidR="003B61B5" w:rsidRPr="00602ACC" w:rsidRDefault="000F3164" w:rsidP="009369DD">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205,28</w:t>
            </w:r>
            <w:r w:rsidR="00E85B21">
              <w:rPr>
                <w:rFonts w:ascii="Arial" w:hAnsi="Arial" w:cs="Arial"/>
                <w:snapToGrid w:val="0"/>
                <w:color w:val="000000"/>
                <w:sz w:val="18"/>
                <w:szCs w:val="18"/>
              </w:rPr>
              <w:t>1</w:t>
            </w:r>
          </w:p>
        </w:tc>
        <w:tc>
          <w:tcPr>
            <w:tcW w:w="1320" w:type="dxa"/>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7608C6"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Pooled investments</w:t>
            </w:r>
          </w:p>
        </w:tc>
        <w:tc>
          <w:tcPr>
            <w:tcW w:w="1320" w:type="dxa"/>
          </w:tcPr>
          <w:p w:rsidR="003B61B5" w:rsidRPr="00602ACC" w:rsidRDefault="005D675C"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405,064</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r>
      <w:tr w:rsidR="003B61B5" w:rsidRPr="00602ACC" w:rsidTr="00E97A5B">
        <w:trPr>
          <w:trHeight w:val="421"/>
        </w:trPr>
        <w:tc>
          <w:tcPr>
            <w:tcW w:w="1320" w:type="dxa"/>
          </w:tcPr>
          <w:p w:rsidR="003B61B5" w:rsidRPr="00602ACC" w:rsidRDefault="00CE6A45" w:rsidP="009369DD">
            <w:pPr>
              <w:widowControl w:val="0"/>
              <w:tabs>
                <w:tab w:val="right" w:pos="7200"/>
              </w:tabs>
              <w:jc w:val="right"/>
              <w:rPr>
                <w:rFonts w:ascii="Arial" w:hAnsi="Arial" w:cs="Arial"/>
                <w:snapToGrid w:val="0"/>
                <w:color w:val="000000"/>
                <w:sz w:val="18"/>
                <w:szCs w:val="18"/>
              </w:rPr>
            </w:pPr>
            <w:r w:rsidRPr="00602ACC">
              <w:rPr>
                <w:rFonts w:ascii="Arial" w:hAnsi="Arial" w:cs="Arial"/>
                <w:snapToGrid w:val="0"/>
                <w:color w:val="000000"/>
                <w:sz w:val="18"/>
                <w:szCs w:val="18"/>
              </w:rPr>
              <w:t xml:space="preserve"> </w:t>
            </w:r>
            <w:r w:rsidR="00D42E94" w:rsidRPr="00602ACC">
              <w:rPr>
                <w:rFonts w:ascii="Arial" w:hAnsi="Arial" w:cs="Arial"/>
                <w:snapToGrid w:val="0"/>
                <w:color w:val="000000"/>
                <w:sz w:val="18"/>
                <w:szCs w:val="18"/>
              </w:rPr>
              <w:t>34,739</w:t>
            </w:r>
          </w:p>
        </w:tc>
        <w:tc>
          <w:tcPr>
            <w:tcW w:w="1320" w:type="dxa"/>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7608C6"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Pooled property investments</w:t>
            </w:r>
          </w:p>
          <w:p w:rsidR="00DE7DCF" w:rsidRPr="00602ACC" w:rsidRDefault="00DE7DCF" w:rsidP="00E97A5B">
            <w:pPr>
              <w:widowControl w:val="0"/>
              <w:tabs>
                <w:tab w:val="right" w:pos="7200"/>
              </w:tabs>
              <w:rPr>
                <w:rFonts w:ascii="Arial" w:hAnsi="Arial" w:cs="Arial"/>
                <w:snapToGrid w:val="0"/>
                <w:color w:val="000000"/>
                <w:sz w:val="18"/>
                <w:szCs w:val="18"/>
              </w:rPr>
            </w:pPr>
          </w:p>
        </w:tc>
        <w:tc>
          <w:tcPr>
            <w:tcW w:w="1320" w:type="dxa"/>
          </w:tcPr>
          <w:p w:rsidR="003B61B5" w:rsidRPr="00602ACC" w:rsidRDefault="005D675C"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33,320</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r>
      <w:tr w:rsidR="003B61B5" w:rsidRPr="00602ACC" w:rsidTr="00E97A5B">
        <w:trPr>
          <w:trHeight w:val="466"/>
        </w:trPr>
        <w:tc>
          <w:tcPr>
            <w:tcW w:w="1320" w:type="dxa"/>
          </w:tcPr>
          <w:p w:rsidR="003B61B5" w:rsidRPr="00602ACC" w:rsidRDefault="00D42E94" w:rsidP="009369DD">
            <w:pPr>
              <w:widowControl w:val="0"/>
              <w:tabs>
                <w:tab w:val="right" w:pos="7200"/>
              </w:tabs>
              <w:jc w:val="right"/>
              <w:rPr>
                <w:rFonts w:ascii="Arial" w:hAnsi="Arial" w:cs="Arial"/>
                <w:snapToGrid w:val="0"/>
                <w:color w:val="000000"/>
                <w:sz w:val="18"/>
                <w:szCs w:val="18"/>
              </w:rPr>
            </w:pPr>
            <w:r w:rsidRPr="00602ACC">
              <w:rPr>
                <w:rFonts w:ascii="Arial" w:hAnsi="Arial" w:cs="Arial"/>
                <w:snapToGrid w:val="0"/>
                <w:color w:val="000000"/>
                <w:sz w:val="18"/>
                <w:szCs w:val="18"/>
              </w:rPr>
              <w:t>80,729</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4A3897"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Private equity/infrastructure</w:t>
            </w:r>
          </w:p>
          <w:p w:rsidR="00DE7DCF" w:rsidRPr="00602ACC" w:rsidRDefault="00DE7DCF" w:rsidP="00E97A5B">
            <w:pPr>
              <w:widowControl w:val="0"/>
              <w:tabs>
                <w:tab w:val="right" w:pos="7200"/>
              </w:tabs>
              <w:rPr>
                <w:rFonts w:ascii="Arial" w:hAnsi="Arial" w:cs="Arial"/>
                <w:snapToGrid w:val="0"/>
                <w:color w:val="000000"/>
                <w:sz w:val="18"/>
                <w:szCs w:val="18"/>
              </w:rPr>
            </w:pPr>
          </w:p>
        </w:tc>
        <w:tc>
          <w:tcPr>
            <w:tcW w:w="1320" w:type="dxa"/>
          </w:tcPr>
          <w:p w:rsidR="003B61B5" w:rsidRPr="00602ACC" w:rsidRDefault="00B20EBB"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9</w:t>
            </w:r>
            <w:r w:rsidR="000D6BC4">
              <w:rPr>
                <w:rFonts w:ascii="Arial" w:hAnsi="Arial" w:cs="Arial"/>
                <w:snapToGrid w:val="0"/>
                <w:color w:val="000000"/>
                <w:sz w:val="18"/>
                <w:szCs w:val="18"/>
              </w:rPr>
              <w:t>9,913</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200" w:type="dxa"/>
          </w:tcPr>
          <w:p w:rsidR="003B61B5" w:rsidRPr="00602ACC" w:rsidRDefault="003B61B5" w:rsidP="006C5DE1">
            <w:pPr>
              <w:widowControl w:val="0"/>
              <w:tabs>
                <w:tab w:val="right" w:pos="7200"/>
              </w:tabs>
              <w:jc w:val="right"/>
              <w:rPr>
                <w:rFonts w:ascii="Arial" w:hAnsi="Arial" w:cs="Arial"/>
                <w:b/>
                <w:snapToGrid w:val="0"/>
                <w:color w:val="000000"/>
                <w:sz w:val="18"/>
                <w:szCs w:val="18"/>
              </w:rPr>
            </w:pPr>
          </w:p>
        </w:tc>
      </w:tr>
      <w:tr w:rsidR="003B61B5" w:rsidRPr="00602ACC" w:rsidTr="00DE054C">
        <w:trPr>
          <w:trHeight w:val="493"/>
        </w:trPr>
        <w:tc>
          <w:tcPr>
            <w:tcW w:w="1320" w:type="dxa"/>
          </w:tcPr>
          <w:p w:rsidR="003B61B5" w:rsidRPr="00602ACC" w:rsidRDefault="003B61B5" w:rsidP="009369DD">
            <w:pPr>
              <w:widowControl w:val="0"/>
              <w:tabs>
                <w:tab w:val="right" w:pos="7200"/>
              </w:tabs>
              <w:jc w:val="right"/>
              <w:rPr>
                <w:rFonts w:ascii="Arial" w:hAnsi="Arial" w:cs="Arial"/>
                <w:snapToGrid w:val="0"/>
                <w:color w:val="000000"/>
                <w:sz w:val="18"/>
                <w:szCs w:val="18"/>
              </w:rPr>
            </w:pPr>
          </w:p>
        </w:tc>
        <w:tc>
          <w:tcPr>
            <w:tcW w:w="1320" w:type="dxa"/>
          </w:tcPr>
          <w:p w:rsidR="003B61B5" w:rsidRPr="00602ACC" w:rsidRDefault="00A04071" w:rsidP="006C5DE1">
            <w:pPr>
              <w:widowControl w:val="0"/>
              <w:tabs>
                <w:tab w:val="right" w:pos="7200"/>
              </w:tabs>
              <w:jc w:val="right"/>
              <w:rPr>
                <w:rFonts w:ascii="Arial" w:hAnsi="Arial" w:cs="Arial"/>
                <w:b/>
                <w:snapToGrid w:val="0"/>
                <w:color w:val="000000"/>
                <w:sz w:val="18"/>
                <w:szCs w:val="18"/>
              </w:rPr>
            </w:pPr>
            <w:r w:rsidRPr="00602ACC">
              <w:rPr>
                <w:rFonts w:ascii="Arial" w:hAnsi="Arial" w:cs="Arial"/>
                <w:snapToGrid w:val="0"/>
                <w:color w:val="000000"/>
                <w:sz w:val="18"/>
                <w:szCs w:val="18"/>
              </w:rPr>
              <w:t>5,59</w:t>
            </w:r>
            <w:r w:rsidR="00B46374">
              <w:rPr>
                <w:rFonts w:ascii="Arial" w:hAnsi="Arial" w:cs="Arial"/>
                <w:snapToGrid w:val="0"/>
                <w:color w:val="000000"/>
                <w:sz w:val="18"/>
                <w:szCs w:val="18"/>
              </w:rPr>
              <w:t>1</w:t>
            </w: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2160" w:type="dxa"/>
          </w:tcPr>
          <w:p w:rsidR="003B61B5" w:rsidRPr="00602ACC" w:rsidRDefault="00F8275B"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Cash</w:t>
            </w:r>
          </w:p>
        </w:tc>
        <w:tc>
          <w:tcPr>
            <w:tcW w:w="132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c>
          <w:tcPr>
            <w:tcW w:w="1320" w:type="dxa"/>
          </w:tcPr>
          <w:p w:rsidR="003B61B5" w:rsidRPr="00602ACC" w:rsidRDefault="007F2364"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5,5</w:t>
            </w:r>
            <w:r w:rsidR="00EB34E6">
              <w:rPr>
                <w:rFonts w:ascii="Arial" w:hAnsi="Arial" w:cs="Arial"/>
                <w:snapToGrid w:val="0"/>
                <w:color w:val="000000"/>
                <w:sz w:val="18"/>
                <w:szCs w:val="18"/>
              </w:rPr>
              <w:t>3</w:t>
            </w:r>
            <w:r w:rsidR="007B5169">
              <w:rPr>
                <w:rFonts w:ascii="Arial" w:hAnsi="Arial" w:cs="Arial"/>
                <w:snapToGrid w:val="0"/>
                <w:color w:val="000000"/>
                <w:sz w:val="18"/>
                <w:szCs w:val="18"/>
              </w:rPr>
              <w:t>4</w:t>
            </w:r>
          </w:p>
        </w:tc>
        <w:tc>
          <w:tcPr>
            <w:tcW w:w="1200" w:type="dxa"/>
          </w:tcPr>
          <w:p w:rsidR="003B61B5" w:rsidRPr="00602ACC" w:rsidRDefault="003B61B5" w:rsidP="006C5DE1">
            <w:pPr>
              <w:widowControl w:val="0"/>
              <w:tabs>
                <w:tab w:val="right" w:pos="7200"/>
              </w:tabs>
              <w:jc w:val="right"/>
              <w:rPr>
                <w:rFonts w:ascii="Arial" w:hAnsi="Arial" w:cs="Arial"/>
                <w:snapToGrid w:val="0"/>
                <w:color w:val="000000"/>
                <w:sz w:val="18"/>
                <w:szCs w:val="18"/>
              </w:rPr>
            </w:pPr>
          </w:p>
        </w:tc>
      </w:tr>
      <w:tr w:rsidR="003B5C8B" w:rsidRPr="00602ACC" w:rsidTr="00DE054C">
        <w:trPr>
          <w:trHeight w:val="493"/>
        </w:trPr>
        <w:tc>
          <w:tcPr>
            <w:tcW w:w="1320" w:type="dxa"/>
          </w:tcPr>
          <w:p w:rsidR="003B5C8B" w:rsidRPr="00602ACC" w:rsidRDefault="006B0EC2" w:rsidP="009369DD">
            <w:pPr>
              <w:widowControl w:val="0"/>
              <w:tabs>
                <w:tab w:val="right" w:pos="7200"/>
              </w:tabs>
              <w:jc w:val="right"/>
              <w:rPr>
                <w:rFonts w:ascii="Arial" w:hAnsi="Arial" w:cs="Arial"/>
                <w:snapToGrid w:val="0"/>
                <w:color w:val="000000"/>
                <w:sz w:val="18"/>
                <w:szCs w:val="18"/>
              </w:rPr>
            </w:pPr>
            <w:r w:rsidRPr="00602ACC">
              <w:rPr>
                <w:rFonts w:ascii="Arial" w:hAnsi="Arial" w:cs="Arial"/>
                <w:snapToGrid w:val="0"/>
                <w:color w:val="000000"/>
                <w:sz w:val="18"/>
                <w:szCs w:val="18"/>
              </w:rPr>
              <w:t>544</w:t>
            </w:r>
          </w:p>
        </w:tc>
        <w:tc>
          <w:tcPr>
            <w:tcW w:w="1320" w:type="dxa"/>
          </w:tcPr>
          <w:p w:rsidR="003B5C8B" w:rsidRPr="00602ACC" w:rsidRDefault="003B5C8B" w:rsidP="006C5DE1">
            <w:pPr>
              <w:widowControl w:val="0"/>
              <w:tabs>
                <w:tab w:val="right" w:pos="7200"/>
              </w:tabs>
              <w:jc w:val="right"/>
              <w:rPr>
                <w:rFonts w:ascii="Arial" w:hAnsi="Arial" w:cs="Arial"/>
                <w:snapToGrid w:val="0"/>
                <w:color w:val="000000"/>
                <w:sz w:val="18"/>
                <w:szCs w:val="18"/>
              </w:rPr>
            </w:pPr>
          </w:p>
        </w:tc>
        <w:tc>
          <w:tcPr>
            <w:tcW w:w="1200" w:type="dxa"/>
          </w:tcPr>
          <w:p w:rsidR="003B5C8B" w:rsidRPr="00602ACC" w:rsidRDefault="003B5C8B" w:rsidP="006C5DE1">
            <w:pPr>
              <w:widowControl w:val="0"/>
              <w:tabs>
                <w:tab w:val="right" w:pos="7200"/>
              </w:tabs>
              <w:jc w:val="right"/>
              <w:rPr>
                <w:rFonts w:ascii="Arial" w:hAnsi="Arial" w:cs="Arial"/>
                <w:snapToGrid w:val="0"/>
                <w:color w:val="000000"/>
                <w:sz w:val="18"/>
                <w:szCs w:val="18"/>
              </w:rPr>
            </w:pPr>
          </w:p>
        </w:tc>
        <w:tc>
          <w:tcPr>
            <w:tcW w:w="2160" w:type="dxa"/>
          </w:tcPr>
          <w:p w:rsidR="003B5C8B" w:rsidRPr="00602ACC" w:rsidRDefault="006B0EC2"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Other investment balances</w:t>
            </w:r>
          </w:p>
        </w:tc>
        <w:tc>
          <w:tcPr>
            <w:tcW w:w="1320" w:type="dxa"/>
          </w:tcPr>
          <w:p w:rsidR="003B5C8B" w:rsidRPr="00602ACC" w:rsidRDefault="00B20EBB" w:rsidP="006C5DE1">
            <w:pPr>
              <w:widowControl w:val="0"/>
              <w:tabs>
                <w:tab w:val="right" w:pos="7200"/>
              </w:tabs>
              <w:jc w:val="right"/>
              <w:rPr>
                <w:rFonts w:ascii="Arial" w:hAnsi="Arial" w:cs="Arial"/>
                <w:snapToGrid w:val="0"/>
                <w:color w:val="000000"/>
                <w:sz w:val="18"/>
                <w:szCs w:val="18"/>
              </w:rPr>
            </w:pPr>
            <w:r>
              <w:rPr>
                <w:rFonts w:ascii="Arial" w:hAnsi="Arial" w:cs="Arial"/>
                <w:snapToGrid w:val="0"/>
                <w:color w:val="000000"/>
                <w:sz w:val="18"/>
                <w:szCs w:val="18"/>
              </w:rPr>
              <w:t>0</w:t>
            </w:r>
          </w:p>
        </w:tc>
        <w:tc>
          <w:tcPr>
            <w:tcW w:w="1320" w:type="dxa"/>
          </w:tcPr>
          <w:p w:rsidR="003B5C8B" w:rsidRPr="00602ACC" w:rsidRDefault="003B5C8B" w:rsidP="006C5DE1">
            <w:pPr>
              <w:widowControl w:val="0"/>
              <w:tabs>
                <w:tab w:val="right" w:pos="7200"/>
              </w:tabs>
              <w:jc w:val="right"/>
              <w:rPr>
                <w:rFonts w:ascii="Arial" w:hAnsi="Arial" w:cs="Arial"/>
                <w:snapToGrid w:val="0"/>
                <w:color w:val="000000"/>
                <w:sz w:val="18"/>
                <w:szCs w:val="18"/>
              </w:rPr>
            </w:pPr>
          </w:p>
        </w:tc>
        <w:tc>
          <w:tcPr>
            <w:tcW w:w="1200" w:type="dxa"/>
          </w:tcPr>
          <w:p w:rsidR="003B5C8B" w:rsidRPr="00602ACC" w:rsidRDefault="003B5C8B" w:rsidP="006C5DE1">
            <w:pPr>
              <w:widowControl w:val="0"/>
              <w:tabs>
                <w:tab w:val="right" w:pos="7200"/>
              </w:tabs>
              <w:jc w:val="right"/>
              <w:rPr>
                <w:rFonts w:ascii="Arial" w:hAnsi="Arial" w:cs="Arial"/>
                <w:snapToGrid w:val="0"/>
                <w:color w:val="000000"/>
                <w:sz w:val="18"/>
                <w:szCs w:val="18"/>
              </w:rPr>
            </w:pPr>
          </w:p>
        </w:tc>
      </w:tr>
      <w:tr w:rsidR="00596EE9" w:rsidRPr="00602ACC" w:rsidTr="00DE054C">
        <w:trPr>
          <w:trHeight w:val="421"/>
        </w:trPr>
        <w:tc>
          <w:tcPr>
            <w:tcW w:w="1320" w:type="dxa"/>
            <w:tcBorders>
              <w:bottom w:val="single" w:sz="4" w:space="0" w:color="auto"/>
            </w:tcBorders>
          </w:tcPr>
          <w:p w:rsidR="00596EE9" w:rsidRPr="00602ACC" w:rsidRDefault="00596EE9" w:rsidP="009369DD">
            <w:pPr>
              <w:widowControl w:val="0"/>
              <w:tabs>
                <w:tab w:val="right" w:pos="7200"/>
              </w:tabs>
              <w:jc w:val="right"/>
              <w:rPr>
                <w:rFonts w:ascii="Arial" w:hAnsi="Arial" w:cs="Arial"/>
                <w:snapToGrid w:val="0"/>
                <w:color w:val="000000"/>
                <w:sz w:val="18"/>
                <w:szCs w:val="18"/>
              </w:rPr>
            </w:pPr>
          </w:p>
        </w:tc>
        <w:tc>
          <w:tcPr>
            <w:tcW w:w="1320" w:type="dxa"/>
            <w:tcBorders>
              <w:bottom w:val="single" w:sz="4" w:space="0" w:color="auto"/>
            </w:tcBorders>
          </w:tcPr>
          <w:p w:rsidR="00596EE9" w:rsidRPr="00602ACC" w:rsidRDefault="00993F27" w:rsidP="006C5DE1">
            <w:pPr>
              <w:widowControl w:val="0"/>
              <w:tabs>
                <w:tab w:val="right" w:pos="7200"/>
              </w:tabs>
              <w:jc w:val="right"/>
              <w:rPr>
                <w:rFonts w:ascii="Arial" w:hAnsi="Arial" w:cs="Arial"/>
                <w:b/>
                <w:snapToGrid w:val="0"/>
                <w:color w:val="000000"/>
                <w:sz w:val="18"/>
                <w:szCs w:val="18"/>
              </w:rPr>
            </w:pPr>
            <w:r w:rsidRPr="00602ACC">
              <w:rPr>
                <w:rFonts w:ascii="Arial" w:hAnsi="Arial" w:cs="Arial"/>
                <w:snapToGrid w:val="0"/>
                <w:color w:val="000000"/>
                <w:sz w:val="18"/>
                <w:szCs w:val="18"/>
              </w:rPr>
              <w:t>5,28</w:t>
            </w:r>
            <w:r w:rsidR="00B46374">
              <w:rPr>
                <w:rFonts w:ascii="Arial" w:hAnsi="Arial" w:cs="Arial"/>
                <w:snapToGrid w:val="0"/>
                <w:color w:val="000000"/>
                <w:sz w:val="18"/>
                <w:szCs w:val="18"/>
              </w:rPr>
              <w:t>5</w:t>
            </w:r>
          </w:p>
        </w:tc>
        <w:tc>
          <w:tcPr>
            <w:tcW w:w="1200" w:type="dxa"/>
            <w:tcBorders>
              <w:bottom w:val="single" w:sz="4" w:space="0" w:color="auto"/>
            </w:tcBorders>
          </w:tcPr>
          <w:p w:rsidR="00596EE9" w:rsidRPr="00602ACC" w:rsidRDefault="00596EE9" w:rsidP="006C5DE1">
            <w:pPr>
              <w:widowControl w:val="0"/>
              <w:tabs>
                <w:tab w:val="right" w:pos="7200"/>
              </w:tabs>
              <w:jc w:val="right"/>
              <w:rPr>
                <w:rFonts w:ascii="Arial" w:hAnsi="Arial" w:cs="Arial"/>
                <w:snapToGrid w:val="0"/>
                <w:color w:val="000000"/>
                <w:sz w:val="18"/>
                <w:szCs w:val="18"/>
              </w:rPr>
            </w:pPr>
          </w:p>
        </w:tc>
        <w:tc>
          <w:tcPr>
            <w:tcW w:w="2160" w:type="dxa"/>
          </w:tcPr>
          <w:p w:rsidR="00596EE9" w:rsidRPr="00602ACC" w:rsidRDefault="00596EE9"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Debtors</w:t>
            </w:r>
          </w:p>
        </w:tc>
        <w:tc>
          <w:tcPr>
            <w:tcW w:w="1320" w:type="dxa"/>
            <w:tcBorders>
              <w:bottom w:val="single" w:sz="4" w:space="0" w:color="auto"/>
            </w:tcBorders>
          </w:tcPr>
          <w:p w:rsidR="00596EE9" w:rsidRPr="00602ACC" w:rsidRDefault="00596EE9" w:rsidP="006C5DE1">
            <w:pPr>
              <w:widowControl w:val="0"/>
              <w:tabs>
                <w:tab w:val="right" w:pos="7200"/>
              </w:tabs>
              <w:jc w:val="right"/>
              <w:rPr>
                <w:rFonts w:ascii="Arial" w:hAnsi="Arial" w:cs="Arial"/>
                <w:snapToGrid w:val="0"/>
                <w:color w:val="000000"/>
                <w:sz w:val="18"/>
                <w:szCs w:val="18"/>
              </w:rPr>
            </w:pPr>
          </w:p>
        </w:tc>
        <w:tc>
          <w:tcPr>
            <w:tcW w:w="1320" w:type="dxa"/>
            <w:tcBorders>
              <w:bottom w:val="single" w:sz="4" w:space="0" w:color="auto"/>
            </w:tcBorders>
          </w:tcPr>
          <w:p w:rsidR="00596EE9" w:rsidRPr="008D7054" w:rsidRDefault="0077113C" w:rsidP="006C5DE1">
            <w:pPr>
              <w:widowControl w:val="0"/>
              <w:tabs>
                <w:tab w:val="right" w:pos="7200"/>
              </w:tabs>
              <w:jc w:val="right"/>
              <w:rPr>
                <w:rFonts w:ascii="Arial" w:hAnsi="Arial" w:cs="Arial"/>
                <w:snapToGrid w:val="0"/>
                <w:color w:val="000000"/>
                <w:sz w:val="18"/>
                <w:szCs w:val="18"/>
              </w:rPr>
            </w:pPr>
            <w:r w:rsidRPr="008D7054">
              <w:rPr>
                <w:rFonts w:ascii="Arial" w:hAnsi="Arial" w:cs="Arial"/>
                <w:snapToGrid w:val="0"/>
                <w:color w:val="000000"/>
                <w:sz w:val="18"/>
                <w:szCs w:val="18"/>
              </w:rPr>
              <w:t>4,483</w:t>
            </w:r>
          </w:p>
        </w:tc>
        <w:tc>
          <w:tcPr>
            <w:tcW w:w="1200" w:type="dxa"/>
            <w:tcBorders>
              <w:bottom w:val="single" w:sz="4" w:space="0" w:color="auto"/>
            </w:tcBorders>
          </w:tcPr>
          <w:p w:rsidR="00596EE9" w:rsidRPr="008D7054" w:rsidRDefault="00596EE9" w:rsidP="006C5DE1">
            <w:pPr>
              <w:widowControl w:val="0"/>
              <w:tabs>
                <w:tab w:val="right" w:pos="7200"/>
              </w:tabs>
              <w:jc w:val="right"/>
              <w:rPr>
                <w:rFonts w:ascii="Arial" w:hAnsi="Arial" w:cs="Arial"/>
                <w:b/>
                <w:snapToGrid w:val="0"/>
                <w:color w:val="000000"/>
                <w:sz w:val="18"/>
                <w:szCs w:val="18"/>
              </w:rPr>
            </w:pPr>
          </w:p>
        </w:tc>
      </w:tr>
      <w:tr w:rsidR="00596EE9" w:rsidRPr="00602ACC" w:rsidTr="00DE054C">
        <w:trPr>
          <w:trHeight w:val="421"/>
        </w:trPr>
        <w:tc>
          <w:tcPr>
            <w:tcW w:w="1320" w:type="dxa"/>
            <w:tcBorders>
              <w:top w:val="single" w:sz="4" w:space="0" w:color="auto"/>
            </w:tcBorders>
          </w:tcPr>
          <w:p w:rsidR="00596EE9" w:rsidRPr="00602ACC" w:rsidRDefault="00DF4233" w:rsidP="009369DD">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484,</w:t>
            </w:r>
            <w:r w:rsidR="006B0EC2" w:rsidRPr="00602ACC">
              <w:rPr>
                <w:rFonts w:ascii="Arial" w:hAnsi="Arial" w:cs="Arial"/>
                <w:b/>
                <w:snapToGrid w:val="0"/>
                <w:color w:val="000000"/>
                <w:sz w:val="18"/>
                <w:szCs w:val="18"/>
              </w:rPr>
              <w:t>82</w:t>
            </w:r>
            <w:r w:rsidR="00E85B21">
              <w:rPr>
                <w:rFonts w:ascii="Arial" w:hAnsi="Arial" w:cs="Arial"/>
                <w:b/>
                <w:snapToGrid w:val="0"/>
                <w:color w:val="000000"/>
                <w:sz w:val="18"/>
                <w:szCs w:val="18"/>
              </w:rPr>
              <w:t>4</w:t>
            </w:r>
          </w:p>
        </w:tc>
        <w:tc>
          <w:tcPr>
            <w:tcW w:w="1320" w:type="dxa"/>
            <w:tcBorders>
              <w:top w:val="single" w:sz="4" w:space="0" w:color="auto"/>
            </w:tcBorders>
          </w:tcPr>
          <w:p w:rsidR="00596EE9" w:rsidRPr="00602ACC" w:rsidRDefault="00E3451D"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10,87</w:t>
            </w:r>
            <w:r w:rsidR="001E33F8">
              <w:rPr>
                <w:rFonts w:ascii="Arial" w:hAnsi="Arial" w:cs="Arial"/>
                <w:b/>
                <w:snapToGrid w:val="0"/>
                <w:color w:val="000000"/>
                <w:sz w:val="18"/>
                <w:szCs w:val="18"/>
              </w:rPr>
              <w:t>6</w:t>
            </w:r>
          </w:p>
        </w:tc>
        <w:tc>
          <w:tcPr>
            <w:tcW w:w="1200" w:type="dxa"/>
            <w:tcBorders>
              <w:top w:val="single" w:sz="4" w:space="0" w:color="auto"/>
            </w:tcBorders>
          </w:tcPr>
          <w:p w:rsidR="00596EE9" w:rsidRPr="00602ACC" w:rsidRDefault="00596EE9"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0</w:t>
            </w:r>
          </w:p>
        </w:tc>
        <w:tc>
          <w:tcPr>
            <w:tcW w:w="2160" w:type="dxa"/>
          </w:tcPr>
          <w:p w:rsidR="00596EE9" w:rsidRPr="00602ACC" w:rsidRDefault="00596EE9" w:rsidP="00E97A5B">
            <w:pPr>
              <w:widowControl w:val="0"/>
              <w:tabs>
                <w:tab w:val="right" w:pos="7200"/>
              </w:tabs>
              <w:rPr>
                <w:rFonts w:ascii="Arial" w:hAnsi="Arial" w:cs="Arial"/>
                <w:snapToGrid w:val="0"/>
                <w:color w:val="000000"/>
                <w:sz w:val="18"/>
                <w:szCs w:val="18"/>
              </w:rPr>
            </w:pPr>
          </w:p>
        </w:tc>
        <w:tc>
          <w:tcPr>
            <w:tcW w:w="1320" w:type="dxa"/>
            <w:tcBorders>
              <w:top w:val="single" w:sz="4" w:space="0" w:color="auto"/>
            </w:tcBorders>
          </w:tcPr>
          <w:p w:rsidR="00596EE9" w:rsidRPr="00602ACC" w:rsidRDefault="007F2364" w:rsidP="006C5DE1">
            <w:pPr>
              <w:widowControl w:val="0"/>
              <w:tabs>
                <w:tab w:val="right" w:pos="7200"/>
              </w:tabs>
              <w:jc w:val="right"/>
              <w:rPr>
                <w:rFonts w:ascii="Arial" w:hAnsi="Arial" w:cs="Arial"/>
                <w:b/>
                <w:snapToGrid w:val="0"/>
                <w:color w:val="000000"/>
                <w:sz w:val="18"/>
                <w:szCs w:val="18"/>
              </w:rPr>
            </w:pPr>
            <w:r>
              <w:rPr>
                <w:rFonts w:ascii="Arial" w:hAnsi="Arial" w:cs="Arial"/>
                <w:b/>
                <w:snapToGrid w:val="0"/>
                <w:color w:val="000000"/>
                <w:sz w:val="18"/>
                <w:szCs w:val="18"/>
              </w:rPr>
              <w:t>53</w:t>
            </w:r>
            <w:r w:rsidR="000D6BC4">
              <w:rPr>
                <w:rFonts w:ascii="Arial" w:hAnsi="Arial" w:cs="Arial"/>
                <w:b/>
                <w:snapToGrid w:val="0"/>
                <w:color w:val="000000"/>
                <w:sz w:val="18"/>
                <w:szCs w:val="18"/>
              </w:rPr>
              <w:t>8,297</w:t>
            </w:r>
          </w:p>
        </w:tc>
        <w:tc>
          <w:tcPr>
            <w:tcW w:w="1320" w:type="dxa"/>
            <w:tcBorders>
              <w:top w:val="single" w:sz="4" w:space="0" w:color="auto"/>
            </w:tcBorders>
          </w:tcPr>
          <w:p w:rsidR="00596EE9" w:rsidRPr="008D7054" w:rsidRDefault="0077113C" w:rsidP="006C5DE1">
            <w:pPr>
              <w:widowControl w:val="0"/>
              <w:tabs>
                <w:tab w:val="right" w:pos="7200"/>
              </w:tabs>
              <w:jc w:val="right"/>
              <w:rPr>
                <w:rFonts w:ascii="Arial" w:hAnsi="Arial" w:cs="Arial"/>
                <w:b/>
                <w:snapToGrid w:val="0"/>
                <w:color w:val="000000"/>
                <w:sz w:val="18"/>
                <w:szCs w:val="18"/>
              </w:rPr>
            </w:pPr>
            <w:r w:rsidRPr="008D7054">
              <w:rPr>
                <w:rFonts w:ascii="Arial" w:hAnsi="Arial" w:cs="Arial"/>
                <w:b/>
                <w:snapToGrid w:val="0"/>
                <w:color w:val="000000"/>
                <w:sz w:val="18"/>
                <w:szCs w:val="18"/>
              </w:rPr>
              <w:t>10,017</w:t>
            </w:r>
          </w:p>
        </w:tc>
        <w:tc>
          <w:tcPr>
            <w:tcW w:w="1200" w:type="dxa"/>
            <w:tcBorders>
              <w:top w:val="single" w:sz="4" w:space="0" w:color="auto"/>
            </w:tcBorders>
          </w:tcPr>
          <w:p w:rsidR="00596EE9" w:rsidRPr="008D7054" w:rsidRDefault="00596EE9" w:rsidP="006C5DE1">
            <w:pPr>
              <w:widowControl w:val="0"/>
              <w:tabs>
                <w:tab w:val="right" w:pos="7200"/>
              </w:tabs>
              <w:jc w:val="right"/>
              <w:rPr>
                <w:rFonts w:ascii="Arial" w:hAnsi="Arial" w:cs="Arial"/>
                <w:b/>
                <w:snapToGrid w:val="0"/>
                <w:color w:val="000000"/>
                <w:sz w:val="18"/>
                <w:szCs w:val="18"/>
              </w:rPr>
            </w:pPr>
            <w:r w:rsidRPr="008D7054">
              <w:rPr>
                <w:rFonts w:ascii="Arial" w:hAnsi="Arial" w:cs="Arial"/>
                <w:b/>
                <w:snapToGrid w:val="0"/>
                <w:color w:val="000000"/>
                <w:sz w:val="18"/>
                <w:szCs w:val="18"/>
              </w:rPr>
              <w:t>0</w:t>
            </w:r>
          </w:p>
        </w:tc>
      </w:tr>
      <w:tr w:rsidR="00596EE9" w:rsidRPr="00602ACC" w:rsidTr="00A80664">
        <w:trPr>
          <w:trHeight w:val="421"/>
        </w:trPr>
        <w:tc>
          <w:tcPr>
            <w:tcW w:w="1320" w:type="dxa"/>
          </w:tcPr>
          <w:p w:rsidR="00596EE9" w:rsidRPr="00602ACC" w:rsidRDefault="00596EE9" w:rsidP="009369DD">
            <w:pPr>
              <w:widowControl w:val="0"/>
              <w:tabs>
                <w:tab w:val="right" w:pos="7200"/>
              </w:tabs>
              <w:jc w:val="right"/>
              <w:rPr>
                <w:rFonts w:ascii="Arial" w:hAnsi="Arial" w:cs="Arial"/>
                <w:b/>
                <w:snapToGrid w:val="0"/>
                <w:color w:val="000000"/>
                <w:sz w:val="18"/>
                <w:szCs w:val="18"/>
              </w:rPr>
            </w:pPr>
          </w:p>
        </w:tc>
        <w:tc>
          <w:tcPr>
            <w:tcW w:w="1320" w:type="dxa"/>
          </w:tcPr>
          <w:p w:rsidR="00596EE9" w:rsidRPr="00602ACC" w:rsidRDefault="00596EE9" w:rsidP="006C5DE1">
            <w:pPr>
              <w:widowControl w:val="0"/>
              <w:tabs>
                <w:tab w:val="right" w:pos="7200"/>
              </w:tabs>
              <w:jc w:val="right"/>
              <w:rPr>
                <w:rFonts w:ascii="Arial" w:hAnsi="Arial" w:cs="Arial"/>
                <w:b/>
                <w:snapToGrid w:val="0"/>
                <w:color w:val="000000"/>
                <w:sz w:val="18"/>
                <w:szCs w:val="18"/>
              </w:rPr>
            </w:pPr>
          </w:p>
        </w:tc>
        <w:tc>
          <w:tcPr>
            <w:tcW w:w="1200" w:type="dxa"/>
          </w:tcPr>
          <w:p w:rsidR="00596EE9" w:rsidRPr="00602ACC" w:rsidRDefault="00596EE9" w:rsidP="006C5DE1">
            <w:pPr>
              <w:widowControl w:val="0"/>
              <w:tabs>
                <w:tab w:val="right" w:pos="7200"/>
              </w:tabs>
              <w:jc w:val="right"/>
              <w:rPr>
                <w:rFonts w:ascii="Arial" w:hAnsi="Arial" w:cs="Arial"/>
                <w:b/>
                <w:snapToGrid w:val="0"/>
                <w:color w:val="000000"/>
                <w:sz w:val="18"/>
                <w:szCs w:val="18"/>
              </w:rPr>
            </w:pPr>
          </w:p>
        </w:tc>
        <w:tc>
          <w:tcPr>
            <w:tcW w:w="2160" w:type="dxa"/>
          </w:tcPr>
          <w:p w:rsidR="00596EE9" w:rsidRPr="00602ACC" w:rsidRDefault="00596EE9" w:rsidP="00E97A5B">
            <w:pPr>
              <w:widowControl w:val="0"/>
              <w:tabs>
                <w:tab w:val="right" w:pos="7200"/>
              </w:tabs>
              <w:rPr>
                <w:rFonts w:ascii="Arial" w:hAnsi="Arial" w:cs="Arial"/>
                <w:b/>
                <w:snapToGrid w:val="0"/>
                <w:color w:val="000000"/>
                <w:sz w:val="18"/>
                <w:szCs w:val="18"/>
              </w:rPr>
            </w:pPr>
            <w:r w:rsidRPr="00602ACC">
              <w:rPr>
                <w:rFonts w:ascii="Arial" w:hAnsi="Arial" w:cs="Arial"/>
                <w:b/>
                <w:snapToGrid w:val="0"/>
                <w:color w:val="000000"/>
                <w:sz w:val="18"/>
                <w:szCs w:val="18"/>
              </w:rPr>
              <w:t>Financial Liabilities</w:t>
            </w:r>
          </w:p>
        </w:tc>
        <w:tc>
          <w:tcPr>
            <w:tcW w:w="1320" w:type="dxa"/>
          </w:tcPr>
          <w:p w:rsidR="00596EE9" w:rsidRPr="00602ACC" w:rsidRDefault="00596EE9" w:rsidP="006C5DE1">
            <w:pPr>
              <w:widowControl w:val="0"/>
              <w:tabs>
                <w:tab w:val="right" w:pos="7200"/>
              </w:tabs>
              <w:jc w:val="right"/>
              <w:rPr>
                <w:rFonts w:ascii="Arial" w:hAnsi="Arial" w:cs="Arial"/>
                <w:b/>
                <w:snapToGrid w:val="0"/>
                <w:color w:val="000000"/>
                <w:sz w:val="18"/>
                <w:szCs w:val="18"/>
              </w:rPr>
            </w:pPr>
          </w:p>
        </w:tc>
        <w:tc>
          <w:tcPr>
            <w:tcW w:w="1320" w:type="dxa"/>
          </w:tcPr>
          <w:p w:rsidR="00596EE9" w:rsidRPr="008D7054" w:rsidRDefault="00596EE9" w:rsidP="006C5DE1">
            <w:pPr>
              <w:widowControl w:val="0"/>
              <w:tabs>
                <w:tab w:val="right" w:pos="7200"/>
              </w:tabs>
              <w:jc w:val="right"/>
              <w:rPr>
                <w:rFonts w:ascii="Arial" w:hAnsi="Arial" w:cs="Arial"/>
                <w:b/>
                <w:snapToGrid w:val="0"/>
                <w:color w:val="000000"/>
                <w:sz w:val="18"/>
                <w:szCs w:val="18"/>
              </w:rPr>
            </w:pPr>
          </w:p>
        </w:tc>
        <w:tc>
          <w:tcPr>
            <w:tcW w:w="1200" w:type="dxa"/>
          </w:tcPr>
          <w:p w:rsidR="00596EE9" w:rsidRPr="008D7054" w:rsidRDefault="00596EE9" w:rsidP="006C5DE1">
            <w:pPr>
              <w:widowControl w:val="0"/>
              <w:tabs>
                <w:tab w:val="right" w:pos="7200"/>
              </w:tabs>
              <w:jc w:val="right"/>
              <w:rPr>
                <w:rFonts w:ascii="Arial" w:hAnsi="Arial" w:cs="Arial"/>
                <w:b/>
                <w:snapToGrid w:val="0"/>
                <w:color w:val="000000"/>
                <w:sz w:val="18"/>
                <w:szCs w:val="18"/>
              </w:rPr>
            </w:pPr>
          </w:p>
        </w:tc>
      </w:tr>
      <w:tr w:rsidR="009F40D8" w:rsidRPr="00602ACC" w:rsidTr="00A80664">
        <w:trPr>
          <w:trHeight w:val="421"/>
        </w:trPr>
        <w:tc>
          <w:tcPr>
            <w:tcW w:w="1320" w:type="dxa"/>
            <w:tcBorders>
              <w:bottom w:val="single" w:sz="4" w:space="0" w:color="auto"/>
            </w:tcBorders>
          </w:tcPr>
          <w:p w:rsidR="009F40D8" w:rsidRPr="00602ACC" w:rsidRDefault="009F40D8" w:rsidP="009369DD">
            <w:pPr>
              <w:widowControl w:val="0"/>
              <w:tabs>
                <w:tab w:val="right" w:pos="7200"/>
              </w:tabs>
              <w:jc w:val="right"/>
              <w:rPr>
                <w:rFonts w:ascii="Arial" w:hAnsi="Arial" w:cs="Arial"/>
                <w:snapToGrid w:val="0"/>
                <w:color w:val="000000"/>
                <w:sz w:val="18"/>
                <w:szCs w:val="18"/>
              </w:rPr>
            </w:pPr>
          </w:p>
        </w:tc>
        <w:tc>
          <w:tcPr>
            <w:tcW w:w="1320" w:type="dxa"/>
            <w:tcBorders>
              <w:bottom w:val="single" w:sz="4" w:space="0" w:color="auto"/>
            </w:tcBorders>
          </w:tcPr>
          <w:p w:rsidR="009F40D8" w:rsidRPr="00602ACC" w:rsidRDefault="009F40D8" w:rsidP="006C5DE1">
            <w:pPr>
              <w:widowControl w:val="0"/>
              <w:tabs>
                <w:tab w:val="right" w:pos="7200"/>
              </w:tabs>
              <w:jc w:val="right"/>
              <w:rPr>
                <w:rFonts w:ascii="Arial" w:hAnsi="Arial" w:cs="Arial"/>
                <w:b/>
                <w:snapToGrid w:val="0"/>
                <w:color w:val="000000"/>
                <w:sz w:val="18"/>
                <w:szCs w:val="18"/>
              </w:rPr>
            </w:pPr>
          </w:p>
        </w:tc>
        <w:tc>
          <w:tcPr>
            <w:tcW w:w="1200" w:type="dxa"/>
            <w:tcBorders>
              <w:bottom w:val="single" w:sz="4" w:space="0" w:color="auto"/>
            </w:tcBorders>
          </w:tcPr>
          <w:p w:rsidR="009F40D8" w:rsidRPr="00602ACC" w:rsidRDefault="00931708" w:rsidP="006C5DE1">
            <w:pPr>
              <w:widowControl w:val="0"/>
              <w:tabs>
                <w:tab w:val="right" w:pos="7200"/>
              </w:tabs>
              <w:jc w:val="right"/>
              <w:rPr>
                <w:rFonts w:ascii="Arial" w:hAnsi="Arial" w:cs="Arial"/>
                <w:snapToGrid w:val="0"/>
                <w:color w:val="000000"/>
                <w:sz w:val="18"/>
                <w:szCs w:val="18"/>
              </w:rPr>
            </w:pPr>
            <w:r w:rsidRPr="00602ACC">
              <w:rPr>
                <w:rFonts w:ascii="Arial" w:hAnsi="Arial" w:cs="Arial"/>
                <w:snapToGrid w:val="0"/>
                <w:color w:val="000000"/>
                <w:sz w:val="18"/>
                <w:szCs w:val="18"/>
              </w:rPr>
              <w:t>-</w:t>
            </w:r>
            <w:r w:rsidR="00B24B9B" w:rsidRPr="00602ACC">
              <w:rPr>
                <w:rFonts w:ascii="Arial" w:hAnsi="Arial" w:cs="Arial"/>
                <w:snapToGrid w:val="0"/>
                <w:color w:val="000000"/>
                <w:sz w:val="18"/>
                <w:szCs w:val="18"/>
              </w:rPr>
              <w:t>1,803</w:t>
            </w:r>
          </w:p>
        </w:tc>
        <w:tc>
          <w:tcPr>
            <w:tcW w:w="2160" w:type="dxa"/>
          </w:tcPr>
          <w:p w:rsidR="009F40D8" w:rsidRPr="00602ACC" w:rsidRDefault="009F40D8" w:rsidP="00E97A5B">
            <w:pPr>
              <w:widowControl w:val="0"/>
              <w:tabs>
                <w:tab w:val="right" w:pos="7200"/>
              </w:tabs>
              <w:rPr>
                <w:rFonts w:ascii="Arial" w:hAnsi="Arial" w:cs="Arial"/>
                <w:snapToGrid w:val="0"/>
                <w:color w:val="000000"/>
                <w:sz w:val="18"/>
                <w:szCs w:val="18"/>
              </w:rPr>
            </w:pPr>
            <w:r w:rsidRPr="00602ACC">
              <w:rPr>
                <w:rFonts w:ascii="Arial" w:hAnsi="Arial" w:cs="Arial"/>
                <w:snapToGrid w:val="0"/>
                <w:color w:val="000000"/>
                <w:sz w:val="18"/>
                <w:szCs w:val="18"/>
              </w:rPr>
              <w:t>Creditors</w:t>
            </w:r>
          </w:p>
        </w:tc>
        <w:tc>
          <w:tcPr>
            <w:tcW w:w="1320" w:type="dxa"/>
            <w:tcBorders>
              <w:bottom w:val="single" w:sz="4" w:space="0" w:color="auto"/>
            </w:tcBorders>
          </w:tcPr>
          <w:p w:rsidR="009F40D8" w:rsidRPr="00602ACC" w:rsidRDefault="009F40D8" w:rsidP="006C5DE1">
            <w:pPr>
              <w:widowControl w:val="0"/>
              <w:tabs>
                <w:tab w:val="right" w:pos="7200"/>
              </w:tabs>
              <w:jc w:val="right"/>
              <w:rPr>
                <w:rFonts w:ascii="Arial" w:hAnsi="Arial" w:cs="Arial"/>
                <w:snapToGrid w:val="0"/>
                <w:color w:val="000000"/>
                <w:sz w:val="18"/>
                <w:szCs w:val="18"/>
                <w:highlight w:val="yellow"/>
              </w:rPr>
            </w:pPr>
          </w:p>
        </w:tc>
        <w:tc>
          <w:tcPr>
            <w:tcW w:w="1320" w:type="dxa"/>
            <w:tcBorders>
              <w:bottom w:val="single" w:sz="4" w:space="0" w:color="auto"/>
            </w:tcBorders>
          </w:tcPr>
          <w:p w:rsidR="009F40D8" w:rsidRPr="008D7054" w:rsidRDefault="009F40D8" w:rsidP="006C5DE1">
            <w:pPr>
              <w:widowControl w:val="0"/>
              <w:tabs>
                <w:tab w:val="right" w:pos="7200"/>
              </w:tabs>
              <w:jc w:val="right"/>
              <w:rPr>
                <w:rFonts w:ascii="Arial" w:hAnsi="Arial" w:cs="Arial"/>
                <w:b/>
                <w:snapToGrid w:val="0"/>
                <w:color w:val="000000"/>
                <w:sz w:val="18"/>
                <w:szCs w:val="18"/>
              </w:rPr>
            </w:pPr>
          </w:p>
        </w:tc>
        <w:tc>
          <w:tcPr>
            <w:tcW w:w="1200" w:type="dxa"/>
            <w:tcBorders>
              <w:bottom w:val="single" w:sz="4" w:space="0" w:color="auto"/>
            </w:tcBorders>
          </w:tcPr>
          <w:p w:rsidR="009F40D8" w:rsidRPr="008D7054" w:rsidRDefault="008D7054" w:rsidP="006C5DE1">
            <w:pPr>
              <w:widowControl w:val="0"/>
              <w:tabs>
                <w:tab w:val="right" w:pos="7200"/>
              </w:tabs>
              <w:jc w:val="right"/>
              <w:rPr>
                <w:rFonts w:ascii="Arial" w:hAnsi="Arial" w:cs="Arial"/>
                <w:snapToGrid w:val="0"/>
                <w:color w:val="000000"/>
                <w:sz w:val="18"/>
                <w:szCs w:val="18"/>
              </w:rPr>
            </w:pPr>
            <w:r w:rsidRPr="008D7054">
              <w:rPr>
                <w:rFonts w:ascii="Arial" w:hAnsi="Arial" w:cs="Arial"/>
                <w:snapToGrid w:val="0"/>
                <w:color w:val="000000"/>
                <w:sz w:val="18"/>
                <w:szCs w:val="18"/>
              </w:rPr>
              <w:t>-431</w:t>
            </w:r>
          </w:p>
        </w:tc>
      </w:tr>
      <w:tr w:rsidR="00BF147F" w:rsidRPr="00602ACC" w:rsidTr="00A80664">
        <w:trPr>
          <w:trHeight w:val="421"/>
        </w:trPr>
        <w:tc>
          <w:tcPr>
            <w:tcW w:w="1320" w:type="dxa"/>
            <w:tcBorders>
              <w:top w:val="single" w:sz="4" w:space="0" w:color="auto"/>
              <w:bottom w:val="single" w:sz="4" w:space="0" w:color="auto"/>
            </w:tcBorders>
          </w:tcPr>
          <w:p w:rsidR="00BF147F" w:rsidRPr="00602ACC" w:rsidRDefault="007E08E3" w:rsidP="009369DD">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484,</w:t>
            </w:r>
            <w:r w:rsidR="00CB33E5">
              <w:rPr>
                <w:rFonts w:ascii="Arial" w:hAnsi="Arial" w:cs="Arial"/>
                <w:b/>
                <w:snapToGrid w:val="0"/>
                <w:color w:val="000000"/>
                <w:sz w:val="18"/>
                <w:szCs w:val="18"/>
              </w:rPr>
              <w:t>82</w:t>
            </w:r>
            <w:r w:rsidR="00E85B21">
              <w:rPr>
                <w:rFonts w:ascii="Arial" w:hAnsi="Arial" w:cs="Arial"/>
                <w:b/>
                <w:snapToGrid w:val="0"/>
                <w:color w:val="000000"/>
                <w:sz w:val="18"/>
                <w:szCs w:val="18"/>
              </w:rPr>
              <w:t>4</w:t>
            </w:r>
          </w:p>
        </w:tc>
        <w:tc>
          <w:tcPr>
            <w:tcW w:w="1320" w:type="dxa"/>
            <w:tcBorders>
              <w:top w:val="single" w:sz="4" w:space="0" w:color="auto"/>
              <w:bottom w:val="single" w:sz="4" w:space="0" w:color="auto"/>
            </w:tcBorders>
          </w:tcPr>
          <w:p w:rsidR="00BF147F" w:rsidRPr="00602ACC" w:rsidRDefault="00E3451D"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10,87</w:t>
            </w:r>
            <w:r w:rsidR="001E33F8">
              <w:rPr>
                <w:rFonts w:ascii="Arial" w:hAnsi="Arial" w:cs="Arial"/>
                <w:b/>
                <w:snapToGrid w:val="0"/>
                <w:color w:val="000000"/>
                <w:sz w:val="18"/>
                <w:szCs w:val="18"/>
              </w:rPr>
              <w:t>6</w:t>
            </w:r>
          </w:p>
        </w:tc>
        <w:tc>
          <w:tcPr>
            <w:tcW w:w="1200" w:type="dxa"/>
            <w:tcBorders>
              <w:top w:val="single" w:sz="4" w:space="0" w:color="auto"/>
              <w:bottom w:val="single" w:sz="4" w:space="0" w:color="auto"/>
            </w:tcBorders>
          </w:tcPr>
          <w:p w:rsidR="00BF147F" w:rsidRPr="00602ACC" w:rsidRDefault="00931708" w:rsidP="006C5DE1">
            <w:pPr>
              <w:widowControl w:val="0"/>
              <w:tabs>
                <w:tab w:val="right" w:pos="7200"/>
              </w:tabs>
              <w:jc w:val="right"/>
              <w:rPr>
                <w:rFonts w:ascii="Arial" w:hAnsi="Arial" w:cs="Arial"/>
                <w:b/>
                <w:snapToGrid w:val="0"/>
                <w:color w:val="000000"/>
                <w:sz w:val="18"/>
                <w:szCs w:val="18"/>
              </w:rPr>
            </w:pPr>
            <w:r w:rsidRPr="00602ACC">
              <w:rPr>
                <w:rFonts w:ascii="Arial" w:hAnsi="Arial" w:cs="Arial"/>
                <w:b/>
                <w:snapToGrid w:val="0"/>
                <w:color w:val="000000"/>
                <w:sz w:val="18"/>
                <w:szCs w:val="18"/>
              </w:rPr>
              <w:t>-</w:t>
            </w:r>
            <w:r w:rsidR="00B24B9B" w:rsidRPr="00602ACC">
              <w:rPr>
                <w:rFonts w:ascii="Arial" w:hAnsi="Arial" w:cs="Arial"/>
                <w:b/>
                <w:snapToGrid w:val="0"/>
                <w:color w:val="000000"/>
                <w:sz w:val="18"/>
                <w:szCs w:val="18"/>
              </w:rPr>
              <w:t>1,803</w:t>
            </w:r>
          </w:p>
        </w:tc>
        <w:tc>
          <w:tcPr>
            <w:tcW w:w="2160" w:type="dxa"/>
          </w:tcPr>
          <w:p w:rsidR="00BF147F" w:rsidRPr="00602ACC" w:rsidRDefault="006D6B77" w:rsidP="006D6B77">
            <w:pPr>
              <w:widowControl w:val="0"/>
              <w:tabs>
                <w:tab w:val="right" w:pos="7200"/>
              </w:tabs>
              <w:rPr>
                <w:rFonts w:ascii="Arial" w:hAnsi="Arial" w:cs="Arial"/>
                <w:b/>
                <w:snapToGrid w:val="0"/>
                <w:color w:val="000000"/>
                <w:sz w:val="18"/>
                <w:szCs w:val="18"/>
              </w:rPr>
            </w:pPr>
            <w:r w:rsidRPr="00602ACC">
              <w:rPr>
                <w:rFonts w:ascii="Arial" w:hAnsi="Arial" w:cs="Arial"/>
                <w:b/>
                <w:snapToGrid w:val="0"/>
                <w:color w:val="000000"/>
                <w:sz w:val="18"/>
                <w:szCs w:val="18"/>
              </w:rPr>
              <w:t>Totals</w:t>
            </w:r>
          </w:p>
        </w:tc>
        <w:tc>
          <w:tcPr>
            <w:tcW w:w="1320" w:type="dxa"/>
            <w:tcBorders>
              <w:top w:val="single" w:sz="4" w:space="0" w:color="auto"/>
              <w:bottom w:val="single" w:sz="4" w:space="0" w:color="auto"/>
            </w:tcBorders>
          </w:tcPr>
          <w:p w:rsidR="00BF147F" w:rsidRPr="00602ACC" w:rsidRDefault="000C2A22" w:rsidP="006C5DE1">
            <w:pPr>
              <w:widowControl w:val="0"/>
              <w:tabs>
                <w:tab w:val="right" w:pos="7200"/>
              </w:tabs>
              <w:jc w:val="right"/>
              <w:rPr>
                <w:rFonts w:ascii="Arial" w:hAnsi="Arial" w:cs="Arial"/>
                <w:b/>
                <w:snapToGrid w:val="0"/>
                <w:color w:val="000000"/>
                <w:sz w:val="18"/>
                <w:szCs w:val="18"/>
                <w:highlight w:val="yellow"/>
              </w:rPr>
            </w:pPr>
            <w:r w:rsidRPr="000C2A22">
              <w:rPr>
                <w:rFonts w:ascii="Arial" w:hAnsi="Arial" w:cs="Arial"/>
                <w:b/>
                <w:snapToGrid w:val="0"/>
                <w:color w:val="000000"/>
                <w:sz w:val="18"/>
                <w:szCs w:val="18"/>
              </w:rPr>
              <w:t>53</w:t>
            </w:r>
            <w:r w:rsidR="000D6BC4">
              <w:rPr>
                <w:rFonts w:ascii="Arial" w:hAnsi="Arial" w:cs="Arial"/>
                <w:b/>
                <w:snapToGrid w:val="0"/>
                <w:color w:val="000000"/>
                <w:sz w:val="18"/>
                <w:szCs w:val="18"/>
              </w:rPr>
              <w:t>8,297</w:t>
            </w:r>
          </w:p>
        </w:tc>
        <w:tc>
          <w:tcPr>
            <w:tcW w:w="1320" w:type="dxa"/>
            <w:tcBorders>
              <w:top w:val="single" w:sz="4" w:space="0" w:color="auto"/>
              <w:bottom w:val="single" w:sz="4" w:space="0" w:color="auto"/>
            </w:tcBorders>
          </w:tcPr>
          <w:p w:rsidR="00BF147F" w:rsidRPr="008D7054" w:rsidRDefault="0077113C" w:rsidP="006C5DE1">
            <w:pPr>
              <w:widowControl w:val="0"/>
              <w:tabs>
                <w:tab w:val="right" w:pos="7200"/>
              </w:tabs>
              <w:jc w:val="right"/>
              <w:rPr>
                <w:rFonts w:ascii="Arial" w:hAnsi="Arial" w:cs="Arial"/>
                <w:b/>
                <w:snapToGrid w:val="0"/>
                <w:color w:val="000000"/>
                <w:sz w:val="18"/>
                <w:szCs w:val="18"/>
              </w:rPr>
            </w:pPr>
            <w:r w:rsidRPr="008D7054">
              <w:rPr>
                <w:rFonts w:ascii="Arial" w:hAnsi="Arial" w:cs="Arial"/>
                <w:b/>
                <w:snapToGrid w:val="0"/>
                <w:color w:val="000000"/>
                <w:sz w:val="18"/>
                <w:szCs w:val="18"/>
              </w:rPr>
              <w:t>10,017</w:t>
            </w:r>
          </w:p>
        </w:tc>
        <w:tc>
          <w:tcPr>
            <w:tcW w:w="1200" w:type="dxa"/>
            <w:tcBorders>
              <w:top w:val="single" w:sz="4" w:space="0" w:color="auto"/>
              <w:bottom w:val="single" w:sz="4" w:space="0" w:color="auto"/>
            </w:tcBorders>
          </w:tcPr>
          <w:p w:rsidR="00BF147F" w:rsidRPr="008D7054" w:rsidRDefault="008D7054" w:rsidP="006C5DE1">
            <w:pPr>
              <w:widowControl w:val="0"/>
              <w:tabs>
                <w:tab w:val="right" w:pos="7200"/>
              </w:tabs>
              <w:jc w:val="right"/>
              <w:rPr>
                <w:rFonts w:ascii="Arial" w:hAnsi="Arial" w:cs="Arial"/>
                <w:b/>
                <w:snapToGrid w:val="0"/>
                <w:color w:val="000000"/>
                <w:sz w:val="18"/>
                <w:szCs w:val="18"/>
              </w:rPr>
            </w:pPr>
            <w:r w:rsidRPr="008D7054">
              <w:rPr>
                <w:rFonts w:ascii="Arial" w:hAnsi="Arial" w:cs="Arial"/>
                <w:b/>
                <w:snapToGrid w:val="0"/>
                <w:color w:val="000000"/>
                <w:sz w:val="18"/>
                <w:szCs w:val="18"/>
              </w:rPr>
              <w:t>-431</w:t>
            </w:r>
          </w:p>
        </w:tc>
      </w:tr>
    </w:tbl>
    <w:p w:rsidR="008F6E33" w:rsidRPr="001A0167" w:rsidRDefault="008C2E12" w:rsidP="008F6E33">
      <w:pPr>
        <w:widowControl w:val="0"/>
        <w:tabs>
          <w:tab w:val="right" w:pos="7200"/>
        </w:tabs>
        <w:rPr>
          <w:rFonts w:ascii="Arial" w:hAnsi="Arial" w:cs="Arial"/>
          <w:snapToGrid w:val="0"/>
          <w:color w:val="000000"/>
          <w:sz w:val="24"/>
        </w:rPr>
      </w:pPr>
      <w:r w:rsidRPr="003D2F7A">
        <w:rPr>
          <w:rFonts w:ascii="Arial" w:hAnsi="Arial" w:cs="Arial"/>
          <w:b/>
          <w:snapToGrid w:val="0"/>
          <w:color w:val="000000"/>
          <w:sz w:val="24"/>
          <w:highlight w:val="yellow"/>
        </w:rPr>
        <w:br w:type="page"/>
      </w:r>
      <w:r w:rsidR="004B0A96" w:rsidRPr="001A0167">
        <w:rPr>
          <w:rFonts w:ascii="Arial" w:hAnsi="Arial" w:cs="Arial"/>
          <w:b/>
          <w:sz w:val="24"/>
          <w:szCs w:val="24"/>
        </w:rPr>
        <w:lastRenderedPageBreak/>
        <w:t xml:space="preserve">b)  </w:t>
      </w:r>
      <w:r w:rsidR="008F6E33" w:rsidRPr="001A0167">
        <w:rPr>
          <w:rFonts w:ascii="Arial" w:hAnsi="Arial" w:cs="Arial"/>
          <w:b/>
          <w:snapToGrid w:val="0"/>
          <w:color w:val="000000"/>
          <w:sz w:val="24"/>
        </w:rPr>
        <w:t>Net gains and losses on financial instruments</w:t>
      </w:r>
    </w:p>
    <w:p w:rsidR="008F6E33" w:rsidRPr="001A0167" w:rsidRDefault="008F6E33" w:rsidP="008F6E33">
      <w:pPr>
        <w:widowControl w:val="0"/>
        <w:tabs>
          <w:tab w:val="right" w:pos="7200"/>
        </w:tabs>
        <w:rPr>
          <w:rFonts w:ascii="Arial" w:hAnsi="Arial" w:cs="Arial"/>
          <w:snapToGrid w:val="0"/>
          <w:color w:val="000000"/>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4378"/>
        <w:gridCol w:w="1893"/>
      </w:tblGrid>
      <w:tr w:rsidR="002E5C2B" w:rsidRPr="001A0167" w:rsidTr="00FD13BA">
        <w:tc>
          <w:tcPr>
            <w:tcW w:w="1154" w:type="pct"/>
          </w:tcPr>
          <w:p w:rsidR="002E5C2B" w:rsidRPr="001A0167" w:rsidRDefault="002E5C2B" w:rsidP="00043728">
            <w:pPr>
              <w:widowControl w:val="0"/>
              <w:tabs>
                <w:tab w:val="right" w:pos="7200"/>
              </w:tabs>
              <w:ind w:left="132" w:hanging="132"/>
              <w:rPr>
                <w:rFonts w:ascii="Arial" w:hAnsi="Arial" w:cs="Arial"/>
                <w:snapToGrid w:val="0"/>
                <w:color w:val="000000"/>
                <w:sz w:val="24"/>
              </w:rPr>
            </w:pPr>
            <w:r w:rsidRPr="001A0167">
              <w:rPr>
                <w:rFonts w:ascii="Arial" w:hAnsi="Arial" w:cs="Arial"/>
                <w:b/>
                <w:snapToGrid w:val="0"/>
                <w:color w:val="000000"/>
                <w:sz w:val="24"/>
              </w:rPr>
              <w:t>31 March 201</w:t>
            </w:r>
            <w:r w:rsidR="00043728" w:rsidRPr="001A0167">
              <w:rPr>
                <w:rFonts w:ascii="Arial" w:hAnsi="Arial" w:cs="Arial"/>
                <w:b/>
                <w:snapToGrid w:val="0"/>
                <w:color w:val="000000"/>
                <w:sz w:val="24"/>
              </w:rPr>
              <w:t>2</w:t>
            </w:r>
          </w:p>
        </w:tc>
        <w:tc>
          <w:tcPr>
            <w:tcW w:w="2685" w:type="pct"/>
          </w:tcPr>
          <w:p w:rsidR="002E5C2B" w:rsidRPr="001A0167" w:rsidRDefault="002E5C2B" w:rsidP="00F315CB">
            <w:pPr>
              <w:widowControl w:val="0"/>
              <w:tabs>
                <w:tab w:val="right" w:pos="7200"/>
              </w:tabs>
              <w:ind w:left="132" w:hanging="132"/>
              <w:jc w:val="right"/>
              <w:rPr>
                <w:rFonts w:ascii="Arial" w:hAnsi="Arial" w:cs="Arial"/>
                <w:b/>
                <w:snapToGrid w:val="0"/>
                <w:color w:val="000000"/>
                <w:sz w:val="24"/>
              </w:rPr>
            </w:pPr>
          </w:p>
        </w:tc>
        <w:tc>
          <w:tcPr>
            <w:tcW w:w="1161" w:type="pct"/>
          </w:tcPr>
          <w:p w:rsidR="002E5C2B" w:rsidRPr="001A0167" w:rsidRDefault="002E5C2B" w:rsidP="00043728">
            <w:pPr>
              <w:widowControl w:val="0"/>
              <w:tabs>
                <w:tab w:val="right" w:pos="7200"/>
              </w:tabs>
              <w:ind w:left="132" w:hanging="132"/>
              <w:jc w:val="right"/>
              <w:rPr>
                <w:rFonts w:ascii="Arial" w:hAnsi="Arial" w:cs="Arial"/>
                <w:b/>
                <w:snapToGrid w:val="0"/>
                <w:color w:val="000000"/>
                <w:sz w:val="24"/>
              </w:rPr>
            </w:pPr>
            <w:r w:rsidRPr="001A0167">
              <w:rPr>
                <w:rFonts w:ascii="Arial" w:hAnsi="Arial" w:cs="Arial"/>
                <w:b/>
                <w:snapToGrid w:val="0"/>
                <w:color w:val="000000"/>
                <w:sz w:val="24"/>
              </w:rPr>
              <w:t>31 March 201</w:t>
            </w:r>
            <w:r w:rsidR="00043728" w:rsidRPr="001A0167">
              <w:rPr>
                <w:rFonts w:ascii="Arial" w:hAnsi="Arial" w:cs="Arial"/>
                <w:b/>
                <w:snapToGrid w:val="0"/>
                <w:color w:val="000000"/>
                <w:sz w:val="24"/>
              </w:rPr>
              <w:t>3</w:t>
            </w:r>
          </w:p>
        </w:tc>
      </w:tr>
      <w:tr w:rsidR="002E5C2B" w:rsidRPr="001A0167" w:rsidTr="00FD13BA">
        <w:tc>
          <w:tcPr>
            <w:tcW w:w="1154" w:type="pct"/>
          </w:tcPr>
          <w:p w:rsidR="002E5C2B" w:rsidRPr="001A0167" w:rsidRDefault="00FD13BA" w:rsidP="00FD13BA">
            <w:pPr>
              <w:widowControl w:val="0"/>
              <w:tabs>
                <w:tab w:val="right" w:pos="7200"/>
              </w:tabs>
              <w:ind w:left="132" w:hanging="132"/>
              <w:jc w:val="right"/>
              <w:rPr>
                <w:rFonts w:ascii="Arial" w:hAnsi="Arial" w:cs="Arial"/>
                <w:snapToGrid w:val="0"/>
                <w:color w:val="000000"/>
                <w:sz w:val="24"/>
              </w:rPr>
            </w:pPr>
            <w:r w:rsidRPr="001A0167">
              <w:rPr>
                <w:rFonts w:ascii="Arial" w:hAnsi="Arial" w:cs="Arial"/>
                <w:b/>
                <w:snapToGrid w:val="0"/>
                <w:color w:val="000000"/>
                <w:sz w:val="24"/>
              </w:rPr>
              <w:t>£’000</w:t>
            </w:r>
          </w:p>
        </w:tc>
        <w:tc>
          <w:tcPr>
            <w:tcW w:w="2685" w:type="pct"/>
          </w:tcPr>
          <w:p w:rsidR="002E5C2B" w:rsidRPr="001A0167" w:rsidRDefault="002E5C2B" w:rsidP="00F315CB">
            <w:pPr>
              <w:widowControl w:val="0"/>
              <w:tabs>
                <w:tab w:val="right" w:pos="7200"/>
              </w:tabs>
              <w:ind w:left="132" w:hanging="132"/>
              <w:jc w:val="right"/>
              <w:rPr>
                <w:rFonts w:ascii="Arial" w:hAnsi="Arial" w:cs="Arial"/>
                <w:b/>
                <w:snapToGrid w:val="0"/>
                <w:color w:val="000000"/>
                <w:sz w:val="24"/>
              </w:rPr>
            </w:pPr>
          </w:p>
        </w:tc>
        <w:tc>
          <w:tcPr>
            <w:tcW w:w="1161" w:type="pct"/>
          </w:tcPr>
          <w:p w:rsidR="002E5C2B" w:rsidRPr="001A0167" w:rsidRDefault="002E5C2B" w:rsidP="00F315CB">
            <w:pPr>
              <w:widowControl w:val="0"/>
              <w:tabs>
                <w:tab w:val="right" w:pos="7200"/>
              </w:tabs>
              <w:ind w:left="132" w:hanging="132"/>
              <w:jc w:val="right"/>
              <w:rPr>
                <w:rFonts w:ascii="Arial" w:hAnsi="Arial" w:cs="Arial"/>
                <w:b/>
                <w:snapToGrid w:val="0"/>
                <w:color w:val="000000"/>
                <w:sz w:val="24"/>
              </w:rPr>
            </w:pPr>
            <w:r w:rsidRPr="001A0167">
              <w:rPr>
                <w:rFonts w:ascii="Arial" w:hAnsi="Arial" w:cs="Arial"/>
                <w:b/>
                <w:snapToGrid w:val="0"/>
                <w:color w:val="000000"/>
                <w:sz w:val="24"/>
              </w:rPr>
              <w:t>£’000</w:t>
            </w:r>
          </w:p>
        </w:tc>
      </w:tr>
      <w:tr w:rsidR="002E5C2B" w:rsidRPr="001A0167" w:rsidTr="00FD13BA">
        <w:tc>
          <w:tcPr>
            <w:tcW w:w="1154" w:type="pct"/>
          </w:tcPr>
          <w:p w:rsidR="002E5C2B" w:rsidRPr="001A0167" w:rsidRDefault="002E5C2B" w:rsidP="00F315CB">
            <w:pPr>
              <w:widowControl w:val="0"/>
              <w:tabs>
                <w:tab w:val="right" w:pos="7200"/>
              </w:tabs>
              <w:ind w:left="132" w:hanging="132"/>
              <w:rPr>
                <w:rFonts w:ascii="Arial" w:hAnsi="Arial" w:cs="Arial"/>
                <w:snapToGrid w:val="0"/>
                <w:color w:val="000000"/>
                <w:sz w:val="24"/>
              </w:rPr>
            </w:pPr>
          </w:p>
        </w:tc>
        <w:tc>
          <w:tcPr>
            <w:tcW w:w="2685" w:type="pct"/>
          </w:tcPr>
          <w:p w:rsidR="002E5C2B" w:rsidRPr="001A0167" w:rsidRDefault="00B65C3B" w:rsidP="00085517">
            <w:pPr>
              <w:widowControl w:val="0"/>
              <w:tabs>
                <w:tab w:val="right" w:pos="7200"/>
              </w:tabs>
              <w:ind w:left="132" w:hanging="132"/>
              <w:rPr>
                <w:rFonts w:ascii="Arial" w:hAnsi="Arial" w:cs="Arial"/>
                <w:b/>
                <w:snapToGrid w:val="0"/>
                <w:color w:val="000000"/>
                <w:sz w:val="24"/>
              </w:rPr>
            </w:pPr>
            <w:r w:rsidRPr="001A0167">
              <w:rPr>
                <w:rFonts w:ascii="Arial" w:hAnsi="Arial" w:cs="Arial"/>
                <w:b/>
                <w:snapToGrid w:val="0"/>
                <w:color w:val="000000"/>
                <w:sz w:val="24"/>
              </w:rPr>
              <w:t>Financial a</w:t>
            </w:r>
            <w:r w:rsidR="00FD13BA" w:rsidRPr="001A0167">
              <w:rPr>
                <w:rFonts w:ascii="Arial" w:hAnsi="Arial" w:cs="Arial"/>
                <w:b/>
                <w:snapToGrid w:val="0"/>
                <w:color w:val="000000"/>
                <w:sz w:val="24"/>
              </w:rPr>
              <w:t>ssets</w:t>
            </w:r>
          </w:p>
        </w:tc>
        <w:tc>
          <w:tcPr>
            <w:tcW w:w="1161" w:type="pct"/>
          </w:tcPr>
          <w:p w:rsidR="002E5C2B" w:rsidRPr="001A0167" w:rsidRDefault="002E5C2B" w:rsidP="00F315CB">
            <w:pPr>
              <w:widowControl w:val="0"/>
              <w:tabs>
                <w:tab w:val="right" w:pos="7200"/>
              </w:tabs>
              <w:ind w:left="132" w:hanging="132"/>
              <w:jc w:val="right"/>
              <w:rPr>
                <w:rFonts w:ascii="Arial" w:hAnsi="Arial" w:cs="Arial"/>
                <w:snapToGrid w:val="0"/>
                <w:color w:val="000000"/>
                <w:sz w:val="24"/>
              </w:rPr>
            </w:pPr>
          </w:p>
        </w:tc>
      </w:tr>
      <w:tr w:rsidR="002E5C2B" w:rsidRPr="001A0167" w:rsidTr="00FD13BA">
        <w:tc>
          <w:tcPr>
            <w:tcW w:w="1154" w:type="pct"/>
          </w:tcPr>
          <w:p w:rsidR="002E5C2B" w:rsidRPr="001A0167" w:rsidRDefault="00401D0C" w:rsidP="00911FC7">
            <w:pPr>
              <w:widowControl w:val="0"/>
              <w:tabs>
                <w:tab w:val="right" w:pos="7200"/>
              </w:tabs>
              <w:ind w:left="132" w:hanging="132"/>
              <w:jc w:val="right"/>
              <w:rPr>
                <w:rFonts w:ascii="Arial" w:hAnsi="Arial" w:cs="Arial"/>
                <w:snapToGrid w:val="0"/>
                <w:color w:val="000000"/>
                <w:sz w:val="24"/>
              </w:rPr>
            </w:pPr>
            <w:r w:rsidRPr="001A0167">
              <w:rPr>
                <w:rFonts w:ascii="Arial" w:hAnsi="Arial" w:cs="Arial"/>
                <w:snapToGrid w:val="0"/>
                <w:color w:val="000000"/>
                <w:sz w:val="24"/>
              </w:rPr>
              <w:t>-7,477</w:t>
            </w:r>
          </w:p>
        </w:tc>
        <w:tc>
          <w:tcPr>
            <w:tcW w:w="2685" w:type="pct"/>
          </w:tcPr>
          <w:p w:rsidR="002E5C2B" w:rsidRPr="001A0167" w:rsidRDefault="00FD13BA" w:rsidP="00085517">
            <w:pPr>
              <w:widowControl w:val="0"/>
              <w:tabs>
                <w:tab w:val="right" w:pos="7200"/>
              </w:tabs>
              <w:ind w:left="132" w:hanging="132"/>
              <w:rPr>
                <w:rFonts w:ascii="Arial" w:hAnsi="Arial" w:cs="Arial"/>
                <w:snapToGrid w:val="0"/>
                <w:color w:val="000000"/>
                <w:sz w:val="24"/>
              </w:rPr>
            </w:pPr>
            <w:r w:rsidRPr="001A0167">
              <w:rPr>
                <w:rFonts w:ascii="Arial" w:hAnsi="Arial" w:cs="Arial"/>
                <w:snapToGrid w:val="0"/>
                <w:color w:val="000000"/>
                <w:sz w:val="24"/>
              </w:rPr>
              <w:t>Fair value through profit and loss</w:t>
            </w:r>
          </w:p>
        </w:tc>
        <w:tc>
          <w:tcPr>
            <w:tcW w:w="1161" w:type="pct"/>
          </w:tcPr>
          <w:p w:rsidR="002E5C2B" w:rsidRPr="00684A57" w:rsidRDefault="00684A57" w:rsidP="00F315CB">
            <w:pPr>
              <w:widowControl w:val="0"/>
              <w:tabs>
                <w:tab w:val="right" w:pos="7200"/>
              </w:tabs>
              <w:ind w:left="132" w:hanging="132"/>
              <w:jc w:val="right"/>
              <w:rPr>
                <w:rFonts w:ascii="Arial" w:hAnsi="Arial" w:cs="Arial"/>
                <w:snapToGrid w:val="0"/>
                <w:color w:val="000000"/>
                <w:sz w:val="24"/>
              </w:rPr>
            </w:pPr>
            <w:r w:rsidRPr="00684A57">
              <w:rPr>
                <w:rFonts w:ascii="Arial" w:hAnsi="Arial" w:cs="Arial"/>
                <w:snapToGrid w:val="0"/>
                <w:color w:val="000000"/>
                <w:sz w:val="24"/>
              </w:rPr>
              <w:t>45,240</w:t>
            </w:r>
          </w:p>
        </w:tc>
      </w:tr>
      <w:tr w:rsidR="002E5C2B" w:rsidRPr="001A0167" w:rsidTr="00085517">
        <w:tc>
          <w:tcPr>
            <w:tcW w:w="1154" w:type="pct"/>
            <w:tcBorders>
              <w:bottom w:val="single" w:sz="4" w:space="0" w:color="auto"/>
            </w:tcBorders>
          </w:tcPr>
          <w:p w:rsidR="002E5C2B" w:rsidRPr="001A0167" w:rsidRDefault="002E5C2B" w:rsidP="00911FC7">
            <w:pPr>
              <w:widowControl w:val="0"/>
              <w:tabs>
                <w:tab w:val="right" w:pos="7200"/>
              </w:tabs>
              <w:ind w:left="132" w:hanging="132"/>
              <w:jc w:val="right"/>
              <w:rPr>
                <w:rFonts w:ascii="Arial" w:hAnsi="Arial" w:cs="Arial"/>
                <w:snapToGrid w:val="0"/>
                <w:color w:val="000000"/>
              </w:rPr>
            </w:pPr>
          </w:p>
        </w:tc>
        <w:tc>
          <w:tcPr>
            <w:tcW w:w="2685" w:type="pct"/>
            <w:tcBorders>
              <w:bottom w:val="single" w:sz="4" w:space="0" w:color="auto"/>
            </w:tcBorders>
          </w:tcPr>
          <w:p w:rsidR="002E5C2B" w:rsidRPr="001A0167" w:rsidRDefault="002E5C2B" w:rsidP="00F315CB">
            <w:pPr>
              <w:widowControl w:val="0"/>
              <w:tabs>
                <w:tab w:val="right" w:pos="7200"/>
              </w:tabs>
              <w:ind w:left="132" w:hanging="132"/>
              <w:jc w:val="right"/>
              <w:rPr>
                <w:rFonts w:ascii="Arial" w:hAnsi="Arial" w:cs="Arial"/>
                <w:snapToGrid w:val="0"/>
                <w:color w:val="000000"/>
              </w:rPr>
            </w:pPr>
          </w:p>
        </w:tc>
        <w:tc>
          <w:tcPr>
            <w:tcW w:w="1161" w:type="pct"/>
            <w:tcBorders>
              <w:bottom w:val="single" w:sz="4" w:space="0" w:color="auto"/>
            </w:tcBorders>
          </w:tcPr>
          <w:p w:rsidR="002E5C2B" w:rsidRPr="00684A57" w:rsidRDefault="002E5C2B" w:rsidP="00F315CB">
            <w:pPr>
              <w:widowControl w:val="0"/>
              <w:tabs>
                <w:tab w:val="right" w:pos="7200"/>
              </w:tabs>
              <w:ind w:left="132" w:hanging="132"/>
              <w:jc w:val="right"/>
              <w:rPr>
                <w:rFonts w:ascii="Arial" w:hAnsi="Arial" w:cs="Arial"/>
                <w:snapToGrid w:val="0"/>
                <w:color w:val="000000"/>
              </w:rPr>
            </w:pPr>
          </w:p>
        </w:tc>
      </w:tr>
      <w:tr w:rsidR="002E5C2B" w:rsidRPr="001A0167" w:rsidTr="00085517">
        <w:tc>
          <w:tcPr>
            <w:tcW w:w="1154" w:type="pct"/>
            <w:tcBorders>
              <w:top w:val="single" w:sz="4" w:space="0" w:color="auto"/>
              <w:bottom w:val="single" w:sz="4" w:space="0" w:color="auto"/>
            </w:tcBorders>
          </w:tcPr>
          <w:p w:rsidR="002E5C2B" w:rsidRPr="001A0167" w:rsidRDefault="00401D0C" w:rsidP="00911FC7">
            <w:pPr>
              <w:widowControl w:val="0"/>
              <w:tabs>
                <w:tab w:val="right" w:pos="7200"/>
              </w:tabs>
              <w:ind w:left="132" w:hanging="132"/>
              <w:jc w:val="right"/>
              <w:rPr>
                <w:rFonts w:ascii="Arial" w:hAnsi="Arial" w:cs="Arial"/>
                <w:b/>
                <w:snapToGrid w:val="0"/>
                <w:color w:val="000000"/>
                <w:sz w:val="24"/>
              </w:rPr>
            </w:pPr>
            <w:r w:rsidRPr="001A0167">
              <w:rPr>
                <w:rFonts w:ascii="Arial" w:hAnsi="Arial" w:cs="Arial"/>
                <w:b/>
                <w:snapToGrid w:val="0"/>
                <w:color w:val="000000"/>
                <w:sz w:val="24"/>
              </w:rPr>
              <w:t>-7,477</w:t>
            </w:r>
          </w:p>
        </w:tc>
        <w:tc>
          <w:tcPr>
            <w:tcW w:w="2685" w:type="pct"/>
            <w:tcBorders>
              <w:top w:val="single" w:sz="4" w:space="0" w:color="auto"/>
              <w:bottom w:val="single" w:sz="4" w:space="0" w:color="auto"/>
            </w:tcBorders>
          </w:tcPr>
          <w:p w:rsidR="002E5C2B" w:rsidRPr="001A0167" w:rsidRDefault="00085517" w:rsidP="00085517">
            <w:pPr>
              <w:widowControl w:val="0"/>
              <w:tabs>
                <w:tab w:val="right" w:pos="7200"/>
              </w:tabs>
              <w:ind w:left="132" w:hanging="132"/>
              <w:rPr>
                <w:rFonts w:ascii="Arial" w:hAnsi="Arial" w:cs="Arial"/>
                <w:b/>
                <w:snapToGrid w:val="0"/>
                <w:color w:val="000000"/>
                <w:sz w:val="24"/>
              </w:rPr>
            </w:pPr>
            <w:r w:rsidRPr="001A0167">
              <w:rPr>
                <w:rFonts w:ascii="Arial" w:hAnsi="Arial" w:cs="Arial"/>
                <w:b/>
                <w:snapToGrid w:val="0"/>
                <w:color w:val="000000"/>
                <w:sz w:val="24"/>
              </w:rPr>
              <w:t>Total</w:t>
            </w:r>
          </w:p>
        </w:tc>
        <w:tc>
          <w:tcPr>
            <w:tcW w:w="1161" w:type="pct"/>
            <w:tcBorders>
              <w:top w:val="single" w:sz="4" w:space="0" w:color="auto"/>
              <w:bottom w:val="single" w:sz="4" w:space="0" w:color="auto"/>
            </w:tcBorders>
          </w:tcPr>
          <w:p w:rsidR="002E5C2B" w:rsidRPr="00684A57" w:rsidRDefault="00684A57" w:rsidP="00F315CB">
            <w:pPr>
              <w:widowControl w:val="0"/>
              <w:tabs>
                <w:tab w:val="right" w:pos="7200"/>
              </w:tabs>
              <w:ind w:left="132" w:hanging="132"/>
              <w:jc w:val="right"/>
              <w:rPr>
                <w:rFonts w:ascii="Arial" w:hAnsi="Arial" w:cs="Arial"/>
                <w:b/>
                <w:snapToGrid w:val="0"/>
                <w:color w:val="000000"/>
                <w:sz w:val="24"/>
              </w:rPr>
            </w:pPr>
            <w:r w:rsidRPr="00684A57">
              <w:rPr>
                <w:rFonts w:ascii="Arial" w:hAnsi="Arial" w:cs="Arial"/>
                <w:b/>
                <w:snapToGrid w:val="0"/>
                <w:color w:val="000000"/>
                <w:sz w:val="24"/>
              </w:rPr>
              <w:t>45,240</w:t>
            </w:r>
          </w:p>
        </w:tc>
      </w:tr>
    </w:tbl>
    <w:p w:rsidR="008F6E33" w:rsidRPr="001A0167" w:rsidRDefault="008F6E33" w:rsidP="008F6E33">
      <w:pPr>
        <w:widowControl w:val="0"/>
        <w:tabs>
          <w:tab w:val="right" w:pos="7200"/>
        </w:tabs>
        <w:rPr>
          <w:rFonts w:ascii="Arial" w:hAnsi="Arial" w:cs="Arial"/>
          <w:snapToGrid w:val="0"/>
          <w:color w:val="000000"/>
          <w:sz w:val="24"/>
        </w:rPr>
      </w:pPr>
    </w:p>
    <w:p w:rsidR="004B6397" w:rsidRPr="003B3183" w:rsidRDefault="004B6397" w:rsidP="004B6397">
      <w:pPr>
        <w:widowControl w:val="0"/>
        <w:tabs>
          <w:tab w:val="right" w:pos="7200"/>
        </w:tabs>
        <w:rPr>
          <w:rFonts w:ascii="Arial" w:hAnsi="Arial" w:cs="Arial"/>
          <w:b/>
          <w:snapToGrid w:val="0"/>
          <w:color w:val="000000"/>
          <w:sz w:val="24"/>
        </w:rPr>
      </w:pPr>
      <w:r w:rsidRPr="003B3183">
        <w:rPr>
          <w:rFonts w:ascii="Arial" w:hAnsi="Arial" w:cs="Arial"/>
          <w:b/>
          <w:snapToGrid w:val="0"/>
          <w:color w:val="000000"/>
          <w:sz w:val="24"/>
        </w:rPr>
        <w:t>c)  Fair value of financial instruments and liabilities</w:t>
      </w:r>
    </w:p>
    <w:p w:rsidR="00C34180" w:rsidRPr="003B3183" w:rsidRDefault="00C34180" w:rsidP="004B6397">
      <w:pPr>
        <w:widowControl w:val="0"/>
        <w:tabs>
          <w:tab w:val="right" w:pos="7200"/>
        </w:tabs>
        <w:rPr>
          <w:rFonts w:ascii="Arial" w:hAnsi="Arial" w:cs="Arial"/>
          <w:b/>
          <w:snapToGrid w:val="0"/>
          <w:color w:val="000000"/>
          <w:sz w:val="24"/>
        </w:rPr>
      </w:pPr>
    </w:p>
    <w:p w:rsidR="00C34180" w:rsidRPr="003B3183" w:rsidRDefault="00C34180" w:rsidP="004B6397">
      <w:pPr>
        <w:widowControl w:val="0"/>
        <w:tabs>
          <w:tab w:val="right" w:pos="7200"/>
        </w:tabs>
        <w:rPr>
          <w:rFonts w:ascii="Arial" w:hAnsi="Arial" w:cs="Arial"/>
          <w:snapToGrid w:val="0"/>
          <w:color w:val="000000"/>
          <w:sz w:val="24"/>
        </w:rPr>
      </w:pPr>
      <w:r w:rsidRPr="003B3183">
        <w:rPr>
          <w:rFonts w:ascii="Arial" w:hAnsi="Arial" w:cs="Arial"/>
          <w:snapToGrid w:val="0"/>
          <w:color w:val="000000"/>
          <w:sz w:val="24"/>
        </w:rPr>
        <w:t xml:space="preserve">The following table summarises the carrying values of the financial assets and financial liabilities </w:t>
      </w:r>
      <w:r w:rsidR="004E37EB" w:rsidRPr="003B3183">
        <w:rPr>
          <w:rFonts w:ascii="Arial" w:hAnsi="Arial" w:cs="Arial"/>
          <w:snapToGrid w:val="0"/>
          <w:color w:val="000000"/>
          <w:sz w:val="24"/>
        </w:rPr>
        <w:t>by class of instrument compared with their fair values.</w:t>
      </w:r>
    </w:p>
    <w:p w:rsidR="004B6397" w:rsidRPr="003B3183" w:rsidRDefault="004B6397" w:rsidP="004B6397">
      <w:pPr>
        <w:widowControl w:val="0"/>
        <w:tabs>
          <w:tab w:val="right" w:pos="7200"/>
        </w:tabs>
        <w:rPr>
          <w:rFonts w:ascii="Arial" w:hAnsi="Arial" w:cs="Arial"/>
          <w:snapToGrid w:val="0"/>
          <w:color w:val="000000"/>
          <w:sz w:val="24"/>
        </w:rPr>
      </w:pPr>
    </w:p>
    <w:tbl>
      <w:tblPr>
        <w:tblStyle w:val="TableGrid"/>
        <w:tblW w:w="55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0"/>
        <w:gridCol w:w="1201"/>
        <w:gridCol w:w="4075"/>
        <w:gridCol w:w="1203"/>
        <w:gridCol w:w="1199"/>
      </w:tblGrid>
      <w:tr w:rsidR="00D24494" w:rsidRPr="003B3183" w:rsidTr="00715231">
        <w:tc>
          <w:tcPr>
            <w:tcW w:w="1397" w:type="pct"/>
            <w:gridSpan w:val="2"/>
          </w:tcPr>
          <w:p w:rsidR="00D24494" w:rsidRPr="003B3183" w:rsidRDefault="00334CF4" w:rsidP="00996FF4">
            <w:pPr>
              <w:widowControl w:val="0"/>
              <w:tabs>
                <w:tab w:val="right" w:pos="7200"/>
              </w:tabs>
              <w:ind w:left="132" w:hanging="132"/>
              <w:jc w:val="center"/>
              <w:rPr>
                <w:rFonts w:ascii="Arial" w:hAnsi="Arial" w:cs="Arial"/>
                <w:b/>
                <w:snapToGrid w:val="0"/>
                <w:color w:val="000000"/>
                <w:sz w:val="24"/>
              </w:rPr>
            </w:pPr>
            <w:r w:rsidRPr="003B3183">
              <w:rPr>
                <w:rFonts w:ascii="Arial" w:hAnsi="Arial" w:cs="Arial"/>
                <w:b/>
                <w:snapToGrid w:val="0"/>
                <w:color w:val="000000"/>
                <w:sz w:val="24"/>
              </w:rPr>
              <w:t>31 March 2012</w:t>
            </w:r>
          </w:p>
        </w:tc>
        <w:tc>
          <w:tcPr>
            <w:tcW w:w="2267" w:type="pct"/>
          </w:tcPr>
          <w:p w:rsidR="00D24494" w:rsidRPr="003B3183" w:rsidRDefault="00D24494" w:rsidP="00996FF4">
            <w:pPr>
              <w:widowControl w:val="0"/>
              <w:tabs>
                <w:tab w:val="right" w:pos="7200"/>
              </w:tabs>
              <w:ind w:left="132" w:hanging="132"/>
              <w:jc w:val="center"/>
              <w:rPr>
                <w:rFonts w:ascii="Arial" w:hAnsi="Arial" w:cs="Arial"/>
                <w:b/>
                <w:snapToGrid w:val="0"/>
                <w:color w:val="000000"/>
                <w:sz w:val="24"/>
              </w:rPr>
            </w:pPr>
          </w:p>
        </w:tc>
        <w:tc>
          <w:tcPr>
            <w:tcW w:w="1336" w:type="pct"/>
            <w:gridSpan w:val="2"/>
          </w:tcPr>
          <w:p w:rsidR="00D24494" w:rsidRPr="003B3183" w:rsidRDefault="00D24494" w:rsidP="00334CF4">
            <w:pPr>
              <w:widowControl w:val="0"/>
              <w:tabs>
                <w:tab w:val="right" w:pos="7200"/>
              </w:tabs>
              <w:ind w:left="132" w:hanging="132"/>
              <w:jc w:val="center"/>
              <w:rPr>
                <w:rFonts w:ascii="Arial" w:hAnsi="Arial" w:cs="Arial"/>
                <w:b/>
                <w:snapToGrid w:val="0"/>
                <w:color w:val="000000"/>
                <w:sz w:val="24"/>
              </w:rPr>
            </w:pPr>
            <w:r w:rsidRPr="003B3183">
              <w:rPr>
                <w:rFonts w:ascii="Arial" w:hAnsi="Arial" w:cs="Arial"/>
                <w:b/>
                <w:snapToGrid w:val="0"/>
                <w:color w:val="000000"/>
                <w:sz w:val="24"/>
              </w:rPr>
              <w:t>31 March 201</w:t>
            </w:r>
            <w:r w:rsidR="00334CF4" w:rsidRPr="003B3183">
              <w:rPr>
                <w:rFonts w:ascii="Arial" w:hAnsi="Arial" w:cs="Arial"/>
                <w:b/>
                <w:snapToGrid w:val="0"/>
                <w:color w:val="000000"/>
                <w:sz w:val="24"/>
              </w:rPr>
              <w:t>3</w:t>
            </w:r>
          </w:p>
        </w:tc>
      </w:tr>
      <w:tr w:rsidR="00D24494" w:rsidRPr="003B3183" w:rsidTr="00715231">
        <w:tc>
          <w:tcPr>
            <w:tcW w:w="729"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Carrying value</w:t>
            </w:r>
          </w:p>
        </w:tc>
        <w:tc>
          <w:tcPr>
            <w:tcW w:w="668"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Fair value</w:t>
            </w:r>
          </w:p>
        </w:tc>
        <w:tc>
          <w:tcPr>
            <w:tcW w:w="2267"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p>
        </w:tc>
        <w:tc>
          <w:tcPr>
            <w:tcW w:w="669"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Carrying value</w:t>
            </w:r>
          </w:p>
        </w:tc>
        <w:tc>
          <w:tcPr>
            <w:tcW w:w="667"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Fair value</w:t>
            </w:r>
          </w:p>
        </w:tc>
      </w:tr>
      <w:tr w:rsidR="00D24494" w:rsidRPr="003B3183" w:rsidTr="00715231">
        <w:tc>
          <w:tcPr>
            <w:tcW w:w="729" w:type="pct"/>
          </w:tcPr>
          <w:p w:rsidR="00D24494" w:rsidRPr="003B3183" w:rsidRDefault="00D24494" w:rsidP="00F315CB">
            <w:pPr>
              <w:widowControl w:val="0"/>
              <w:tabs>
                <w:tab w:val="right" w:pos="7200"/>
              </w:tabs>
              <w:ind w:left="132" w:hanging="132"/>
              <w:jc w:val="right"/>
              <w:rPr>
                <w:rFonts w:ascii="Arial" w:hAnsi="Arial" w:cs="Arial"/>
                <w:snapToGrid w:val="0"/>
                <w:color w:val="000000"/>
                <w:sz w:val="24"/>
              </w:rPr>
            </w:pPr>
            <w:r w:rsidRPr="003B3183">
              <w:rPr>
                <w:rFonts w:ascii="Arial" w:hAnsi="Arial" w:cs="Arial"/>
                <w:b/>
                <w:snapToGrid w:val="0"/>
                <w:color w:val="000000"/>
                <w:sz w:val="24"/>
              </w:rPr>
              <w:t>£’000</w:t>
            </w:r>
          </w:p>
        </w:tc>
        <w:tc>
          <w:tcPr>
            <w:tcW w:w="668"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£’000</w:t>
            </w:r>
          </w:p>
        </w:tc>
        <w:tc>
          <w:tcPr>
            <w:tcW w:w="2267"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p>
        </w:tc>
        <w:tc>
          <w:tcPr>
            <w:tcW w:w="669"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£’000</w:t>
            </w:r>
          </w:p>
        </w:tc>
        <w:tc>
          <w:tcPr>
            <w:tcW w:w="667" w:type="pct"/>
          </w:tcPr>
          <w:p w:rsidR="00D24494" w:rsidRPr="003B3183" w:rsidRDefault="00D24494" w:rsidP="00F315CB">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£’000</w:t>
            </w:r>
          </w:p>
        </w:tc>
      </w:tr>
      <w:tr w:rsidR="00D24494" w:rsidRPr="003B3183" w:rsidTr="00715231">
        <w:tc>
          <w:tcPr>
            <w:tcW w:w="729" w:type="pct"/>
          </w:tcPr>
          <w:p w:rsidR="00D24494" w:rsidRPr="003B3183" w:rsidRDefault="00D24494" w:rsidP="00F315CB">
            <w:pPr>
              <w:widowControl w:val="0"/>
              <w:tabs>
                <w:tab w:val="right" w:pos="7200"/>
              </w:tabs>
              <w:ind w:left="132" w:hanging="132"/>
              <w:rPr>
                <w:rFonts w:ascii="Arial" w:hAnsi="Arial" w:cs="Arial"/>
                <w:snapToGrid w:val="0"/>
                <w:color w:val="000000"/>
                <w:sz w:val="24"/>
              </w:rPr>
            </w:pPr>
          </w:p>
        </w:tc>
        <w:tc>
          <w:tcPr>
            <w:tcW w:w="668" w:type="pct"/>
          </w:tcPr>
          <w:p w:rsidR="00D24494" w:rsidRPr="003B3183" w:rsidRDefault="00D24494" w:rsidP="00F315CB">
            <w:pPr>
              <w:widowControl w:val="0"/>
              <w:tabs>
                <w:tab w:val="right" w:pos="7200"/>
              </w:tabs>
              <w:ind w:left="132" w:hanging="132"/>
              <w:rPr>
                <w:rFonts w:ascii="Arial" w:hAnsi="Arial" w:cs="Arial"/>
                <w:b/>
                <w:snapToGrid w:val="0"/>
                <w:color w:val="000000"/>
                <w:sz w:val="24"/>
              </w:rPr>
            </w:pPr>
          </w:p>
        </w:tc>
        <w:tc>
          <w:tcPr>
            <w:tcW w:w="2267" w:type="pct"/>
          </w:tcPr>
          <w:p w:rsidR="00D24494" w:rsidRPr="003B3183" w:rsidRDefault="00B65C3B" w:rsidP="00F315CB">
            <w:pPr>
              <w:widowControl w:val="0"/>
              <w:tabs>
                <w:tab w:val="right" w:pos="7200"/>
              </w:tabs>
              <w:ind w:left="132" w:hanging="132"/>
              <w:rPr>
                <w:rFonts w:ascii="Arial" w:hAnsi="Arial" w:cs="Arial"/>
                <w:b/>
                <w:snapToGrid w:val="0"/>
                <w:color w:val="000000"/>
                <w:sz w:val="24"/>
              </w:rPr>
            </w:pPr>
            <w:r w:rsidRPr="003B3183">
              <w:rPr>
                <w:rFonts w:ascii="Arial" w:hAnsi="Arial" w:cs="Arial"/>
                <w:b/>
                <w:snapToGrid w:val="0"/>
                <w:color w:val="000000"/>
                <w:sz w:val="24"/>
              </w:rPr>
              <w:t>Financial a</w:t>
            </w:r>
            <w:r w:rsidR="00D24494" w:rsidRPr="003B3183">
              <w:rPr>
                <w:rFonts w:ascii="Arial" w:hAnsi="Arial" w:cs="Arial"/>
                <w:b/>
                <w:snapToGrid w:val="0"/>
                <w:color w:val="000000"/>
                <w:sz w:val="24"/>
              </w:rPr>
              <w:t>ssets</w:t>
            </w:r>
          </w:p>
        </w:tc>
        <w:tc>
          <w:tcPr>
            <w:tcW w:w="669" w:type="pct"/>
          </w:tcPr>
          <w:p w:rsidR="00D24494" w:rsidRPr="003B3183" w:rsidRDefault="00D24494" w:rsidP="00F315CB">
            <w:pPr>
              <w:widowControl w:val="0"/>
              <w:tabs>
                <w:tab w:val="right" w:pos="7200"/>
              </w:tabs>
              <w:ind w:left="132" w:hanging="132"/>
              <w:jc w:val="right"/>
              <w:rPr>
                <w:rFonts w:ascii="Arial" w:hAnsi="Arial" w:cs="Arial"/>
                <w:snapToGrid w:val="0"/>
                <w:color w:val="000000"/>
                <w:sz w:val="24"/>
              </w:rPr>
            </w:pPr>
          </w:p>
        </w:tc>
        <w:tc>
          <w:tcPr>
            <w:tcW w:w="667" w:type="pct"/>
          </w:tcPr>
          <w:p w:rsidR="00D24494" w:rsidRPr="003B3183" w:rsidRDefault="00D24494" w:rsidP="00F315CB">
            <w:pPr>
              <w:widowControl w:val="0"/>
              <w:tabs>
                <w:tab w:val="right" w:pos="7200"/>
              </w:tabs>
              <w:ind w:left="132" w:hanging="132"/>
              <w:jc w:val="right"/>
              <w:rPr>
                <w:rFonts w:ascii="Arial" w:hAnsi="Arial" w:cs="Arial"/>
                <w:snapToGrid w:val="0"/>
                <w:color w:val="000000"/>
                <w:sz w:val="24"/>
              </w:rPr>
            </w:pPr>
          </w:p>
        </w:tc>
      </w:tr>
      <w:tr w:rsidR="00D24494" w:rsidRPr="003B3183" w:rsidTr="00715231">
        <w:tc>
          <w:tcPr>
            <w:tcW w:w="729" w:type="pct"/>
          </w:tcPr>
          <w:p w:rsidR="00D24494" w:rsidRPr="003B3183" w:rsidRDefault="005508DB" w:rsidP="002E2988">
            <w:pPr>
              <w:widowControl w:val="0"/>
              <w:tabs>
                <w:tab w:val="right" w:pos="7200"/>
              </w:tabs>
              <w:ind w:left="132" w:hanging="132"/>
              <w:jc w:val="right"/>
              <w:rPr>
                <w:rFonts w:ascii="Arial" w:hAnsi="Arial" w:cs="Arial"/>
                <w:snapToGrid w:val="0"/>
                <w:color w:val="000000"/>
                <w:sz w:val="24"/>
              </w:rPr>
            </w:pPr>
            <w:r w:rsidRPr="003B3183">
              <w:rPr>
                <w:rFonts w:ascii="Arial" w:hAnsi="Arial" w:cs="Arial"/>
                <w:snapToGrid w:val="0"/>
                <w:color w:val="000000"/>
                <w:sz w:val="24"/>
              </w:rPr>
              <w:t>484,824</w:t>
            </w:r>
          </w:p>
        </w:tc>
        <w:tc>
          <w:tcPr>
            <w:tcW w:w="668" w:type="pct"/>
          </w:tcPr>
          <w:p w:rsidR="00D24494" w:rsidRPr="003B3183" w:rsidRDefault="005508DB" w:rsidP="002E2988">
            <w:pPr>
              <w:widowControl w:val="0"/>
              <w:tabs>
                <w:tab w:val="right" w:pos="7200"/>
              </w:tabs>
              <w:ind w:left="132" w:hanging="132"/>
              <w:jc w:val="right"/>
              <w:rPr>
                <w:rFonts w:ascii="Arial" w:hAnsi="Arial" w:cs="Arial"/>
                <w:snapToGrid w:val="0"/>
                <w:color w:val="000000"/>
                <w:sz w:val="24"/>
              </w:rPr>
            </w:pPr>
            <w:r w:rsidRPr="003B3183">
              <w:rPr>
                <w:rFonts w:ascii="Arial" w:hAnsi="Arial" w:cs="Arial"/>
                <w:snapToGrid w:val="0"/>
                <w:color w:val="000000"/>
                <w:sz w:val="24"/>
              </w:rPr>
              <w:t>484,824</w:t>
            </w:r>
          </w:p>
        </w:tc>
        <w:tc>
          <w:tcPr>
            <w:tcW w:w="2267" w:type="pct"/>
          </w:tcPr>
          <w:p w:rsidR="00D24494" w:rsidRPr="003B3183" w:rsidRDefault="00D24494" w:rsidP="00F315CB">
            <w:pPr>
              <w:widowControl w:val="0"/>
              <w:tabs>
                <w:tab w:val="right" w:pos="7200"/>
              </w:tabs>
              <w:ind w:left="132" w:hanging="132"/>
              <w:rPr>
                <w:rFonts w:ascii="Arial" w:hAnsi="Arial" w:cs="Arial"/>
                <w:snapToGrid w:val="0"/>
                <w:color w:val="000000"/>
                <w:sz w:val="24"/>
              </w:rPr>
            </w:pPr>
            <w:r w:rsidRPr="003B3183">
              <w:rPr>
                <w:rFonts w:ascii="Arial" w:hAnsi="Arial" w:cs="Arial"/>
                <w:snapToGrid w:val="0"/>
                <w:color w:val="000000"/>
                <w:sz w:val="24"/>
              </w:rPr>
              <w:t>Fair value through profit and loss</w:t>
            </w:r>
          </w:p>
        </w:tc>
        <w:tc>
          <w:tcPr>
            <w:tcW w:w="669" w:type="pct"/>
          </w:tcPr>
          <w:p w:rsidR="00D24494" w:rsidRPr="003B3183" w:rsidRDefault="002C3588" w:rsidP="00F315CB">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53</w:t>
            </w:r>
            <w:r w:rsidR="000D6BC4">
              <w:rPr>
                <w:rFonts w:ascii="Arial" w:hAnsi="Arial" w:cs="Arial"/>
                <w:snapToGrid w:val="0"/>
                <w:color w:val="000000"/>
                <w:sz w:val="24"/>
              </w:rPr>
              <w:t>8,297</w:t>
            </w:r>
          </w:p>
        </w:tc>
        <w:tc>
          <w:tcPr>
            <w:tcW w:w="667" w:type="pct"/>
          </w:tcPr>
          <w:p w:rsidR="00D24494" w:rsidRPr="003B3183" w:rsidRDefault="002C3588" w:rsidP="00F315CB">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53</w:t>
            </w:r>
            <w:r w:rsidR="000D6BC4">
              <w:rPr>
                <w:rFonts w:ascii="Arial" w:hAnsi="Arial" w:cs="Arial"/>
                <w:snapToGrid w:val="0"/>
                <w:color w:val="000000"/>
                <w:sz w:val="24"/>
              </w:rPr>
              <w:t>8,297</w:t>
            </w:r>
          </w:p>
        </w:tc>
      </w:tr>
      <w:tr w:rsidR="000372BD" w:rsidRPr="003B3183" w:rsidTr="00715231">
        <w:tc>
          <w:tcPr>
            <w:tcW w:w="729" w:type="pct"/>
            <w:tcBorders>
              <w:bottom w:val="single" w:sz="4" w:space="0" w:color="auto"/>
            </w:tcBorders>
          </w:tcPr>
          <w:p w:rsidR="000372BD" w:rsidRPr="003B3183" w:rsidRDefault="00C14C72" w:rsidP="002E2988">
            <w:pPr>
              <w:widowControl w:val="0"/>
              <w:tabs>
                <w:tab w:val="right" w:pos="7200"/>
              </w:tabs>
              <w:ind w:left="132" w:hanging="132"/>
              <w:jc w:val="right"/>
              <w:rPr>
                <w:rFonts w:ascii="Arial" w:hAnsi="Arial" w:cs="Arial"/>
                <w:snapToGrid w:val="0"/>
                <w:color w:val="000000"/>
                <w:sz w:val="24"/>
              </w:rPr>
            </w:pPr>
            <w:r w:rsidRPr="003B3183">
              <w:rPr>
                <w:rFonts w:ascii="Arial" w:hAnsi="Arial" w:cs="Arial"/>
                <w:snapToGrid w:val="0"/>
                <w:color w:val="000000"/>
                <w:sz w:val="24"/>
              </w:rPr>
              <w:t>1</w:t>
            </w:r>
            <w:r w:rsidR="005508DB" w:rsidRPr="003B3183">
              <w:rPr>
                <w:rFonts w:ascii="Arial" w:hAnsi="Arial" w:cs="Arial"/>
                <w:snapToGrid w:val="0"/>
                <w:color w:val="000000"/>
                <w:sz w:val="24"/>
              </w:rPr>
              <w:t>0,87</w:t>
            </w:r>
            <w:r w:rsidR="006509EF">
              <w:rPr>
                <w:rFonts w:ascii="Arial" w:hAnsi="Arial" w:cs="Arial"/>
                <w:snapToGrid w:val="0"/>
                <w:color w:val="000000"/>
                <w:sz w:val="24"/>
              </w:rPr>
              <w:t>6</w:t>
            </w:r>
          </w:p>
        </w:tc>
        <w:tc>
          <w:tcPr>
            <w:tcW w:w="668" w:type="pct"/>
            <w:tcBorders>
              <w:bottom w:val="single" w:sz="4" w:space="0" w:color="auto"/>
            </w:tcBorders>
          </w:tcPr>
          <w:p w:rsidR="000372BD" w:rsidRPr="003B3183" w:rsidRDefault="00C14C72" w:rsidP="002E2988">
            <w:pPr>
              <w:widowControl w:val="0"/>
              <w:tabs>
                <w:tab w:val="right" w:pos="7200"/>
              </w:tabs>
              <w:ind w:left="132" w:hanging="132"/>
              <w:jc w:val="right"/>
              <w:rPr>
                <w:rFonts w:ascii="Arial" w:hAnsi="Arial" w:cs="Arial"/>
                <w:snapToGrid w:val="0"/>
                <w:color w:val="000000"/>
                <w:sz w:val="24"/>
              </w:rPr>
            </w:pPr>
            <w:r w:rsidRPr="003B3183">
              <w:rPr>
                <w:rFonts w:ascii="Arial" w:hAnsi="Arial" w:cs="Arial"/>
                <w:snapToGrid w:val="0"/>
                <w:color w:val="000000"/>
                <w:sz w:val="24"/>
              </w:rPr>
              <w:t>1</w:t>
            </w:r>
            <w:r w:rsidR="005508DB" w:rsidRPr="003B3183">
              <w:rPr>
                <w:rFonts w:ascii="Arial" w:hAnsi="Arial" w:cs="Arial"/>
                <w:snapToGrid w:val="0"/>
                <w:color w:val="000000"/>
                <w:sz w:val="24"/>
              </w:rPr>
              <w:t>0,87</w:t>
            </w:r>
            <w:r w:rsidR="006509EF">
              <w:rPr>
                <w:rFonts w:ascii="Arial" w:hAnsi="Arial" w:cs="Arial"/>
                <w:snapToGrid w:val="0"/>
                <w:color w:val="000000"/>
                <w:sz w:val="24"/>
              </w:rPr>
              <w:t>6</w:t>
            </w:r>
          </w:p>
        </w:tc>
        <w:tc>
          <w:tcPr>
            <w:tcW w:w="2267" w:type="pct"/>
            <w:tcBorders>
              <w:bottom w:val="single" w:sz="4" w:space="0" w:color="auto"/>
            </w:tcBorders>
          </w:tcPr>
          <w:p w:rsidR="000372BD" w:rsidRPr="003B3183" w:rsidRDefault="000372BD" w:rsidP="00F315CB">
            <w:pPr>
              <w:widowControl w:val="0"/>
              <w:tabs>
                <w:tab w:val="right" w:pos="7200"/>
              </w:tabs>
              <w:ind w:left="132" w:hanging="132"/>
              <w:rPr>
                <w:rFonts w:ascii="Arial" w:hAnsi="Arial" w:cs="Arial"/>
                <w:snapToGrid w:val="0"/>
                <w:color w:val="000000"/>
                <w:sz w:val="24"/>
              </w:rPr>
            </w:pPr>
            <w:r w:rsidRPr="003B3183">
              <w:rPr>
                <w:rFonts w:ascii="Arial" w:hAnsi="Arial" w:cs="Arial"/>
                <w:snapToGrid w:val="0"/>
                <w:color w:val="000000"/>
                <w:sz w:val="24"/>
              </w:rPr>
              <w:t>Loans and receivables</w:t>
            </w:r>
          </w:p>
        </w:tc>
        <w:tc>
          <w:tcPr>
            <w:tcW w:w="669" w:type="pct"/>
            <w:tcBorders>
              <w:bottom w:val="single" w:sz="4" w:space="0" w:color="auto"/>
            </w:tcBorders>
          </w:tcPr>
          <w:p w:rsidR="000372BD" w:rsidRPr="00975458" w:rsidRDefault="006818CD" w:rsidP="00F315CB">
            <w:pPr>
              <w:widowControl w:val="0"/>
              <w:tabs>
                <w:tab w:val="right" w:pos="7200"/>
              </w:tabs>
              <w:ind w:left="132" w:hanging="132"/>
              <w:jc w:val="right"/>
              <w:rPr>
                <w:rFonts w:ascii="Arial" w:hAnsi="Arial" w:cs="Arial"/>
                <w:snapToGrid w:val="0"/>
                <w:color w:val="000000"/>
                <w:sz w:val="24"/>
              </w:rPr>
            </w:pPr>
            <w:r w:rsidRPr="00975458">
              <w:rPr>
                <w:rFonts w:ascii="Arial" w:hAnsi="Arial" w:cs="Arial"/>
                <w:snapToGrid w:val="0"/>
                <w:color w:val="000000"/>
                <w:sz w:val="24"/>
              </w:rPr>
              <w:t>10,017</w:t>
            </w:r>
          </w:p>
        </w:tc>
        <w:tc>
          <w:tcPr>
            <w:tcW w:w="667" w:type="pct"/>
            <w:tcBorders>
              <w:bottom w:val="single" w:sz="4" w:space="0" w:color="auto"/>
            </w:tcBorders>
          </w:tcPr>
          <w:p w:rsidR="000372BD" w:rsidRPr="00975458" w:rsidRDefault="006818CD" w:rsidP="00F315CB">
            <w:pPr>
              <w:widowControl w:val="0"/>
              <w:tabs>
                <w:tab w:val="right" w:pos="7200"/>
              </w:tabs>
              <w:ind w:left="132" w:hanging="132"/>
              <w:jc w:val="right"/>
              <w:rPr>
                <w:rFonts w:ascii="Arial" w:hAnsi="Arial" w:cs="Arial"/>
                <w:snapToGrid w:val="0"/>
                <w:color w:val="000000"/>
                <w:sz w:val="24"/>
              </w:rPr>
            </w:pPr>
            <w:r w:rsidRPr="00975458">
              <w:rPr>
                <w:rFonts w:ascii="Arial" w:hAnsi="Arial" w:cs="Arial"/>
                <w:snapToGrid w:val="0"/>
                <w:color w:val="000000"/>
                <w:sz w:val="24"/>
              </w:rPr>
              <w:t>10,017</w:t>
            </w:r>
          </w:p>
        </w:tc>
      </w:tr>
      <w:tr w:rsidR="00B65C3B" w:rsidRPr="003B3183" w:rsidTr="00715231">
        <w:tc>
          <w:tcPr>
            <w:tcW w:w="729" w:type="pct"/>
            <w:tcBorders>
              <w:top w:val="single" w:sz="4" w:space="0" w:color="auto"/>
              <w:bottom w:val="single" w:sz="4" w:space="0" w:color="auto"/>
            </w:tcBorders>
          </w:tcPr>
          <w:p w:rsidR="00B65C3B" w:rsidRPr="003B3183" w:rsidRDefault="005508DB" w:rsidP="002E2988">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495,</w:t>
            </w:r>
            <w:r w:rsidR="006509EF">
              <w:rPr>
                <w:rFonts w:ascii="Arial" w:hAnsi="Arial" w:cs="Arial"/>
                <w:b/>
                <w:snapToGrid w:val="0"/>
                <w:color w:val="000000"/>
                <w:sz w:val="24"/>
              </w:rPr>
              <w:t>700</w:t>
            </w:r>
          </w:p>
        </w:tc>
        <w:tc>
          <w:tcPr>
            <w:tcW w:w="668" w:type="pct"/>
            <w:tcBorders>
              <w:top w:val="single" w:sz="4" w:space="0" w:color="auto"/>
              <w:bottom w:val="single" w:sz="4" w:space="0" w:color="auto"/>
            </w:tcBorders>
          </w:tcPr>
          <w:p w:rsidR="00B65C3B" w:rsidRPr="003B3183" w:rsidRDefault="005508DB" w:rsidP="002E2988">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495,</w:t>
            </w:r>
            <w:r w:rsidR="006509EF">
              <w:rPr>
                <w:rFonts w:ascii="Arial" w:hAnsi="Arial" w:cs="Arial"/>
                <w:b/>
                <w:snapToGrid w:val="0"/>
                <w:color w:val="000000"/>
                <w:sz w:val="24"/>
              </w:rPr>
              <w:t>700</w:t>
            </w:r>
          </w:p>
        </w:tc>
        <w:tc>
          <w:tcPr>
            <w:tcW w:w="2267" w:type="pct"/>
            <w:tcBorders>
              <w:top w:val="single" w:sz="4" w:space="0" w:color="auto"/>
              <w:bottom w:val="single" w:sz="4" w:space="0" w:color="auto"/>
            </w:tcBorders>
          </w:tcPr>
          <w:p w:rsidR="00B65C3B" w:rsidRPr="003B3183" w:rsidRDefault="00B65C3B" w:rsidP="00F315CB">
            <w:pPr>
              <w:widowControl w:val="0"/>
              <w:tabs>
                <w:tab w:val="right" w:pos="7200"/>
              </w:tabs>
              <w:ind w:left="132" w:hanging="132"/>
              <w:rPr>
                <w:rFonts w:ascii="Arial" w:hAnsi="Arial" w:cs="Arial"/>
                <w:b/>
                <w:snapToGrid w:val="0"/>
                <w:color w:val="000000"/>
                <w:sz w:val="24"/>
              </w:rPr>
            </w:pPr>
            <w:r w:rsidRPr="003B3183">
              <w:rPr>
                <w:rFonts w:ascii="Arial" w:hAnsi="Arial" w:cs="Arial"/>
                <w:b/>
                <w:snapToGrid w:val="0"/>
                <w:color w:val="000000"/>
                <w:sz w:val="24"/>
              </w:rPr>
              <w:t>Total financial assets</w:t>
            </w:r>
          </w:p>
        </w:tc>
        <w:tc>
          <w:tcPr>
            <w:tcW w:w="669" w:type="pct"/>
            <w:tcBorders>
              <w:top w:val="single" w:sz="4" w:space="0" w:color="auto"/>
              <w:bottom w:val="single" w:sz="4" w:space="0" w:color="auto"/>
            </w:tcBorders>
          </w:tcPr>
          <w:p w:rsidR="00B65C3B" w:rsidRPr="00975458" w:rsidRDefault="00975458" w:rsidP="00F315CB">
            <w:pPr>
              <w:widowControl w:val="0"/>
              <w:tabs>
                <w:tab w:val="right" w:pos="7200"/>
              </w:tabs>
              <w:ind w:left="132" w:hanging="132"/>
              <w:jc w:val="right"/>
              <w:rPr>
                <w:rFonts w:ascii="Arial" w:hAnsi="Arial" w:cs="Arial"/>
                <w:b/>
                <w:snapToGrid w:val="0"/>
                <w:color w:val="000000"/>
                <w:sz w:val="24"/>
              </w:rPr>
            </w:pPr>
            <w:r w:rsidRPr="00975458">
              <w:rPr>
                <w:rFonts w:ascii="Arial" w:hAnsi="Arial" w:cs="Arial"/>
                <w:b/>
                <w:snapToGrid w:val="0"/>
                <w:color w:val="000000"/>
                <w:sz w:val="24"/>
              </w:rPr>
              <w:t>548,314</w:t>
            </w:r>
          </w:p>
        </w:tc>
        <w:tc>
          <w:tcPr>
            <w:tcW w:w="667" w:type="pct"/>
            <w:tcBorders>
              <w:top w:val="single" w:sz="4" w:space="0" w:color="auto"/>
              <w:bottom w:val="single" w:sz="4" w:space="0" w:color="auto"/>
            </w:tcBorders>
          </w:tcPr>
          <w:p w:rsidR="00B65C3B" w:rsidRPr="00975458" w:rsidRDefault="00975458" w:rsidP="00F315CB">
            <w:pPr>
              <w:widowControl w:val="0"/>
              <w:tabs>
                <w:tab w:val="right" w:pos="7200"/>
              </w:tabs>
              <w:ind w:left="132" w:hanging="132"/>
              <w:jc w:val="right"/>
              <w:rPr>
                <w:rFonts w:ascii="Arial" w:hAnsi="Arial" w:cs="Arial"/>
                <w:b/>
                <w:snapToGrid w:val="0"/>
                <w:color w:val="000000"/>
                <w:sz w:val="24"/>
              </w:rPr>
            </w:pPr>
            <w:r w:rsidRPr="00975458">
              <w:rPr>
                <w:rFonts w:ascii="Arial" w:hAnsi="Arial" w:cs="Arial"/>
                <w:b/>
                <w:snapToGrid w:val="0"/>
                <w:color w:val="000000"/>
                <w:sz w:val="24"/>
              </w:rPr>
              <w:t>548,314</w:t>
            </w:r>
          </w:p>
        </w:tc>
      </w:tr>
      <w:tr w:rsidR="00B65C3B" w:rsidRPr="003B3183" w:rsidTr="00715231">
        <w:tc>
          <w:tcPr>
            <w:tcW w:w="729" w:type="pct"/>
            <w:tcBorders>
              <w:top w:val="single" w:sz="4" w:space="0" w:color="auto"/>
            </w:tcBorders>
          </w:tcPr>
          <w:p w:rsidR="00B65C3B" w:rsidRPr="003B3183" w:rsidRDefault="00B65C3B" w:rsidP="002E2988">
            <w:pPr>
              <w:widowControl w:val="0"/>
              <w:tabs>
                <w:tab w:val="right" w:pos="7200"/>
              </w:tabs>
              <w:ind w:left="132" w:hanging="132"/>
              <w:jc w:val="right"/>
              <w:rPr>
                <w:rFonts w:ascii="Arial" w:hAnsi="Arial" w:cs="Arial"/>
                <w:snapToGrid w:val="0"/>
                <w:color w:val="000000"/>
                <w:sz w:val="24"/>
              </w:rPr>
            </w:pPr>
          </w:p>
        </w:tc>
        <w:tc>
          <w:tcPr>
            <w:tcW w:w="668" w:type="pct"/>
            <w:tcBorders>
              <w:top w:val="single" w:sz="4" w:space="0" w:color="auto"/>
            </w:tcBorders>
          </w:tcPr>
          <w:p w:rsidR="00B65C3B" w:rsidRPr="003B3183" w:rsidRDefault="00B65C3B" w:rsidP="002E2988">
            <w:pPr>
              <w:widowControl w:val="0"/>
              <w:tabs>
                <w:tab w:val="right" w:pos="7200"/>
              </w:tabs>
              <w:ind w:left="132" w:hanging="132"/>
              <w:jc w:val="right"/>
              <w:rPr>
                <w:rFonts w:ascii="Arial" w:hAnsi="Arial" w:cs="Arial"/>
                <w:b/>
                <w:snapToGrid w:val="0"/>
                <w:color w:val="000000"/>
                <w:sz w:val="24"/>
              </w:rPr>
            </w:pPr>
          </w:p>
        </w:tc>
        <w:tc>
          <w:tcPr>
            <w:tcW w:w="2267" w:type="pct"/>
            <w:tcBorders>
              <w:top w:val="single" w:sz="4" w:space="0" w:color="auto"/>
            </w:tcBorders>
          </w:tcPr>
          <w:p w:rsidR="00B65C3B" w:rsidRPr="003B3183" w:rsidRDefault="00B65C3B" w:rsidP="00F315CB">
            <w:pPr>
              <w:widowControl w:val="0"/>
              <w:tabs>
                <w:tab w:val="right" w:pos="7200"/>
              </w:tabs>
              <w:ind w:left="132" w:hanging="132"/>
              <w:rPr>
                <w:rFonts w:ascii="Arial" w:hAnsi="Arial" w:cs="Arial"/>
                <w:b/>
                <w:snapToGrid w:val="0"/>
                <w:color w:val="000000"/>
                <w:sz w:val="24"/>
              </w:rPr>
            </w:pPr>
          </w:p>
        </w:tc>
        <w:tc>
          <w:tcPr>
            <w:tcW w:w="669" w:type="pct"/>
            <w:tcBorders>
              <w:top w:val="single" w:sz="4" w:space="0" w:color="auto"/>
            </w:tcBorders>
          </w:tcPr>
          <w:p w:rsidR="00B65C3B" w:rsidRPr="00975458" w:rsidRDefault="00B65C3B" w:rsidP="00F315CB">
            <w:pPr>
              <w:widowControl w:val="0"/>
              <w:tabs>
                <w:tab w:val="right" w:pos="7200"/>
              </w:tabs>
              <w:ind w:left="132" w:hanging="132"/>
              <w:jc w:val="right"/>
              <w:rPr>
                <w:rFonts w:ascii="Arial" w:hAnsi="Arial" w:cs="Arial"/>
                <w:snapToGrid w:val="0"/>
                <w:color w:val="000000"/>
                <w:sz w:val="24"/>
              </w:rPr>
            </w:pPr>
          </w:p>
        </w:tc>
        <w:tc>
          <w:tcPr>
            <w:tcW w:w="667" w:type="pct"/>
            <w:tcBorders>
              <w:top w:val="single" w:sz="4" w:space="0" w:color="auto"/>
            </w:tcBorders>
          </w:tcPr>
          <w:p w:rsidR="00B65C3B" w:rsidRPr="00975458" w:rsidRDefault="00B65C3B" w:rsidP="00F315CB">
            <w:pPr>
              <w:widowControl w:val="0"/>
              <w:tabs>
                <w:tab w:val="right" w:pos="7200"/>
              </w:tabs>
              <w:ind w:left="132" w:hanging="132"/>
              <w:jc w:val="right"/>
              <w:rPr>
                <w:rFonts w:ascii="Arial" w:hAnsi="Arial" w:cs="Arial"/>
                <w:snapToGrid w:val="0"/>
                <w:color w:val="000000"/>
                <w:sz w:val="24"/>
              </w:rPr>
            </w:pPr>
          </w:p>
        </w:tc>
      </w:tr>
      <w:tr w:rsidR="00D24494" w:rsidRPr="003B3183" w:rsidTr="00715231">
        <w:tc>
          <w:tcPr>
            <w:tcW w:w="729" w:type="pct"/>
          </w:tcPr>
          <w:p w:rsidR="00D24494" w:rsidRPr="003B3183" w:rsidRDefault="00D24494" w:rsidP="002E2988">
            <w:pPr>
              <w:widowControl w:val="0"/>
              <w:tabs>
                <w:tab w:val="right" w:pos="7200"/>
              </w:tabs>
              <w:ind w:left="132" w:hanging="132"/>
              <w:jc w:val="right"/>
              <w:rPr>
                <w:rFonts w:ascii="Arial" w:hAnsi="Arial" w:cs="Arial"/>
                <w:snapToGrid w:val="0"/>
                <w:color w:val="000000"/>
                <w:sz w:val="24"/>
              </w:rPr>
            </w:pPr>
          </w:p>
        </w:tc>
        <w:tc>
          <w:tcPr>
            <w:tcW w:w="668" w:type="pct"/>
          </w:tcPr>
          <w:p w:rsidR="00D24494" w:rsidRPr="003B3183" w:rsidRDefault="00D24494" w:rsidP="002E2988">
            <w:pPr>
              <w:widowControl w:val="0"/>
              <w:tabs>
                <w:tab w:val="right" w:pos="7200"/>
              </w:tabs>
              <w:ind w:left="132" w:hanging="132"/>
              <w:jc w:val="right"/>
              <w:rPr>
                <w:rFonts w:ascii="Arial" w:hAnsi="Arial" w:cs="Arial"/>
                <w:b/>
                <w:snapToGrid w:val="0"/>
                <w:color w:val="000000"/>
                <w:sz w:val="24"/>
              </w:rPr>
            </w:pPr>
          </w:p>
        </w:tc>
        <w:tc>
          <w:tcPr>
            <w:tcW w:w="2267" w:type="pct"/>
          </w:tcPr>
          <w:p w:rsidR="00D24494" w:rsidRPr="003B3183" w:rsidRDefault="00D24494" w:rsidP="00F315CB">
            <w:pPr>
              <w:widowControl w:val="0"/>
              <w:tabs>
                <w:tab w:val="right" w:pos="7200"/>
              </w:tabs>
              <w:ind w:left="132" w:hanging="132"/>
              <w:rPr>
                <w:rFonts w:ascii="Arial" w:hAnsi="Arial" w:cs="Arial"/>
                <w:b/>
                <w:snapToGrid w:val="0"/>
                <w:color w:val="000000"/>
                <w:sz w:val="24"/>
              </w:rPr>
            </w:pPr>
            <w:r w:rsidRPr="003B3183">
              <w:rPr>
                <w:rFonts w:ascii="Arial" w:hAnsi="Arial" w:cs="Arial"/>
                <w:b/>
                <w:snapToGrid w:val="0"/>
                <w:color w:val="000000"/>
                <w:sz w:val="24"/>
              </w:rPr>
              <w:t xml:space="preserve">Financial </w:t>
            </w:r>
            <w:r w:rsidR="00B65C3B" w:rsidRPr="003B3183">
              <w:rPr>
                <w:rFonts w:ascii="Arial" w:hAnsi="Arial" w:cs="Arial"/>
                <w:b/>
                <w:snapToGrid w:val="0"/>
                <w:color w:val="000000"/>
                <w:sz w:val="24"/>
              </w:rPr>
              <w:t>l</w:t>
            </w:r>
            <w:r w:rsidRPr="003B3183">
              <w:rPr>
                <w:rFonts w:ascii="Arial" w:hAnsi="Arial" w:cs="Arial"/>
                <w:b/>
                <w:snapToGrid w:val="0"/>
                <w:color w:val="000000"/>
                <w:sz w:val="24"/>
              </w:rPr>
              <w:t>iabilities</w:t>
            </w:r>
          </w:p>
        </w:tc>
        <w:tc>
          <w:tcPr>
            <w:tcW w:w="669" w:type="pct"/>
          </w:tcPr>
          <w:p w:rsidR="00D24494" w:rsidRPr="00975458" w:rsidRDefault="00D24494" w:rsidP="00F315CB">
            <w:pPr>
              <w:widowControl w:val="0"/>
              <w:tabs>
                <w:tab w:val="right" w:pos="7200"/>
              </w:tabs>
              <w:ind w:left="132" w:hanging="132"/>
              <w:jc w:val="right"/>
              <w:rPr>
                <w:rFonts w:ascii="Arial" w:hAnsi="Arial" w:cs="Arial"/>
                <w:snapToGrid w:val="0"/>
                <w:color w:val="000000"/>
                <w:sz w:val="24"/>
              </w:rPr>
            </w:pPr>
          </w:p>
        </w:tc>
        <w:tc>
          <w:tcPr>
            <w:tcW w:w="667" w:type="pct"/>
          </w:tcPr>
          <w:p w:rsidR="00D24494" w:rsidRPr="00975458" w:rsidRDefault="00D24494" w:rsidP="00F315CB">
            <w:pPr>
              <w:widowControl w:val="0"/>
              <w:tabs>
                <w:tab w:val="right" w:pos="7200"/>
              </w:tabs>
              <w:ind w:left="132" w:hanging="132"/>
              <w:jc w:val="right"/>
              <w:rPr>
                <w:rFonts w:ascii="Arial" w:hAnsi="Arial" w:cs="Arial"/>
                <w:snapToGrid w:val="0"/>
                <w:color w:val="000000"/>
                <w:sz w:val="24"/>
              </w:rPr>
            </w:pPr>
          </w:p>
        </w:tc>
      </w:tr>
      <w:tr w:rsidR="00B65C3B" w:rsidRPr="003B3183" w:rsidTr="00715231">
        <w:tc>
          <w:tcPr>
            <w:tcW w:w="729" w:type="pct"/>
            <w:tcBorders>
              <w:bottom w:val="single" w:sz="4" w:space="0" w:color="auto"/>
            </w:tcBorders>
          </w:tcPr>
          <w:p w:rsidR="00B65C3B" w:rsidRPr="003B3183" w:rsidRDefault="00931708" w:rsidP="002E2988">
            <w:pPr>
              <w:widowControl w:val="0"/>
              <w:tabs>
                <w:tab w:val="right" w:pos="7200"/>
              </w:tabs>
              <w:ind w:left="132" w:hanging="132"/>
              <w:jc w:val="right"/>
              <w:rPr>
                <w:rFonts w:ascii="Arial" w:hAnsi="Arial" w:cs="Arial"/>
                <w:snapToGrid w:val="0"/>
                <w:color w:val="000000"/>
                <w:sz w:val="24"/>
              </w:rPr>
            </w:pPr>
            <w:r w:rsidRPr="003B3183">
              <w:rPr>
                <w:rFonts w:ascii="Arial" w:hAnsi="Arial" w:cs="Arial"/>
                <w:snapToGrid w:val="0"/>
                <w:color w:val="000000"/>
                <w:sz w:val="24"/>
              </w:rPr>
              <w:t>-</w:t>
            </w:r>
            <w:r w:rsidR="00334CF4" w:rsidRPr="003B3183">
              <w:rPr>
                <w:rFonts w:ascii="Arial" w:hAnsi="Arial" w:cs="Arial"/>
                <w:snapToGrid w:val="0"/>
                <w:color w:val="000000"/>
                <w:sz w:val="24"/>
              </w:rPr>
              <w:t>1,803</w:t>
            </w:r>
          </w:p>
        </w:tc>
        <w:tc>
          <w:tcPr>
            <w:tcW w:w="668" w:type="pct"/>
            <w:tcBorders>
              <w:bottom w:val="single" w:sz="4" w:space="0" w:color="auto"/>
            </w:tcBorders>
          </w:tcPr>
          <w:p w:rsidR="00B65C3B" w:rsidRPr="003B3183" w:rsidRDefault="00931708" w:rsidP="002E2988">
            <w:pPr>
              <w:widowControl w:val="0"/>
              <w:tabs>
                <w:tab w:val="right" w:pos="7200"/>
              </w:tabs>
              <w:ind w:left="132" w:hanging="132"/>
              <w:jc w:val="right"/>
              <w:rPr>
                <w:rFonts w:ascii="Arial" w:hAnsi="Arial" w:cs="Arial"/>
                <w:snapToGrid w:val="0"/>
                <w:color w:val="000000"/>
                <w:sz w:val="24"/>
              </w:rPr>
            </w:pPr>
            <w:r w:rsidRPr="003B3183">
              <w:rPr>
                <w:rFonts w:ascii="Arial" w:hAnsi="Arial" w:cs="Arial"/>
                <w:snapToGrid w:val="0"/>
                <w:color w:val="000000"/>
                <w:sz w:val="24"/>
              </w:rPr>
              <w:t>-</w:t>
            </w:r>
            <w:r w:rsidR="00334CF4" w:rsidRPr="003B3183">
              <w:rPr>
                <w:rFonts w:ascii="Arial" w:hAnsi="Arial" w:cs="Arial"/>
                <w:snapToGrid w:val="0"/>
                <w:color w:val="000000"/>
                <w:sz w:val="24"/>
              </w:rPr>
              <w:t>1,803</w:t>
            </w:r>
          </w:p>
        </w:tc>
        <w:tc>
          <w:tcPr>
            <w:tcW w:w="2267" w:type="pct"/>
            <w:tcBorders>
              <w:bottom w:val="single" w:sz="4" w:space="0" w:color="auto"/>
            </w:tcBorders>
          </w:tcPr>
          <w:p w:rsidR="00B65C3B" w:rsidRPr="003B3183" w:rsidRDefault="006062FF" w:rsidP="00F315CB">
            <w:pPr>
              <w:widowControl w:val="0"/>
              <w:tabs>
                <w:tab w:val="right" w:pos="7200"/>
              </w:tabs>
              <w:ind w:left="132" w:hanging="132"/>
              <w:rPr>
                <w:rFonts w:ascii="Arial" w:hAnsi="Arial" w:cs="Arial"/>
                <w:snapToGrid w:val="0"/>
                <w:color w:val="000000"/>
                <w:sz w:val="24"/>
              </w:rPr>
            </w:pPr>
            <w:r w:rsidRPr="003B3183">
              <w:rPr>
                <w:rFonts w:ascii="Arial" w:hAnsi="Arial" w:cs="Arial"/>
                <w:snapToGrid w:val="0"/>
                <w:color w:val="000000"/>
                <w:sz w:val="24"/>
              </w:rPr>
              <w:t>Financial liabilities at amortised cost</w:t>
            </w:r>
          </w:p>
        </w:tc>
        <w:tc>
          <w:tcPr>
            <w:tcW w:w="669" w:type="pct"/>
            <w:tcBorders>
              <w:bottom w:val="single" w:sz="4" w:space="0" w:color="auto"/>
            </w:tcBorders>
          </w:tcPr>
          <w:p w:rsidR="00B65C3B" w:rsidRPr="00975458" w:rsidRDefault="006818CD" w:rsidP="00F315CB">
            <w:pPr>
              <w:widowControl w:val="0"/>
              <w:tabs>
                <w:tab w:val="right" w:pos="7200"/>
              </w:tabs>
              <w:ind w:left="132" w:hanging="132"/>
              <w:jc w:val="right"/>
              <w:rPr>
                <w:rFonts w:ascii="Arial" w:hAnsi="Arial" w:cs="Arial"/>
                <w:snapToGrid w:val="0"/>
                <w:color w:val="000000"/>
                <w:sz w:val="24"/>
              </w:rPr>
            </w:pPr>
            <w:r w:rsidRPr="00975458">
              <w:rPr>
                <w:rFonts w:ascii="Arial" w:hAnsi="Arial" w:cs="Arial"/>
                <w:snapToGrid w:val="0"/>
                <w:color w:val="000000"/>
                <w:sz w:val="24"/>
              </w:rPr>
              <w:t>-431</w:t>
            </w:r>
          </w:p>
        </w:tc>
        <w:tc>
          <w:tcPr>
            <w:tcW w:w="667" w:type="pct"/>
            <w:tcBorders>
              <w:bottom w:val="single" w:sz="4" w:space="0" w:color="auto"/>
            </w:tcBorders>
          </w:tcPr>
          <w:p w:rsidR="00B65C3B" w:rsidRPr="00975458" w:rsidRDefault="006818CD" w:rsidP="00F315CB">
            <w:pPr>
              <w:widowControl w:val="0"/>
              <w:tabs>
                <w:tab w:val="right" w:pos="7200"/>
              </w:tabs>
              <w:ind w:left="132" w:hanging="132"/>
              <w:jc w:val="right"/>
              <w:rPr>
                <w:rFonts w:ascii="Arial" w:hAnsi="Arial" w:cs="Arial"/>
                <w:snapToGrid w:val="0"/>
                <w:color w:val="000000"/>
                <w:sz w:val="24"/>
              </w:rPr>
            </w:pPr>
            <w:r w:rsidRPr="00975458">
              <w:rPr>
                <w:rFonts w:ascii="Arial" w:hAnsi="Arial" w:cs="Arial"/>
                <w:snapToGrid w:val="0"/>
                <w:color w:val="000000"/>
                <w:sz w:val="24"/>
              </w:rPr>
              <w:t>-431</w:t>
            </w:r>
          </w:p>
        </w:tc>
      </w:tr>
      <w:tr w:rsidR="006062FF" w:rsidRPr="003B3183" w:rsidTr="00715231">
        <w:tc>
          <w:tcPr>
            <w:tcW w:w="729" w:type="pct"/>
            <w:tcBorders>
              <w:top w:val="single" w:sz="4" w:space="0" w:color="auto"/>
              <w:bottom w:val="single" w:sz="4" w:space="0" w:color="auto"/>
            </w:tcBorders>
          </w:tcPr>
          <w:p w:rsidR="006062FF" w:rsidRPr="003B3183" w:rsidRDefault="00931708" w:rsidP="002E2988">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w:t>
            </w:r>
            <w:r w:rsidR="009600EC" w:rsidRPr="003B3183">
              <w:rPr>
                <w:rFonts w:ascii="Arial" w:hAnsi="Arial" w:cs="Arial"/>
                <w:b/>
                <w:snapToGrid w:val="0"/>
                <w:color w:val="000000"/>
                <w:sz w:val="24"/>
              </w:rPr>
              <w:t>1</w:t>
            </w:r>
            <w:r w:rsidR="00715231" w:rsidRPr="003B3183">
              <w:rPr>
                <w:rFonts w:ascii="Arial" w:hAnsi="Arial" w:cs="Arial"/>
                <w:b/>
                <w:snapToGrid w:val="0"/>
                <w:color w:val="000000"/>
                <w:sz w:val="24"/>
              </w:rPr>
              <w:t>,803</w:t>
            </w:r>
          </w:p>
        </w:tc>
        <w:tc>
          <w:tcPr>
            <w:tcW w:w="668" w:type="pct"/>
            <w:tcBorders>
              <w:top w:val="single" w:sz="4" w:space="0" w:color="auto"/>
              <w:bottom w:val="single" w:sz="4" w:space="0" w:color="auto"/>
            </w:tcBorders>
          </w:tcPr>
          <w:p w:rsidR="006062FF" w:rsidRPr="003B3183" w:rsidRDefault="00931708" w:rsidP="00715231">
            <w:pPr>
              <w:widowControl w:val="0"/>
              <w:tabs>
                <w:tab w:val="right" w:pos="7200"/>
              </w:tabs>
              <w:ind w:left="132" w:hanging="132"/>
              <w:jc w:val="right"/>
              <w:rPr>
                <w:rFonts w:ascii="Arial" w:hAnsi="Arial" w:cs="Arial"/>
                <w:b/>
                <w:snapToGrid w:val="0"/>
                <w:color w:val="000000"/>
                <w:sz w:val="24"/>
              </w:rPr>
            </w:pPr>
            <w:r w:rsidRPr="003B3183">
              <w:rPr>
                <w:rFonts w:ascii="Arial" w:hAnsi="Arial" w:cs="Arial"/>
                <w:b/>
                <w:snapToGrid w:val="0"/>
                <w:color w:val="000000"/>
                <w:sz w:val="24"/>
              </w:rPr>
              <w:t>-</w:t>
            </w:r>
            <w:r w:rsidR="009600EC" w:rsidRPr="003B3183">
              <w:rPr>
                <w:rFonts w:ascii="Arial" w:hAnsi="Arial" w:cs="Arial"/>
                <w:b/>
                <w:snapToGrid w:val="0"/>
                <w:color w:val="000000"/>
                <w:sz w:val="24"/>
              </w:rPr>
              <w:t>1</w:t>
            </w:r>
            <w:r w:rsidR="00715231" w:rsidRPr="003B3183">
              <w:rPr>
                <w:rFonts w:ascii="Arial" w:hAnsi="Arial" w:cs="Arial"/>
                <w:b/>
                <w:snapToGrid w:val="0"/>
                <w:color w:val="000000"/>
                <w:sz w:val="24"/>
              </w:rPr>
              <w:t>,803</w:t>
            </w:r>
          </w:p>
        </w:tc>
        <w:tc>
          <w:tcPr>
            <w:tcW w:w="2267" w:type="pct"/>
            <w:tcBorders>
              <w:top w:val="single" w:sz="4" w:space="0" w:color="auto"/>
              <w:bottom w:val="single" w:sz="4" w:space="0" w:color="auto"/>
            </w:tcBorders>
          </w:tcPr>
          <w:p w:rsidR="006062FF" w:rsidRPr="003B3183" w:rsidRDefault="006062FF" w:rsidP="00F315CB">
            <w:pPr>
              <w:widowControl w:val="0"/>
              <w:tabs>
                <w:tab w:val="right" w:pos="7200"/>
              </w:tabs>
              <w:ind w:left="132" w:hanging="132"/>
              <w:rPr>
                <w:rFonts w:ascii="Arial" w:hAnsi="Arial" w:cs="Arial"/>
                <w:b/>
                <w:snapToGrid w:val="0"/>
                <w:color w:val="000000"/>
                <w:sz w:val="24"/>
              </w:rPr>
            </w:pPr>
            <w:r w:rsidRPr="003B3183">
              <w:rPr>
                <w:rFonts w:ascii="Arial" w:hAnsi="Arial" w:cs="Arial"/>
                <w:b/>
                <w:snapToGrid w:val="0"/>
                <w:color w:val="000000"/>
                <w:sz w:val="24"/>
              </w:rPr>
              <w:t>Total financial liabilities</w:t>
            </w:r>
          </w:p>
        </w:tc>
        <w:tc>
          <w:tcPr>
            <w:tcW w:w="669" w:type="pct"/>
            <w:tcBorders>
              <w:top w:val="single" w:sz="4" w:space="0" w:color="auto"/>
              <w:bottom w:val="single" w:sz="4" w:space="0" w:color="auto"/>
            </w:tcBorders>
          </w:tcPr>
          <w:p w:rsidR="006062FF" w:rsidRPr="00975458" w:rsidRDefault="006818CD" w:rsidP="00F315CB">
            <w:pPr>
              <w:widowControl w:val="0"/>
              <w:tabs>
                <w:tab w:val="right" w:pos="7200"/>
              </w:tabs>
              <w:ind w:left="132" w:hanging="132"/>
              <w:jc w:val="right"/>
              <w:rPr>
                <w:rFonts w:ascii="Arial" w:hAnsi="Arial" w:cs="Arial"/>
                <w:b/>
                <w:snapToGrid w:val="0"/>
                <w:color w:val="000000"/>
                <w:sz w:val="24"/>
              </w:rPr>
            </w:pPr>
            <w:r w:rsidRPr="00975458">
              <w:rPr>
                <w:rFonts w:ascii="Arial" w:hAnsi="Arial" w:cs="Arial"/>
                <w:b/>
                <w:snapToGrid w:val="0"/>
                <w:color w:val="000000"/>
                <w:sz w:val="24"/>
              </w:rPr>
              <w:t>-431</w:t>
            </w:r>
          </w:p>
        </w:tc>
        <w:tc>
          <w:tcPr>
            <w:tcW w:w="667" w:type="pct"/>
            <w:tcBorders>
              <w:top w:val="single" w:sz="4" w:space="0" w:color="auto"/>
              <w:bottom w:val="single" w:sz="4" w:space="0" w:color="auto"/>
            </w:tcBorders>
          </w:tcPr>
          <w:p w:rsidR="006062FF" w:rsidRPr="00975458" w:rsidRDefault="006818CD" w:rsidP="00F315CB">
            <w:pPr>
              <w:widowControl w:val="0"/>
              <w:tabs>
                <w:tab w:val="right" w:pos="7200"/>
              </w:tabs>
              <w:ind w:left="132" w:hanging="132"/>
              <w:jc w:val="right"/>
              <w:rPr>
                <w:rFonts w:ascii="Arial" w:hAnsi="Arial" w:cs="Arial"/>
                <w:b/>
                <w:snapToGrid w:val="0"/>
                <w:color w:val="000000"/>
                <w:sz w:val="24"/>
              </w:rPr>
            </w:pPr>
            <w:r w:rsidRPr="00975458">
              <w:rPr>
                <w:rFonts w:ascii="Arial" w:hAnsi="Arial" w:cs="Arial"/>
                <w:b/>
                <w:snapToGrid w:val="0"/>
                <w:color w:val="000000"/>
                <w:sz w:val="24"/>
              </w:rPr>
              <w:t>-431</w:t>
            </w:r>
          </w:p>
        </w:tc>
      </w:tr>
    </w:tbl>
    <w:p w:rsidR="004B6397" w:rsidRPr="003B3183" w:rsidRDefault="004B6397" w:rsidP="004B6397">
      <w:pPr>
        <w:widowControl w:val="0"/>
        <w:tabs>
          <w:tab w:val="right" w:pos="7200"/>
        </w:tabs>
        <w:rPr>
          <w:rFonts w:ascii="Arial" w:hAnsi="Arial" w:cs="Arial"/>
          <w:snapToGrid w:val="0"/>
          <w:color w:val="000000"/>
          <w:sz w:val="24"/>
        </w:rPr>
      </w:pPr>
    </w:p>
    <w:p w:rsidR="00F423A6" w:rsidRPr="003B3183" w:rsidRDefault="00F423A6" w:rsidP="00F423A6">
      <w:pPr>
        <w:widowControl w:val="0"/>
        <w:tabs>
          <w:tab w:val="right" w:pos="7200"/>
        </w:tabs>
        <w:rPr>
          <w:rFonts w:ascii="Arial" w:hAnsi="Arial" w:cs="Arial"/>
          <w:snapToGrid w:val="0"/>
          <w:color w:val="000000"/>
          <w:sz w:val="24"/>
        </w:rPr>
      </w:pPr>
      <w:r w:rsidRPr="003B3183">
        <w:rPr>
          <w:rFonts w:ascii="Arial" w:hAnsi="Arial" w:cs="Arial"/>
          <w:snapToGrid w:val="0"/>
          <w:color w:val="000000"/>
          <w:sz w:val="24"/>
        </w:rPr>
        <w:t xml:space="preserve">The authority has not entered into any financial guarantees that are required to </w:t>
      </w:r>
      <w:r w:rsidR="0089124C" w:rsidRPr="003B3183">
        <w:rPr>
          <w:rFonts w:ascii="Arial" w:hAnsi="Arial" w:cs="Arial"/>
          <w:snapToGrid w:val="0"/>
          <w:color w:val="000000"/>
          <w:sz w:val="24"/>
        </w:rPr>
        <w:t>be accounted for as financial instruments</w:t>
      </w:r>
      <w:r w:rsidRPr="003B3183">
        <w:rPr>
          <w:rFonts w:ascii="Arial" w:hAnsi="Arial" w:cs="Arial"/>
          <w:snapToGrid w:val="0"/>
          <w:color w:val="000000"/>
          <w:sz w:val="24"/>
        </w:rPr>
        <w:t>.</w:t>
      </w:r>
    </w:p>
    <w:p w:rsidR="00C44A86" w:rsidRPr="003B3183" w:rsidRDefault="00C44A86" w:rsidP="00F423A6">
      <w:pPr>
        <w:widowControl w:val="0"/>
        <w:tabs>
          <w:tab w:val="right" w:pos="7200"/>
        </w:tabs>
        <w:rPr>
          <w:rFonts w:ascii="Arial" w:hAnsi="Arial" w:cs="Arial"/>
          <w:snapToGrid w:val="0"/>
          <w:color w:val="000000"/>
          <w:sz w:val="24"/>
        </w:rPr>
      </w:pPr>
    </w:p>
    <w:p w:rsidR="00C44A86" w:rsidRPr="003E250C" w:rsidRDefault="00C44A86" w:rsidP="00C44A86">
      <w:pPr>
        <w:widowControl w:val="0"/>
        <w:tabs>
          <w:tab w:val="right" w:pos="7200"/>
        </w:tabs>
        <w:rPr>
          <w:rFonts w:ascii="Arial" w:hAnsi="Arial" w:cs="Arial"/>
          <w:b/>
          <w:snapToGrid w:val="0"/>
          <w:color w:val="000000"/>
          <w:sz w:val="24"/>
        </w:rPr>
      </w:pPr>
      <w:r w:rsidRPr="003E250C">
        <w:rPr>
          <w:rFonts w:ascii="Arial" w:hAnsi="Arial" w:cs="Arial"/>
          <w:b/>
          <w:snapToGrid w:val="0"/>
          <w:color w:val="000000"/>
          <w:sz w:val="24"/>
        </w:rPr>
        <w:t>d)  Valuation of financial instruments carried at fair value</w:t>
      </w:r>
    </w:p>
    <w:p w:rsidR="00C44A86" w:rsidRPr="003E250C" w:rsidRDefault="00C44A86" w:rsidP="00C44A86">
      <w:pPr>
        <w:widowControl w:val="0"/>
        <w:tabs>
          <w:tab w:val="right" w:pos="7200"/>
        </w:tabs>
        <w:rPr>
          <w:rFonts w:ascii="Arial" w:hAnsi="Arial" w:cs="Arial"/>
          <w:b/>
          <w:snapToGrid w:val="0"/>
          <w:color w:val="000000"/>
          <w:sz w:val="24"/>
        </w:rPr>
      </w:pPr>
    </w:p>
    <w:p w:rsidR="00C44A86" w:rsidRPr="003E250C" w:rsidRDefault="00C44A86" w:rsidP="00C44A86">
      <w:pPr>
        <w:widowControl w:val="0"/>
        <w:tabs>
          <w:tab w:val="right" w:pos="7200"/>
        </w:tabs>
        <w:rPr>
          <w:rFonts w:ascii="Arial" w:hAnsi="Arial" w:cs="Arial"/>
          <w:snapToGrid w:val="0"/>
          <w:color w:val="000000"/>
          <w:sz w:val="24"/>
        </w:rPr>
      </w:pPr>
      <w:r w:rsidRPr="003E250C">
        <w:rPr>
          <w:rFonts w:ascii="Arial" w:hAnsi="Arial" w:cs="Arial"/>
          <w:snapToGrid w:val="0"/>
          <w:color w:val="000000"/>
          <w:sz w:val="24"/>
        </w:rPr>
        <w:t xml:space="preserve">The valuation of financial instruments had been classified into three levels, according to </w:t>
      </w:r>
      <w:r w:rsidR="000F65F1" w:rsidRPr="003E250C">
        <w:rPr>
          <w:rFonts w:ascii="Arial" w:hAnsi="Arial" w:cs="Arial"/>
          <w:snapToGrid w:val="0"/>
          <w:color w:val="000000"/>
          <w:sz w:val="24"/>
        </w:rPr>
        <w:t>the quality and reliability of information used to determine fair values</w:t>
      </w:r>
      <w:r w:rsidRPr="003E250C">
        <w:rPr>
          <w:rFonts w:ascii="Arial" w:hAnsi="Arial" w:cs="Arial"/>
          <w:snapToGrid w:val="0"/>
          <w:color w:val="000000"/>
          <w:sz w:val="24"/>
        </w:rPr>
        <w:t>.</w:t>
      </w:r>
    </w:p>
    <w:p w:rsidR="000F65F1" w:rsidRPr="003E250C" w:rsidRDefault="000F65F1" w:rsidP="00C44A86">
      <w:pPr>
        <w:widowControl w:val="0"/>
        <w:tabs>
          <w:tab w:val="right" w:pos="7200"/>
        </w:tabs>
        <w:rPr>
          <w:rFonts w:ascii="Arial" w:hAnsi="Arial" w:cs="Arial"/>
          <w:snapToGrid w:val="0"/>
          <w:color w:val="000000"/>
          <w:sz w:val="24"/>
        </w:rPr>
      </w:pPr>
    </w:p>
    <w:p w:rsidR="000F65F1" w:rsidRPr="003E250C" w:rsidRDefault="000F65F1" w:rsidP="00C44A86">
      <w:pPr>
        <w:widowControl w:val="0"/>
        <w:tabs>
          <w:tab w:val="right" w:pos="7200"/>
        </w:tabs>
        <w:rPr>
          <w:rFonts w:ascii="Arial" w:hAnsi="Arial" w:cs="Arial"/>
          <w:b/>
          <w:snapToGrid w:val="0"/>
          <w:color w:val="000000"/>
          <w:sz w:val="24"/>
        </w:rPr>
      </w:pPr>
      <w:r w:rsidRPr="003E250C">
        <w:rPr>
          <w:rFonts w:ascii="Arial" w:hAnsi="Arial" w:cs="Arial"/>
          <w:b/>
          <w:snapToGrid w:val="0"/>
          <w:color w:val="000000"/>
          <w:sz w:val="24"/>
        </w:rPr>
        <w:t>Level 1</w:t>
      </w:r>
    </w:p>
    <w:p w:rsidR="000F65F1" w:rsidRPr="003E250C" w:rsidRDefault="000F65F1" w:rsidP="00C44A86">
      <w:pPr>
        <w:widowControl w:val="0"/>
        <w:tabs>
          <w:tab w:val="right" w:pos="7200"/>
        </w:tabs>
        <w:rPr>
          <w:rFonts w:ascii="Arial" w:hAnsi="Arial" w:cs="Arial"/>
          <w:b/>
          <w:snapToGrid w:val="0"/>
          <w:color w:val="000000"/>
          <w:sz w:val="24"/>
        </w:rPr>
      </w:pPr>
    </w:p>
    <w:p w:rsidR="000F65F1" w:rsidRPr="003E250C" w:rsidRDefault="0050684A" w:rsidP="00C44A86">
      <w:pPr>
        <w:widowControl w:val="0"/>
        <w:tabs>
          <w:tab w:val="right" w:pos="7200"/>
        </w:tabs>
        <w:rPr>
          <w:rFonts w:ascii="Arial" w:hAnsi="Arial" w:cs="Arial"/>
          <w:snapToGrid w:val="0"/>
          <w:color w:val="000000"/>
          <w:sz w:val="24"/>
        </w:rPr>
      </w:pPr>
      <w:r w:rsidRPr="003E250C">
        <w:rPr>
          <w:rFonts w:ascii="Arial" w:hAnsi="Arial" w:cs="Arial"/>
          <w:snapToGrid w:val="0"/>
          <w:color w:val="000000"/>
          <w:sz w:val="24"/>
        </w:rPr>
        <w:t xml:space="preserve">Financial instruments </w:t>
      </w:r>
      <w:r w:rsidR="00AF0993" w:rsidRPr="003E250C">
        <w:rPr>
          <w:rFonts w:ascii="Arial" w:hAnsi="Arial" w:cs="Arial"/>
          <w:snapToGrid w:val="0"/>
          <w:color w:val="000000"/>
          <w:sz w:val="24"/>
        </w:rPr>
        <w:t>at Level 1 are those wh</w:t>
      </w:r>
      <w:r w:rsidR="00931708" w:rsidRPr="003E250C">
        <w:rPr>
          <w:rFonts w:ascii="Arial" w:hAnsi="Arial" w:cs="Arial"/>
          <w:snapToGrid w:val="0"/>
          <w:color w:val="000000"/>
          <w:sz w:val="24"/>
        </w:rPr>
        <w:t>ere the</w:t>
      </w:r>
      <w:r w:rsidR="00AF0993" w:rsidRPr="003E250C">
        <w:rPr>
          <w:rFonts w:ascii="Arial" w:hAnsi="Arial" w:cs="Arial"/>
          <w:snapToGrid w:val="0"/>
          <w:color w:val="000000"/>
          <w:sz w:val="24"/>
        </w:rPr>
        <w:t xml:space="preserve"> fair values are derived from unadjusted quoted prices in active markets </w:t>
      </w:r>
      <w:r w:rsidR="00E5436B" w:rsidRPr="003E250C">
        <w:rPr>
          <w:rFonts w:ascii="Arial" w:hAnsi="Arial" w:cs="Arial"/>
          <w:snapToGrid w:val="0"/>
          <w:color w:val="000000"/>
          <w:sz w:val="24"/>
        </w:rPr>
        <w:t xml:space="preserve">for identical assets or liabilities. Products classified as Level 1 </w:t>
      </w:r>
      <w:r w:rsidR="00121F74" w:rsidRPr="003E250C">
        <w:rPr>
          <w:rFonts w:ascii="Arial" w:hAnsi="Arial" w:cs="Arial"/>
          <w:snapToGrid w:val="0"/>
          <w:color w:val="000000"/>
          <w:sz w:val="24"/>
        </w:rPr>
        <w:t>comprise quoted equities, quoted fixed securities, quoted index linked securities and unit trusts.</w:t>
      </w:r>
    </w:p>
    <w:p w:rsidR="00121F74" w:rsidRPr="003E250C" w:rsidRDefault="00121F74" w:rsidP="00C44A86">
      <w:pPr>
        <w:widowControl w:val="0"/>
        <w:tabs>
          <w:tab w:val="right" w:pos="7200"/>
        </w:tabs>
        <w:rPr>
          <w:rFonts w:ascii="Arial" w:hAnsi="Arial" w:cs="Arial"/>
          <w:snapToGrid w:val="0"/>
          <w:color w:val="000000"/>
          <w:sz w:val="24"/>
        </w:rPr>
      </w:pPr>
    </w:p>
    <w:p w:rsidR="00121F74" w:rsidRPr="003E250C" w:rsidRDefault="00603A5E" w:rsidP="00C44A86">
      <w:pPr>
        <w:widowControl w:val="0"/>
        <w:tabs>
          <w:tab w:val="right" w:pos="7200"/>
        </w:tabs>
        <w:rPr>
          <w:rFonts w:ascii="Arial" w:hAnsi="Arial" w:cs="Arial"/>
          <w:snapToGrid w:val="0"/>
          <w:color w:val="000000"/>
          <w:sz w:val="24"/>
        </w:rPr>
      </w:pPr>
      <w:r w:rsidRPr="003E250C">
        <w:rPr>
          <w:rFonts w:ascii="Arial" w:hAnsi="Arial" w:cs="Arial"/>
          <w:snapToGrid w:val="0"/>
          <w:color w:val="000000"/>
          <w:sz w:val="24"/>
        </w:rPr>
        <w:t>Listed investments are shown at bid prices. The bid value of the investment is based on the bid market quotation of the relevant stock exchange.</w:t>
      </w:r>
    </w:p>
    <w:p w:rsidR="00603A5E" w:rsidRPr="003E250C" w:rsidRDefault="00603A5E" w:rsidP="00C44A86">
      <w:pPr>
        <w:widowControl w:val="0"/>
        <w:tabs>
          <w:tab w:val="right" w:pos="7200"/>
        </w:tabs>
        <w:rPr>
          <w:rFonts w:ascii="Arial" w:hAnsi="Arial" w:cs="Arial"/>
          <w:snapToGrid w:val="0"/>
          <w:color w:val="000000"/>
          <w:sz w:val="24"/>
        </w:rPr>
      </w:pPr>
    </w:p>
    <w:p w:rsidR="003E3F26" w:rsidRDefault="003E3F26">
      <w:pPr>
        <w:rPr>
          <w:rFonts w:ascii="Arial" w:hAnsi="Arial" w:cs="Arial"/>
          <w:b/>
          <w:snapToGrid w:val="0"/>
          <w:color w:val="000000"/>
          <w:sz w:val="24"/>
        </w:rPr>
      </w:pPr>
      <w:r>
        <w:rPr>
          <w:rFonts w:ascii="Arial" w:hAnsi="Arial" w:cs="Arial"/>
          <w:b/>
          <w:snapToGrid w:val="0"/>
          <w:color w:val="000000"/>
          <w:sz w:val="24"/>
        </w:rPr>
        <w:br w:type="page"/>
      </w:r>
    </w:p>
    <w:p w:rsidR="00603A5E" w:rsidRPr="003E250C" w:rsidRDefault="00603A5E" w:rsidP="00C44A86">
      <w:pPr>
        <w:widowControl w:val="0"/>
        <w:tabs>
          <w:tab w:val="right" w:pos="7200"/>
        </w:tabs>
        <w:rPr>
          <w:rFonts w:ascii="Arial" w:hAnsi="Arial" w:cs="Arial"/>
          <w:b/>
          <w:snapToGrid w:val="0"/>
          <w:color w:val="000000"/>
          <w:sz w:val="24"/>
        </w:rPr>
      </w:pPr>
      <w:r w:rsidRPr="003E250C">
        <w:rPr>
          <w:rFonts w:ascii="Arial" w:hAnsi="Arial" w:cs="Arial"/>
          <w:b/>
          <w:snapToGrid w:val="0"/>
          <w:color w:val="000000"/>
          <w:sz w:val="24"/>
        </w:rPr>
        <w:lastRenderedPageBreak/>
        <w:t>Level 2</w:t>
      </w:r>
    </w:p>
    <w:p w:rsidR="00603A5E" w:rsidRPr="003E250C" w:rsidRDefault="00603A5E" w:rsidP="00C44A86">
      <w:pPr>
        <w:widowControl w:val="0"/>
        <w:tabs>
          <w:tab w:val="right" w:pos="7200"/>
        </w:tabs>
        <w:rPr>
          <w:rFonts w:ascii="Arial" w:hAnsi="Arial" w:cs="Arial"/>
          <w:b/>
          <w:snapToGrid w:val="0"/>
          <w:color w:val="000000"/>
          <w:sz w:val="24"/>
        </w:rPr>
      </w:pPr>
    </w:p>
    <w:p w:rsidR="00603A5E" w:rsidRPr="003E250C" w:rsidRDefault="00EA4366" w:rsidP="00C44A86">
      <w:pPr>
        <w:widowControl w:val="0"/>
        <w:tabs>
          <w:tab w:val="right" w:pos="7200"/>
        </w:tabs>
        <w:rPr>
          <w:rFonts w:ascii="Arial" w:hAnsi="Arial" w:cs="Arial"/>
          <w:snapToGrid w:val="0"/>
          <w:color w:val="000000"/>
          <w:sz w:val="24"/>
        </w:rPr>
      </w:pPr>
      <w:r w:rsidRPr="003E250C">
        <w:rPr>
          <w:rFonts w:ascii="Arial" w:hAnsi="Arial" w:cs="Arial"/>
          <w:snapToGrid w:val="0"/>
          <w:color w:val="000000"/>
          <w:sz w:val="24"/>
        </w:rPr>
        <w:t xml:space="preserve">Financial instruments at Level 2 are those where quoted </w:t>
      </w:r>
      <w:r w:rsidR="00873914" w:rsidRPr="003E250C">
        <w:rPr>
          <w:rFonts w:ascii="Arial" w:hAnsi="Arial" w:cs="Arial"/>
          <w:snapToGrid w:val="0"/>
          <w:color w:val="000000"/>
          <w:sz w:val="24"/>
        </w:rPr>
        <w:t>market prices are not available; for example, whe</w:t>
      </w:r>
      <w:r w:rsidR="00931708" w:rsidRPr="003E250C">
        <w:rPr>
          <w:rFonts w:ascii="Arial" w:hAnsi="Arial" w:cs="Arial"/>
          <w:snapToGrid w:val="0"/>
          <w:color w:val="000000"/>
          <w:sz w:val="24"/>
        </w:rPr>
        <w:t>re</w:t>
      </w:r>
      <w:r w:rsidR="00873914" w:rsidRPr="003E250C">
        <w:rPr>
          <w:rFonts w:ascii="Arial" w:hAnsi="Arial" w:cs="Arial"/>
          <w:snapToGrid w:val="0"/>
          <w:color w:val="000000"/>
          <w:sz w:val="24"/>
        </w:rPr>
        <w:t xml:space="preserve"> </w:t>
      </w:r>
      <w:r w:rsidR="00094A48" w:rsidRPr="003E250C">
        <w:rPr>
          <w:rFonts w:ascii="Arial" w:hAnsi="Arial" w:cs="Arial"/>
          <w:snapToGrid w:val="0"/>
          <w:color w:val="000000"/>
          <w:sz w:val="24"/>
        </w:rPr>
        <w:t>an instrument is traded in a market that is not considered to be active, or where valuation techniques are used to determine fair value and where these techniques use inputs that are based significantly on observable market data.</w:t>
      </w:r>
    </w:p>
    <w:p w:rsidR="00094A48" w:rsidRPr="003D2F7A" w:rsidRDefault="00094A48" w:rsidP="00C44A86">
      <w:pPr>
        <w:widowControl w:val="0"/>
        <w:tabs>
          <w:tab w:val="right" w:pos="7200"/>
        </w:tabs>
        <w:rPr>
          <w:rFonts w:ascii="Arial" w:hAnsi="Arial" w:cs="Arial"/>
          <w:snapToGrid w:val="0"/>
          <w:color w:val="000000"/>
          <w:sz w:val="24"/>
          <w:highlight w:val="yellow"/>
        </w:rPr>
      </w:pPr>
    </w:p>
    <w:p w:rsidR="00094A48" w:rsidRPr="0013288C" w:rsidRDefault="00094A48" w:rsidP="00C44A86">
      <w:pPr>
        <w:widowControl w:val="0"/>
        <w:tabs>
          <w:tab w:val="right" w:pos="7200"/>
        </w:tabs>
        <w:rPr>
          <w:rFonts w:ascii="Arial" w:hAnsi="Arial" w:cs="Arial"/>
          <w:b/>
          <w:snapToGrid w:val="0"/>
          <w:color w:val="000000"/>
          <w:sz w:val="24"/>
        </w:rPr>
      </w:pPr>
      <w:r w:rsidRPr="0013288C">
        <w:rPr>
          <w:rFonts w:ascii="Arial" w:hAnsi="Arial" w:cs="Arial"/>
          <w:b/>
          <w:snapToGrid w:val="0"/>
          <w:color w:val="000000"/>
          <w:sz w:val="24"/>
        </w:rPr>
        <w:t>Level 3</w:t>
      </w:r>
    </w:p>
    <w:p w:rsidR="00094A48" w:rsidRPr="0013288C" w:rsidRDefault="00094A48" w:rsidP="00C44A86">
      <w:pPr>
        <w:widowControl w:val="0"/>
        <w:tabs>
          <w:tab w:val="right" w:pos="7200"/>
        </w:tabs>
        <w:rPr>
          <w:rFonts w:ascii="Arial" w:hAnsi="Arial" w:cs="Arial"/>
          <w:b/>
          <w:snapToGrid w:val="0"/>
          <w:color w:val="000000"/>
          <w:sz w:val="24"/>
        </w:rPr>
      </w:pPr>
    </w:p>
    <w:p w:rsidR="00094A48" w:rsidRPr="0013288C" w:rsidRDefault="00637242" w:rsidP="00C44A86">
      <w:pPr>
        <w:widowControl w:val="0"/>
        <w:tabs>
          <w:tab w:val="right" w:pos="7200"/>
        </w:tabs>
        <w:rPr>
          <w:rFonts w:ascii="Arial" w:hAnsi="Arial" w:cs="Arial"/>
          <w:snapToGrid w:val="0"/>
          <w:color w:val="000000"/>
          <w:sz w:val="24"/>
        </w:rPr>
      </w:pPr>
      <w:r w:rsidRPr="0013288C">
        <w:rPr>
          <w:rFonts w:ascii="Arial" w:hAnsi="Arial" w:cs="Arial"/>
          <w:snapToGrid w:val="0"/>
          <w:color w:val="000000"/>
          <w:sz w:val="24"/>
        </w:rPr>
        <w:t>Financial instruments at Level 3 are those where at least one input that could have a significant effect on the instrument’s valuation is not based on observable market data.</w:t>
      </w:r>
    </w:p>
    <w:p w:rsidR="00637242" w:rsidRPr="0013288C" w:rsidRDefault="00637242" w:rsidP="00C44A86">
      <w:pPr>
        <w:widowControl w:val="0"/>
        <w:tabs>
          <w:tab w:val="right" w:pos="7200"/>
        </w:tabs>
        <w:rPr>
          <w:rFonts w:ascii="Arial" w:hAnsi="Arial" w:cs="Arial"/>
          <w:snapToGrid w:val="0"/>
          <w:color w:val="000000"/>
          <w:sz w:val="24"/>
        </w:rPr>
      </w:pPr>
    </w:p>
    <w:p w:rsidR="00637242" w:rsidRPr="0013288C" w:rsidRDefault="004B1FC0" w:rsidP="00C44A86">
      <w:pPr>
        <w:widowControl w:val="0"/>
        <w:tabs>
          <w:tab w:val="right" w:pos="7200"/>
        </w:tabs>
        <w:rPr>
          <w:rFonts w:ascii="Arial" w:hAnsi="Arial" w:cs="Arial"/>
          <w:snapToGrid w:val="0"/>
          <w:color w:val="000000"/>
          <w:sz w:val="24"/>
        </w:rPr>
      </w:pPr>
      <w:r w:rsidRPr="0013288C">
        <w:rPr>
          <w:rFonts w:ascii="Arial" w:hAnsi="Arial" w:cs="Arial"/>
          <w:snapToGrid w:val="0"/>
          <w:color w:val="000000"/>
          <w:sz w:val="24"/>
        </w:rPr>
        <w:t xml:space="preserve">Such instruments would include unquoted equity investments and </w:t>
      </w:r>
      <w:r w:rsidR="009713AB" w:rsidRPr="0013288C">
        <w:rPr>
          <w:rFonts w:ascii="Arial" w:hAnsi="Arial" w:cs="Arial"/>
          <w:snapToGrid w:val="0"/>
          <w:color w:val="000000"/>
          <w:sz w:val="24"/>
        </w:rPr>
        <w:t xml:space="preserve">fund of </w:t>
      </w:r>
      <w:r w:rsidRPr="0013288C">
        <w:rPr>
          <w:rFonts w:ascii="Arial" w:hAnsi="Arial" w:cs="Arial"/>
          <w:snapToGrid w:val="0"/>
          <w:color w:val="000000"/>
          <w:sz w:val="24"/>
        </w:rPr>
        <w:t xml:space="preserve">hedge funds, which are valued using various </w:t>
      </w:r>
      <w:r w:rsidR="005D77D6" w:rsidRPr="0013288C">
        <w:rPr>
          <w:rFonts w:ascii="Arial" w:hAnsi="Arial" w:cs="Arial"/>
          <w:snapToGrid w:val="0"/>
          <w:color w:val="000000"/>
          <w:sz w:val="24"/>
        </w:rPr>
        <w:t>valuation techniques that require significant judgement in determining appropriate assumptions.</w:t>
      </w:r>
    </w:p>
    <w:p w:rsidR="005D77D6" w:rsidRDefault="005D77D6" w:rsidP="00C44A86">
      <w:pPr>
        <w:widowControl w:val="0"/>
        <w:tabs>
          <w:tab w:val="right" w:pos="7200"/>
        </w:tabs>
        <w:rPr>
          <w:rFonts w:ascii="Arial" w:hAnsi="Arial" w:cs="Arial"/>
          <w:snapToGrid w:val="0"/>
          <w:color w:val="000000"/>
          <w:sz w:val="24"/>
        </w:rPr>
      </w:pPr>
    </w:p>
    <w:p w:rsidR="0013288C" w:rsidRDefault="00CF2C8A" w:rsidP="00C44A86">
      <w:pPr>
        <w:widowControl w:val="0"/>
        <w:tabs>
          <w:tab w:val="right" w:pos="7200"/>
        </w:tabs>
        <w:rPr>
          <w:rFonts w:ascii="Arial" w:hAnsi="Arial" w:cs="Arial"/>
          <w:snapToGrid w:val="0"/>
          <w:color w:val="000000"/>
          <w:sz w:val="24"/>
        </w:rPr>
      </w:pPr>
      <w:r>
        <w:rPr>
          <w:rFonts w:ascii="Arial" w:hAnsi="Arial" w:cs="Arial"/>
          <w:snapToGrid w:val="0"/>
          <w:color w:val="000000"/>
          <w:sz w:val="24"/>
        </w:rPr>
        <w:t>The values of the investment in private equity are based on valuations provided by the general partners to the private equity funds in which Brent Pension Fund has invested.</w:t>
      </w:r>
    </w:p>
    <w:p w:rsidR="00895579" w:rsidRDefault="00895579" w:rsidP="00C44A86">
      <w:pPr>
        <w:widowControl w:val="0"/>
        <w:tabs>
          <w:tab w:val="right" w:pos="7200"/>
        </w:tabs>
        <w:rPr>
          <w:rFonts w:ascii="Arial" w:hAnsi="Arial" w:cs="Arial"/>
          <w:snapToGrid w:val="0"/>
          <w:color w:val="000000"/>
          <w:sz w:val="24"/>
        </w:rPr>
      </w:pPr>
    </w:p>
    <w:p w:rsidR="00895579" w:rsidRDefault="00895579" w:rsidP="00C44A86">
      <w:pPr>
        <w:widowControl w:val="0"/>
        <w:tabs>
          <w:tab w:val="right" w:pos="7200"/>
        </w:tabs>
        <w:rPr>
          <w:rFonts w:ascii="Arial" w:hAnsi="Arial" w:cs="Arial"/>
          <w:snapToGrid w:val="0"/>
          <w:color w:val="000000"/>
          <w:sz w:val="24"/>
        </w:rPr>
      </w:pPr>
      <w:r>
        <w:rPr>
          <w:rFonts w:ascii="Arial" w:hAnsi="Arial" w:cs="Arial"/>
          <w:snapToGrid w:val="0"/>
          <w:color w:val="000000"/>
          <w:sz w:val="24"/>
        </w:rPr>
        <w:t xml:space="preserve">These valuations are prepared in accordance with the </w:t>
      </w:r>
      <w:r w:rsidR="00B646DF">
        <w:rPr>
          <w:rFonts w:ascii="Arial" w:hAnsi="Arial" w:cs="Arial"/>
          <w:snapToGrid w:val="0"/>
          <w:color w:val="000000"/>
          <w:sz w:val="24"/>
        </w:rPr>
        <w:t xml:space="preserve">International Private Equity </w:t>
      </w:r>
      <w:r w:rsidR="00C57D17">
        <w:rPr>
          <w:rFonts w:ascii="Arial" w:hAnsi="Arial" w:cs="Arial"/>
          <w:snapToGrid w:val="0"/>
          <w:color w:val="000000"/>
          <w:sz w:val="24"/>
        </w:rPr>
        <w:t>and Venture Capital Valuation Guidelines, which follow the valuation principles of IFRS and US GAAP. Valuations are usually undertaken annually at the end of December.</w:t>
      </w:r>
      <w:r w:rsidR="005F0D7E">
        <w:rPr>
          <w:rFonts w:ascii="Arial" w:hAnsi="Arial" w:cs="Arial"/>
          <w:snapToGrid w:val="0"/>
          <w:color w:val="000000"/>
          <w:sz w:val="24"/>
        </w:rPr>
        <w:t xml:space="preserve"> Cash flow adjustments are used to roll forward the valuations to 31 March as appropriate.</w:t>
      </w:r>
    </w:p>
    <w:p w:rsidR="00F470A8" w:rsidRDefault="00F470A8" w:rsidP="00C44A86">
      <w:pPr>
        <w:widowControl w:val="0"/>
        <w:tabs>
          <w:tab w:val="right" w:pos="7200"/>
        </w:tabs>
        <w:rPr>
          <w:rFonts w:ascii="Arial" w:hAnsi="Arial" w:cs="Arial"/>
          <w:snapToGrid w:val="0"/>
          <w:color w:val="000000"/>
          <w:sz w:val="24"/>
        </w:rPr>
      </w:pPr>
    </w:p>
    <w:p w:rsidR="00F470A8" w:rsidRDefault="00F470A8" w:rsidP="00C44A86">
      <w:pPr>
        <w:widowControl w:val="0"/>
        <w:tabs>
          <w:tab w:val="right" w:pos="7200"/>
        </w:tabs>
        <w:rPr>
          <w:rFonts w:ascii="Arial" w:hAnsi="Arial" w:cs="Arial"/>
          <w:snapToGrid w:val="0"/>
          <w:color w:val="000000"/>
          <w:sz w:val="24"/>
        </w:rPr>
      </w:pPr>
      <w:r>
        <w:rPr>
          <w:rFonts w:ascii="Arial" w:hAnsi="Arial" w:cs="Arial"/>
          <w:snapToGrid w:val="0"/>
          <w:color w:val="000000"/>
          <w:sz w:val="24"/>
        </w:rPr>
        <w:t>The values of the investment in hedge funds are based on the net asset value provided by the fund manager. Assurances over the valuation are gained from the independent audit of the value.</w:t>
      </w:r>
    </w:p>
    <w:p w:rsidR="0013288C" w:rsidRPr="0013288C" w:rsidRDefault="0013288C" w:rsidP="00C44A86">
      <w:pPr>
        <w:widowControl w:val="0"/>
        <w:tabs>
          <w:tab w:val="right" w:pos="7200"/>
        </w:tabs>
        <w:rPr>
          <w:rFonts w:ascii="Arial" w:hAnsi="Arial" w:cs="Arial"/>
          <w:snapToGrid w:val="0"/>
          <w:color w:val="000000"/>
          <w:sz w:val="24"/>
        </w:rPr>
      </w:pPr>
    </w:p>
    <w:p w:rsidR="007147C1" w:rsidRDefault="007147C1">
      <w:pPr>
        <w:rPr>
          <w:rFonts w:ascii="Arial" w:hAnsi="Arial" w:cs="Arial"/>
          <w:snapToGrid w:val="0"/>
          <w:color w:val="000000"/>
          <w:sz w:val="24"/>
        </w:rPr>
      </w:pPr>
      <w:r>
        <w:rPr>
          <w:rFonts w:ascii="Arial" w:hAnsi="Arial" w:cs="Arial"/>
          <w:snapToGrid w:val="0"/>
          <w:color w:val="000000"/>
          <w:sz w:val="24"/>
        </w:rPr>
        <w:br w:type="page"/>
      </w:r>
    </w:p>
    <w:p w:rsidR="005D77D6" w:rsidRPr="005A0296" w:rsidRDefault="005D77D6" w:rsidP="00C44A86">
      <w:pPr>
        <w:widowControl w:val="0"/>
        <w:tabs>
          <w:tab w:val="right" w:pos="7200"/>
        </w:tabs>
        <w:rPr>
          <w:rFonts w:ascii="Arial" w:hAnsi="Arial" w:cs="Arial"/>
          <w:snapToGrid w:val="0"/>
          <w:color w:val="000000"/>
          <w:sz w:val="24"/>
        </w:rPr>
      </w:pPr>
      <w:r w:rsidRPr="005A0296">
        <w:rPr>
          <w:rFonts w:ascii="Arial" w:hAnsi="Arial" w:cs="Arial"/>
          <w:snapToGrid w:val="0"/>
          <w:color w:val="000000"/>
          <w:sz w:val="24"/>
        </w:rPr>
        <w:lastRenderedPageBreak/>
        <w:t xml:space="preserve">The following table provides an analysis of the financial assets and liabilities of the pension fund grouped into </w:t>
      </w:r>
      <w:r w:rsidR="00306300" w:rsidRPr="005A0296">
        <w:rPr>
          <w:rFonts w:ascii="Arial" w:hAnsi="Arial" w:cs="Arial"/>
          <w:snapToGrid w:val="0"/>
          <w:color w:val="000000"/>
          <w:sz w:val="24"/>
        </w:rPr>
        <w:t>Levels 1 to 3, based on the level at which the fair value is observable.</w:t>
      </w:r>
    </w:p>
    <w:p w:rsidR="00306300" w:rsidRPr="005A0296" w:rsidRDefault="00306300" w:rsidP="00C44A86">
      <w:pPr>
        <w:widowControl w:val="0"/>
        <w:tabs>
          <w:tab w:val="right" w:pos="7200"/>
        </w:tabs>
        <w:rPr>
          <w:rFonts w:ascii="Arial" w:hAnsi="Arial" w:cs="Arial"/>
          <w:snapToGrid w:val="0"/>
          <w:color w:val="000000"/>
          <w:sz w:val="24"/>
        </w:rPr>
      </w:pPr>
    </w:p>
    <w:tbl>
      <w:tblPr>
        <w:tblW w:w="7749" w:type="dxa"/>
        <w:tblInd w:w="-132" w:type="dxa"/>
        <w:tblLayout w:type="fixed"/>
        <w:tblLook w:val="0000" w:firstRow="0" w:lastRow="0" w:firstColumn="0" w:lastColumn="0" w:noHBand="0" w:noVBand="0"/>
      </w:tblPr>
      <w:tblGrid>
        <w:gridCol w:w="2520"/>
        <w:gridCol w:w="1200"/>
        <w:gridCol w:w="1320"/>
        <w:gridCol w:w="1560"/>
        <w:gridCol w:w="1149"/>
      </w:tblGrid>
      <w:tr w:rsidR="00CE2AA4" w:rsidRPr="003D2F7A" w:rsidTr="000035ED">
        <w:trPr>
          <w:trHeight w:val="1101"/>
        </w:trPr>
        <w:tc>
          <w:tcPr>
            <w:tcW w:w="2520" w:type="dxa"/>
          </w:tcPr>
          <w:p w:rsidR="00CE2AA4" w:rsidRPr="00564860" w:rsidRDefault="00CE2AA4" w:rsidP="00F315CB">
            <w:pPr>
              <w:widowControl w:val="0"/>
              <w:tabs>
                <w:tab w:val="right" w:pos="7200"/>
              </w:tabs>
              <w:rPr>
                <w:rFonts w:ascii="Arial" w:hAnsi="Arial" w:cs="Arial"/>
                <w:b/>
                <w:snapToGrid w:val="0"/>
                <w:color w:val="000000"/>
              </w:rPr>
            </w:pPr>
          </w:p>
        </w:tc>
        <w:tc>
          <w:tcPr>
            <w:tcW w:w="1200" w:type="dxa"/>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Quoted market price</w:t>
            </w:r>
          </w:p>
        </w:tc>
        <w:tc>
          <w:tcPr>
            <w:tcW w:w="1320" w:type="dxa"/>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Using observable inputs</w:t>
            </w:r>
          </w:p>
        </w:tc>
        <w:tc>
          <w:tcPr>
            <w:tcW w:w="1560" w:type="dxa"/>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With significant unobservable inputs</w:t>
            </w:r>
          </w:p>
        </w:tc>
        <w:tc>
          <w:tcPr>
            <w:tcW w:w="1149" w:type="dxa"/>
          </w:tcPr>
          <w:p w:rsidR="00CE2AA4" w:rsidRPr="00564860" w:rsidRDefault="00CE2AA4" w:rsidP="00F315CB">
            <w:pPr>
              <w:widowControl w:val="0"/>
              <w:tabs>
                <w:tab w:val="right" w:pos="7200"/>
              </w:tabs>
              <w:jc w:val="right"/>
              <w:rPr>
                <w:rFonts w:ascii="Arial" w:hAnsi="Arial" w:cs="Arial"/>
                <w:b/>
                <w:snapToGrid w:val="0"/>
                <w:color w:val="000000"/>
              </w:rPr>
            </w:pPr>
          </w:p>
        </w:tc>
      </w:tr>
      <w:tr w:rsidR="00CE2AA4" w:rsidRPr="003D2F7A" w:rsidTr="000035ED">
        <w:trPr>
          <w:trHeight w:val="287"/>
        </w:trPr>
        <w:tc>
          <w:tcPr>
            <w:tcW w:w="2520" w:type="dxa"/>
            <w:vAlign w:val="center"/>
          </w:tcPr>
          <w:p w:rsidR="00CE2AA4" w:rsidRPr="00564860" w:rsidRDefault="00564860" w:rsidP="00CE2AA4">
            <w:pPr>
              <w:widowControl w:val="0"/>
              <w:tabs>
                <w:tab w:val="right" w:pos="7200"/>
              </w:tabs>
              <w:jc w:val="center"/>
              <w:rPr>
                <w:rFonts w:ascii="Arial" w:hAnsi="Arial" w:cs="Arial"/>
                <w:b/>
                <w:snapToGrid w:val="0"/>
                <w:color w:val="000000"/>
              </w:rPr>
            </w:pPr>
            <w:r w:rsidRPr="00564860">
              <w:rPr>
                <w:rFonts w:ascii="Arial" w:hAnsi="Arial" w:cs="Arial"/>
                <w:b/>
                <w:snapToGrid w:val="0"/>
                <w:color w:val="000000"/>
              </w:rPr>
              <w:t>Values at 31 March 2013</w:t>
            </w:r>
          </w:p>
        </w:tc>
        <w:tc>
          <w:tcPr>
            <w:tcW w:w="1200"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Level 1</w:t>
            </w:r>
          </w:p>
        </w:tc>
        <w:tc>
          <w:tcPr>
            <w:tcW w:w="1320"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Level 2</w:t>
            </w:r>
          </w:p>
        </w:tc>
        <w:tc>
          <w:tcPr>
            <w:tcW w:w="1560"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Level 3</w:t>
            </w:r>
          </w:p>
        </w:tc>
        <w:tc>
          <w:tcPr>
            <w:tcW w:w="1149"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Total</w:t>
            </w:r>
          </w:p>
        </w:tc>
      </w:tr>
      <w:tr w:rsidR="00CE2AA4" w:rsidRPr="003D2F7A" w:rsidTr="000035ED">
        <w:trPr>
          <w:trHeight w:val="287"/>
        </w:trPr>
        <w:tc>
          <w:tcPr>
            <w:tcW w:w="2520" w:type="dxa"/>
          </w:tcPr>
          <w:p w:rsidR="00CE2AA4" w:rsidRPr="00564860" w:rsidRDefault="00CE2AA4" w:rsidP="00F315CB">
            <w:pPr>
              <w:widowControl w:val="0"/>
              <w:tabs>
                <w:tab w:val="right" w:pos="7200"/>
              </w:tabs>
              <w:rPr>
                <w:rFonts w:ascii="Arial" w:hAnsi="Arial" w:cs="Arial"/>
                <w:snapToGrid w:val="0"/>
                <w:color w:val="000000"/>
              </w:rPr>
            </w:pPr>
          </w:p>
        </w:tc>
        <w:tc>
          <w:tcPr>
            <w:tcW w:w="1200"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£’000</w:t>
            </w:r>
          </w:p>
        </w:tc>
        <w:tc>
          <w:tcPr>
            <w:tcW w:w="1320"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£’000</w:t>
            </w:r>
          </w:p>
        </w:tc>
        <w:tc>
          <w:tcPr>
            <w:tcW w:w="1560"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£’000</w:t>
            </w:r>
          </w:p>
        </w:tc>
        <w:tc>
          <w:tcPr>
            <w:tcW w:w="1149" w:type="dxa"/>
            <w:vAlign w:val="center"/>
          </w:tcPr>
          <w:p w:rsidR="00CE2AA4" w:rsidRPr="00564860" w:rsidRDefault="00CE2AA4" w:rsidP="00F315CB">
            <w:pPr>
              <w:widowControl w:val="0"/>
              <w:tabs>
                <w:tab w:val="right" w:pos="7200"/>
              </w:tabs>
              <w:jc w:val="right"/>
              <w:rPr>
                <w:rFonts w:ascii="Arial" w:hAnsi="Arial" w:cs="Arial"/>
                <w:b/>
                <w:snapToGrid w:val="0"/>
                <w:color w:val="000000"/>
              </w:rPr>
            </w:pPr>
            <w:r w:rsidRPr="00564860">
              <w:rPr>
                <w:rFonts w:ascii="Arial" w:hAnsi="Arial" w:cs="Arial"/>
                <w:b/>
                <w:snapToGrid w:val="0"/>
                <w:color w:val="000000"/>
              </w:rPr>
              <w:t>£’000</w:t>
            </w:r>
          </w:p>
        </w:tc>
      </w:tr>
      <w:tr w:rsidR="00CE2AA4" w:rsidRPr="003D2F7A" w:rsidTr="000035ED">
        <w:trPr>
          <w:trHeight w:val="276"/>
        </w:trPr>
        <w:tc>
          <w:tcPr>
            <w:tcW w:w="2520" w:type="dxa"/>
          </w:tcPr>
          <w:p w:rsidR="00CE2AA4" w:rsidRPr="0043668D" w:rsidRDefault="00CE2AA4" w:rsidP="00F315CB">
            <w:pPr>
              <w:widowControl w:val="0"/>
              <w:tabs>
                <w:tab w:val="right" w:pos="7200"/>
              </w:tabs>
              <w:rPr>
                <w:rFonts w:ascii="Arial" w:hAnsi="Arial" w:cs="Arial"/>
                <w:b/>
                <w:snapToGrid w:val="0"/>
                <w:color w:val="000000"/>
              </w:rPr>
            </w:pPr>
            <w:r w:rsidRPr="0043668D">
              <w:rPr>
                <w:rFonts w:ascii="Arial" w:hAnsi="Arial" w:cs="Arial"/>
                <w:b/>
                <w:snapToGrid w:val="0"/>
                <w:color w:val="000000"/>
              </w:rPr>
              <w:t>Financial assets</w:t>
            </w:r>
          </w:p>
        </w:tc>
        <w:tc>
          <w:tcPr>
            <w:tcW w:w="1200" w:type="dxa"/>
          </w:tcPr>
          <w:p w:rsidR="00CE2AA4" w:rsidRPr="003D2F7A" w:rsidRDefault="00CE2AA4" w:rsidP="00F315CB">
            <w:pPr>
              <w:widowControl w:val="0"/>
              <w:tabs>
                <w:tab w:val="right" w:pos="7200"/>
              </w:tabs>
              <w:jc w:val="right"/>
              <w:rPr>
                <w:rFonts w:ascii="Arial" w:hAnsi="Arial" w:cs="Arial"/>
                <w:snapToGrid w:val="0"/>
                <w:color w:val="000000"/>
                <w:highlight w:val="yellow"/>
              </w:rPr>
            </w:pPr>
          </w:p>
        </w:tc>
        <w:tc>
          <w:tcPr>
            <w:tcW w:w="1320" w:type="dxa"/>
          </w:tcPr>
          <w:p w:rsidR="00CE2AA4" w:rsidRPr="003D2F7A" w:rsidRDefault="00CE2AA4" w:rsidP="00F315CB">
            <w:pPr>
              <w:widowControl w:val="0"/>
              <w:tabs>
                <w:tab w:val="right" w:pos="7200"/>
              </w:tabs>
              <w:jc w:val="right"/>
              <w:rPr>
                <w:rFonts w:ascii="Arial" w:hAnsi="Arial" w:cs="Arial"/>
                <w:snapToGrid w:val="0"/>
                <w:color w:val="000000"/>
                <w:highlight w:val="yellow"/>
              </w:rPr>
            </w:pPr>
          </w:p>
        </w:tc>
        <w:tc>
          <w:tcPr>
            <w:tcW w:w="1560" w:type="dxa"/>
          </w:tcPr>
          <w:p w:rsidR="00CE2AA4" w:rsidRPr="003D2F7A" w:rsidRDefault="00CE2AA4" w:rsidP="00F315CB">
            <w:pPr>
              <w:widowControl w:val="0"/>
              <w:tabs>
                <w:tab w:val="right" w:pos="7200"/>
              </w:tabs>
              <w:jc w:val="right"/>
              <w:rPr>
                <w:rFonts w:ascii="Arial" w:hAnsi="Arial" w:cs="Arial"/>
                <w:snapToGrid w:val="0"/>
                <w:color w:val="000000"/>
                <w:highlight w:val="yellow"/>
              </w:rPr>
            </w:pPr>
          </w:p>
        </w:tc>
        <w:tc>
          <w:tcPr>
            <w:tcW w:w="1149" w:type="dxa"/>
          </w:tcPr>
          <w:p w:rsidR="00CE2AA4" w:rsidRPr="003D2F7A" w:rsidRDefault="00CE2AA4" w:rsidP="00F315CB">
            <w:pPr>
              <w:widowControl w:val="0"/>
              <w:tabs>
                <w:tab w:val="right" w:pos="7200"/>
              </w:tabs>
              <w:jc w:val="right"/>
              <w:rPr>
                <w:rFonts w:ascii="Arial" w:hAnsi="Arial" w:cs="Arial"/>
                <w:b/>
                <w:snapToGrid w:val="0"/>
                <w:color w:val="000000"/>
                <w:highlight w:val="yellow"/>
              </w:rPr>
            </w:pPr>
          </w:p>
        </w:tc>
      </w:tr>
      <w:tr w:rsidR="00CE2AA4" w:rsidRPr="00961A06" w:rsidTr="000035ED">
        <w:trPr>
          <w:trHeight w:val="466"/>
        </w:trPr>
        <w:tc>
          <w:tcPr>
            <w:tcW w:w="2520" w:type="dxa"/>
          </w:tcPr>
          <w:p w:rsidR="00CE2AA4" w:rsidRPr="0043668D" w:rsidRDefault="00280127" w:rsidP="00F315CB">
            <w:pPr>
              <w:widowControl w:val="0"/>
              <w:tabs>
                <w:tab w:val="right" w:pos="7200"/>
              </w:tabs>
              <w:rPr>
                <w:rFonts w:ascii="Arial" w:hAnsi="Arial" w:cs="Arial"/>
                <w:snapToGrid w:val="0"/>
                <w:color w:val="000000"/>
              </w:rPr>
            </w:pPr>
            <w:r w:rsidRPr="0043668D">
              <w:rPr>
                <w:rFonts w:ascii="Arial" w:hAnsi="Arial" w:cs="Arial"/>
                <w:snapToGrid w:val="0"/>
                <w:color w:val="000000"/>
              </w:rPr>
              <w:t>Financial assets at fair value through profit and loss</w:t>
            </w:r>
          </w:p>
        </w:tc>
        <w:tc>
          <w:tcPr>
            <w:tcW w:w="1200" w:type="dxa"/>
          </w:tcPr>
          <w:p w:rsidR="00CE2AA4" w:rsidRPr="00146E38" w:rsidRDefault="001040FA"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411,153</w:t>
            </w:r>
          </w:p>
        </w:tc>
        <w:tc>
          <w:tcPr>
            <w:tcW w:w="1320" w:type="dxa"/>
          </w:tcPr>
          <w:p w:rsidR="00CE2AA4" w:rsidRPr="00146E38" w:rsidRDefault="00CE2AA4" w:rsidP="00F315CB">
            <w:pPr>
              <w:widowControl w:val="0"/>
              <w:tabs>
                <w:tab w:val="right" w:pos="7200"/>
              </w:tabs>
              <w:jc w:val="right"/>
              <w:rPr>
                <w:rFonts w:ascii="Arial" w:hAnsi="Arial" w:cs="Arial"/>
                <w:snapToGrid w:val="0"/>
                <w:color w:val="000000"/>
              </w:rPr>
            </w:pPr>
          </w:p>
        </w:tc>
        <w:tc>
          <w:tcPr>
            <w:tcW w:w="1560" w:type="dxa"/>
          </w:tcPr>
          <w:p w:rsidR="00CE2AA4" w:rsidRPr="00146E38" w:rsidRDefault="00AC03B9"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12</w:t>
            </w:r>
            <w:r w:rsidR="000702F7" w:rsidRPr="00146E38">
              <w:rPr>
                <w:rFonts w:ascii="Arial" w:hAnsi="Arial" w:cs="Arial"/>
                <w:snapToGrid w:val="0"/>
                <w:color w:val="000000"/>
              </w:rPr>
              <w:t>7,144</w:t>
            </w:r>
          </w:p>
        </w:tc>
        <w:tc>
          <w:tcPr>
            <w:tcW w:w="1149" w:type="dxa"/>
          </w:tcPr>
          <w:p w:rsidR="00CE2AA4" w:rsidRPr="00146E38" w:rsidRDefault="00961A06"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53</w:t>
            </w:r>
            <w:r w:rsidR="000702F7" w:rsidRPr="00146E38">
              <w:rPr>
                <w:rFonts w:ascii="Arial" w:hAnsi="Arial" w:cs="Arial"/>
                <w:snapToGrid w:val="0"/>
                <w:color w:val="000000"/>
              </w:rPr>
              <w:t>8,297</w:t>
            </w:r>
          </w:p>
        </w:tc>
      </w:tr>
      <w:tr w:rsidR="00CE2AA4" w:rsidRPr="003D2F7A" w:rsidTr="0008327B">
        <w:trPr>
          <w:trHeight w:val="493"/>
        </w:trPr>
        <w:tc>
          <w:tcPr>
            <w:tcW w:w="2520" w:type="dxa"/>
          </w:tcPr>
          <w:p w:rsidR="00CE2AA4" w:rsidRPr="0043668D" w:rsidRDefault="00F93E4A" w:rsidP="00F315CB">
            <w:pPr>
              <w:widowControl w:val="0"/>
              <w:tabs>
                <w:tab w:val="right" w:pos="7200"/>
              </w:tabs>
              <w:rPr>
                <w:rFonts w:ascii="Arial" w:hAnsi="Arial" w:cs="Arial"/>
                <w:snapToGrid w:val="0"/>
                <w:color w:val="000000"/>
              </w:rPr>
            </w:pPr>
            <w:r w:rsidRPr="0043668D">
              <w:rPr>
                <w:rFonts w:ascii="Arial" w:hAnsi="Arial" w:cs="Arial"/>
                <w:snapToGrid w:val="0"/>
                <w:color w:val="000000"/>
              </w:rPr>
              <w:t>Loans and receivables</w:t>
            </w:r>
          </w:p>
        </w:tc>
        <w:tc>
          <w:tcPr>
            <w:tcW w:w="1200" w:type="dxa"/>
            <w:tcBorders>
              <w:bottom w:val="single" w:sz="4" w:space="0" w:color="auto"/>
            </w:tcBorders>
          </w:tcPr>
          <w:p w:rsidR="00CE2AA4" w:rsidRPr="00146E38" w:rsidRDefault="00C87B3F"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10,017</w:t>
            </w:r>
          </w:p>
        </w:tc>
        <w:tc>
          <w:tcPr>
            <w:tcW w:w="1320" w:type="dxa"/>
            <w:tcBorders>
              <w:bottom w:val="single" w:sz="4" w:space="0" w:color="auto"/>
            </w:tcBorders>
          </w:tcPr>
          <w:p w:rsidR="00CE2AA4" w:rsidRPr="00146E38" w:rsidRDefault="00CE2AA4" w:rsidP="00F315CB">
            <w:pPr>
              <w:widowControl w:val="0"/>
              <w:tabs>
                <w:tab w:val="right" w:pos="7200"/>
              </w:tabs>
              <w:jc w:val="right"/>
              <w:rPr>
                <w:rFonts w:ascii="Arial" w:hAnsi="Arial" w:cs="Arial"/>
                <w:snapToGrid w:val="0"/>
                <w:color w:val="000000"/>
              </w:rPr>
            </w:pPr>
          </w:p>
        </w:tc>
        <w:tc>
          <w:tcPr>
            <w:tcW w:w="1560" w:type="dxa"/>
          </w:tcPr>
          <w:p w:rsidR="00CE2AA4" w:rsidRPr="00146E38" w:rsidRDefault="00CE2AA4" w:rsidP="00F315CB">
            <w:pPr>
              <w:widowControl w:val="0"/>
              <w:tabs>
                <w:tab w:val="right" w:pos="7200"/>
              </w:tabs>
              <w:jc w:val="right"/>
              <w:rPr>
                <w:rFonts w:ascii="Arial" w:hAnsi="Arial" w:cs="Arial"/>
                <w:snapToGrid w:val="0"/>
                <w:color w:val="000000"/>
              </w:rPr>
            </w:pPr>
          </w:p>
        </w:tc>
        <w:tc>
          <w:tcPr>
            <w:tcW w:w="1149" w:type="dxa"/>
          </w:tcPr>
          <w:p w:rsidR="00CE2AA4" w:rsidRPr="00146E38" w:rsidRDefault="00C87B3F"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10,017</w:t>
            </w:r>
          </w:p>
        </w:tc>
      </w:tr>
      <w:tr w:rsidR="00CE2AA4" w:rsidRPr="003D2F7A" w:rsidTr="0008327B">
        <w:trPr>
          <w:trHeight w:val="421"/>
        </w:trPr>
        <w:tc>
          <w:tcPr>
            <w:tcW w:w="2520" w:type="dxa"/>
          </w:tcPr>
          <w:p w:rsidR="00CE2AA4" w:rsidRPr="0043668D" w:rsidRDefault="00CE2AA4" w:rsidP="00F315CB">
            <w:pPr>
              <w:widowControl w:val="0"/>
              <w:tabs>
                <w:tab w:val="right" w:pos="7200"/>
              </w:tabs>
              <w:rPr>
                <w:rFonts w:ascii="Arial" w:hAnsi="Arial" w:cs="Arial"/>
                <w:b/>
                <w:snapToGrid w:val="0"/>
                <w:color w:val="000000"/>
              </w:rPr>
            </w:pPr>
            <w:r w:rsidRPr="0043668D">
              <w:rPr>
                <w:rFonts w:ascii="Arial" w:hAnsi="Arial" w:cs="Arial"/>
                <w:b/>
                <w:snapToGrid w:val="0"/>
                <w:color w:val="000000"/>
              </w:rPr>
              <w:t xml:space="preserve">Total </w:t>
            </w:r>
            <w:r w:rsidR="00F93E4A" w:rsidRPr="0043668D">
              <w:rPr>
                <w:rFonts w:ascii="Arial" w:hAnsi="Arial" w:cs="Arial"/>
                <w:b/>
                <w:snapToGrid w:val="0"/>
                <w:color w:val="000000"/>
              </w:rPr>
              <w:t xml:space="preserve">financial </w:t>
            </w:r>
            <w:r w:rsidRPr="0043668D">
              <w:rPr>
                <w:rFonts w:ascii="Arial" w:hAnsi="Arial" w:cs="Arial"/>
                <w:b/>
                <w:snapToGrid w:val="0"/>
                <w:color w:val="000000"/>
              </w:rPr>
              <w:t>assets</w:t>
            </w:r>
          </w:p>
        </w:tc>
        <w:tc>
          <w:tcPr>
            <w:tcW w:w="1200" w:type="dxa"/>
            <w:tcBorders>
              <w:top w:val="single" w:sz="4" w:space="0" w:color="auto"/>
            </w:tcBorders>
          </w:tcPr>
          <w:p w:rsidR="00CE2AA4" w:rsidRPr="00146E38" w:rsidRDefault="00C87B3F"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421,170</w:t>
            </w:r>
          </w:p>
        </w:tc>
        <w:tc>
          <w:tcPr>
            <w:tcW w:w="1320" w:type="dxa"/>
            <w:tcBorders>
              <w:top w:val="single" w:sz="4" w:space="0" w:color="auto"/>
            </w:tcBorders>
          </w:tcPr>
          <w:p w:rsidR="00CE2AA4" w:rsidRPr="00146E38" w:rsidRDefault="00E1259E"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0</w:t>
            </w:r>
          </w:p>
        </w:tc>
        <w:tc>
          <w:tcPr>
            <w:tcW w:w="1560" w:type="dxa"/>
            <w:tcBorders>
              <w:top w:val="single" w:sz="4" w:space="0" w:color="auto"/>
            </w:tcBorders>
          </w:tcPr>
          <w:p w:rsidR="00CE2AA4" w:rsidRPr="00146E38" w:rsidRDefault="00AC03B9"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12</w:t>
            </w:r>
            <w:r w:rsidR="000702F7" w:rsidRPr="00146E38">
              <w:rPr>
                <w:rFonts w:ascii="Arial" w:hAnsi="Arial" w:cs="Arial"/>
                <w:b/>
                <w:snapToGrid w:val="0"/>
                <w:color w:val="000000"/>
              </w:rPr>
              <w:t>7,144</w:t>
            </w:r>
          </w:p>
        </w:tc>
        <w:tc>
          <w:tcPr>
            <w:tcW w:w="1149" w:type="dxa"/>
            <w:tcBorders>
              <w:top w:val="single" w:sz="4" w:space="0" w:color="auto"/>
            </w:tcBorders>
          </w:tcPr>
          <w:p w:rsidR="00CE2AA4" w:rsidRPr="00146E38" w:rsidRDefault="00C87B3F"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548,314</w:t>
            </w:r>
          </w:p>
        </w:tc>
      </w:tr>
      <w:tr w:rsidR="00CE2AA4" w:rsidRPr="003D2F7A" w:rsidTr="000035ED">
        <w:trPr>
          <w:trHeight w:val="341"/>
        </w:trPr>
        <w:tc>
          <w:tcPr>
            <w:tcW w:w="2520" w:type="dxa"/>
          </w:tcPr>
          <w:p w:rsidR="00CE2AA4" w:rsidRPr="0043668D" w:rsidRDefault="00B878CC" w:rsidP="00F315CB">
            <w:pPr>
              <w:widowControl w:val="0"/>
              <w:tabs>
                <w:tab w:val="right" w:pos="7200"/>
              </w:tabs>
              <w:rPr>
                <w:rFonts w:ascii="Arial" w:hAnsi="Arial" w:cs="Arial"/>
                <w:b/>
                <w:snapToGrid w:val="0"/>
                <w:color w:val="000000"/>
              </w:rPr>
            </w:pPr>
            <w:r w:rsidRPr="0043668D">
              <w:rPr>
                <w:rFonts w:ascii="Arial" w:hAnsi="Arial" w:cs="Arial"/>
                <w:b/>
                <w:snapToGrid w:val="0"/>
                <w:color w:val="000000"/>
              </w:rPr>
              <w:t>Financial l</w:t>
            </w:r>
            <w:r w:rsidR="00CE2AA4" w:rsidRPr="0043668D">
              <w:rPr>
                <w:rFonts w:ascii="Arial" w:hAnsi="Arial" w:cs="Arial"/>
                <w:b/>
                <w:snapToGrid w:val="0"/>
                <w:color w:val="000000"/>
              </w:rPr>
              <w:t>iabilities</w:t>
            </w:r>
          </w:p>
        </w:tc>
        <w:tc>
          <w:tcPr>
            <w:tcW w:w="1200" w:type="dxa"/>
          </w:tcPr>
          <w:p w:rsidR="00CE2AA4" w:rsidRPr="00146E38" w:rsidRDefault="00CE2AA4" w:rsidP="00F315CB">
            <w:pPr>
              <w:widowControl w:val="0"/>
              <w:tabs>
                <w:tab w:val="right" w:pos="7200"/>
              </w:tabs>
              <w:jc w:val="right"/>
              <w:rPr>
                <w:rFonts w:ascii="Arial" w:hAnsi="Arial" w:cs="Arial"/>
                <w:snapToGrid w:val="0"/>
                <w:color w:val="000000"/>
              </w:rPr>
            </w:pPr>
          </w:p>
        </w:tc>
        <w:tc>
          <w:tcPr>
            <w:tcW w:w="1320" w:type="dxa"/>
          </w:tcPr>
          <w:p w:rsidR="00CE2AA4" w:rsidRPr="00146E38" w:rsidRDefault="00CE2AA4" w:rsidP="00F315CB">
            <w:pPr>
              <w:widowControl w:val="0"/>
              <w:tabs>
                <w:tab w:val="right" w:pos="7200"/>
              </w:tabs>
              <w:jc w:val="right"/>
              <w:rPr>
                <w:rFonts w:ascii="Arial" w:hAnsi="Arial" w:cs="Arial"/>
                <w:snapToGrid w:val="0"/>
                <w:color w:val="000000"/>
              </w:rPr>
            </w:pPr>
          </w:p>
        </w:tc>
        <w:tc>
          <w:tcPr>
            <w:tcW w:w="1560" w:type="dxa"/>
          </w:tcPr>
          <w:p w:rsidR="00CE2AA4" w:rsidRPr="00146E38" w:rsidRDefault="00CE2AA4" w:rsidP="00F315CB">
            <w:pPr>
              <w:widowControl w:val="0"/>
              <w:tabs>
                <w:tab w:val="right" w:pos="7200"/>
              </w:tabs>
              <w:jc w:val="right"/>
              <w:rPr>
                <w:rFonts w:ascii="Arial" w:hAnsi="Arial" w:cs="Arial"/>
                <w:snapToGrid w:val="0"/>
                <w:color w:val="000000"/>
              </w:rPr>
            </w:pPr>
          </w:p>
        </w:tc>
        <w:tc>
          <w:tcPr>
            <w:tcW w:w="1149" w:type="dxa"/>
          </w:tcPr>
          <w:p w:rsidR="00CE2AA4" w:rsidRPr="00146E38" w:rsidRDefault="00CE2AA4" w:rsidP="00F315CB">
            <w:pPr>
              <w:widowControl w:val="0"/>
              <w:tabs>
                <w:tab w:val="right" w:pos="7200"/>
              </w:tabs>
              <w:jc w:val="right"/>
              <w:rPr>
                <w:rFonts w:ascii="Arial" w:hAnsi="Arial" w:cs="Arial"/>
                <w:b/>
                <w:snapToGrid w:val="0"/>
                <w:color w:val="000000"/>
              </w:rPr>
            </w:pPr>
          </w:p>
        </w:tc>
      </w:tr>
      <w:tr w:rsidR="00B878CC" w:rsidRPr="003D2F7A" w:rsidTr="0008327B">
        <w:trPr>
          <w:trHeight w:val="493"/>
        </w:trPr>
        <w:tc>
          <w:tcPr>
            <w:tcW w:w="2520" w:type="dxa"/>
          </w:tcPr>
          <w:p w:rsidR="00E720CF" w:rsidRPr="00B51822" w:rsidRDefault="00B878CC" w:rsidP="00BC49A4">
            <w:pPr>
              <w:widowControl w:val="0"/>
              <w:tabs>
                <w:tab w:val="right" w:pos="7200"/>
              </w:tabs>
              <w:rPr>
                <w:rFonts w:ascii="Arial" w:hAnsi="Arial" w:cs="Arial"/>
                <w:snapToGrid w:val="0"/>
                <w:color w:val="000000"/>
              </w:rPr>
            </w:pPr>
            <w:r w:rsidRPr="00B51822">
              <w:rPr>
                <w:rFonts w:ascii="Arial" w:hAnsi="Arial" w:cs="Arial"/>
                <w:snapToGrid w:val="0"/>
                <w:color w:val="000000"/>
              </w:rPr>
              <w:t>Financial liabilities at amortised cost</w:t>
            </w:r>
          </w:p>
        </w:tc>
        <w:tc>
          <w:tcPr>
            <w:tcW w:w="1200" w:type="dxa"/>
            <w:tcBorders>
              <w:bottom w:val="single" w:sz="4" w:space="0" w:color="auto"/>
            </w:tcBorders>
          </w:tcPr>
          <w:p w:rsidR="00B878CC" w:rsidRPr="00146E38" w:rsidRDefault="00931708"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w:t>
            </w:r>
            <w:r w:rsidR="00C87B3F" w:rsidRPr="00146E38">
              <w:rPr>
                <w:rFonts w:ascii="Arial" w:hAnsi="Arial" w:cs="Arial"/>
                <w:snapToGrid w:val="0"/>
                <w:color w:val="000000"/>
              </w:rPr>
              <w:t>431</w:t>
            </w:r>
          </w:p>
        </w:tc>
        <w:tc>
          <w:tcPr>
            <w:tcW w:w="1320" w:type="dxa"/>
            <w:tcBorders>
              <w:bottom w:val="single" w:sz="4" w:space="0" w:color="auto"/>
            </w:tcBorders>
          </w:tcPr>
          <w:p w:rsidR="00B878CC" w:rsidRPr="00146E38" w:rsidRDefault="00B878CC" w:rsidP="00F315CB">
            <w:pPr>
              <w:widowControl w:val="0"/>
              <w:tabs>
                <w:tab w:val="right" w:pos="7200"/>
              </w:tabs>
              <w:jc w:val="right"/>
              <w:rPr>
                <w:rFonts w:ascii="Arial" w:hAnsi="Arial" w:cs="Arial"/>
                <w:snapToGrid w:val="0"/>
                <w:color w:val="000000"/>
              </w:rPr>
            </w:pPr>
          </w:p>
        </w:tc>
        <w:tc>
          <w:tcPr>
            <w:tcW w:w="1560" w:type="dxa"/>
          </w:tcPr>
          <w:p w:rsidR="00B878CC" w:rsidRPr="00146E38" w:rsidRDefault="00B878CC" w:rsidP="00F315CB">
            <w:pPr>
              <w:widowControl w:val="0"/>
              <w:tabs>
                <w:tab w:val="right" w:pos="7200"/>
              </w:tabs>
              <w:jc w:val="right"/>
              <w:rPr>
                <w:rFonts w:ascii="Arial" w:hAnsi="Arial" w:cs="Arial"/>
                <w:snapToGrid w:val="0"/>
                <w:color w:val="000000"/>
              </w:rPr>
            </w:pPr>
          </w:p>
        </w:tc>
        <w:tc>
          <w:tcPr>
            <w:tcW w:w="1149" w:type="dxa"/>
          </w:tcPr>
          <w:p w:rsidR="00B878CC" w:rsidRPr="00146E38" w:rsidRDefault="00931708" w:rsidP="00F315CB">
            <w:pPr>
              <w:widowControl w:val="0"/>
              <w:tabs>
                <w:tab w:val="right" w:pos="7200"/>
              </w:tabs>
              <w:jc w:val="right"/>
              <w:rPr>
                <w:rFonts w:ascii="Arial" w:hAnsi="Arial" w:cs="Arial"/>
                <w:snapToGrid w:val="0"/>
                <w:color w:val="000000"/>
              </w:rPr>
            </w:pPr>
            <w:r w:rsidRPr="00146E38">
              <w:rPr>
                <w:rFonts w:ascii="Arial" w:hAnsi="Arial" w:cs="Arial"/>
                <w:snapToGrid w:val="0"/>
                <w:color w:val="000000"/>
              </w:rPr>
              <w:t>-</w:t>
            </w:r>
            <w:r w:rsidR="00C87B3F" w:rsidRPr="00146E38">
              <w:rPr>
                <w:rFonts w:ascii="Arial" w:hAnsi="Arial" w:cs="Arial"/>
                <w:snapToGrid w:val="0"/>
                <w:color w:val="000000"/>
              </w:rPr>
              <w:t>431</w:t>
            </w:r>
          </w:p>
        </w:tc>
      </w:tr>
      <w:tr w:rsidR="00CE2AA4" w:rsidRPr="003D2F7A" w:rsidTr="0008327B">
        <w:trPr>
          <w:trHeight w:val="421"/>
        </w:trPr>
        <w:tc>
          <w:tcPr>
            <w:tcW w:w="2520" w:type="dxa"/>
          </w:tcPr>
          <w:p w:rsidR="00CE2AA4" w:rsidRPr="00B51822" w:rsidRDefault="00CE2AA4" w:rsidP="00F315CB">
            <w:pPr>
              <w:widowControl w:val="0"/>
              <w:tabs>
                <w:tab w:val="right" w:pos="7200"/>
              </w:tabs>
              <w:rPr>
                <w:rFonts w:ascii="Arial" w:hAnsi="Arial" w:cs="Arial"/>
                <w:b/>
                <w:snapToGrid w:val="0"/>
                <w:color w:val="000000"/>
              </w:rPr>
            </w:pPr>
            <w:r w:rsidRPr="00B51822">
              <w:rPr>
                <w:rFonts w:ascii="Arial" w:hAnsi="Arial" w:cs="Arial"/>
                <w:b/>
                <w:snapToGrid w:val="0"/>
                <w:color w:val="000000"/>
              </w:rPr>
              <w:t>Total</w:t>
            </w:r>
            <w:r w:rsidR="00B878CC" w:rsidRPr="00B51822">
              <w:rPr>
                <w:rFonts w:ascii="Arial" w:hAnsi="Arial" w:cs="Arial"/>
                <w:b/>
                <w:snapToGrid w:val="0"/>
                <w:color w:val="000000"/>
              </w:rPr>
              <w:t xml:space="preserve"> financial</w:t>
            </w:r>
            <w:r w:rsidRPr="00B51822">
              <w:rPr>
                <w:rFonts w:ascii="Arial" w:hAnsi="Arial" w:cs="Arial"/>
                <w:b/>
                <w:snapToGrid w:val="0"/>
                <w:color w:val="000000"/>
              </w:rPr>
              <w:t xml:space="preserve"> liabilities</w:t>
            </w:r>
          </w:p>
        </w:tc>
        <w:tc>
          <w:tcPr>
            <w:tcW w:w="1200" w:type="dxa"/>
            <w:tcBorders>
              <w:top w:val="single" w:sz="4" w:space="0" w:color="auto"/>
              <w:bottom w:val="single" w:sz="4" w:space="0" w:color="auto"/>
            </w:tcBorders>
          </w:tcPr>
          <w:p w:rsidR="00CE2AA4" w:rsidRPr="00146E38" w:rsidRDefault="0020346B"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w:t>
            </w:r>
            <w:r w:rsidR="00C87B3F" w:rsidRPr="00146E38">
              <w:rPr>
                <w:rFonts w:ascii="Arial" w:hAnsi="Arial" w:cs="Arial"/>
                <w:b/>
                <w:snapToGrid w:val="0"/>
                <w:color w:val="000000"/>
              </w:rPr>
              <w:t>431</w:t>
            </w:r>
          </w:p>
        </w:tc>
        <w:tc>
          <w:tcPr>
            <w:tcW w:w="1320" w:type="dxa"/>
            <w:tcBorders>
              <w:top w:val="single" w:sz="4" w:space="0" w:color="auto"/>
              <w:bottom w:val="single" w:sz="4" w:space="0" w:color="auto"/>
            </w:tcBorders>
          </w:tcPr>
          <w:p w:rsidR="00CE2AA4" w:rsidRPr="00146E38" w:rsidRDefault="007246B0"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0</w:t>
            </w:r>
          </w:p>
        </w:tc>
        <w:tc>
          <w:tcPr>
            <w:tcW w:w="1560" w:type="dxa"/>
            <w:tcBorders>
              <w:top w:val="single" w:sz="4" w:space="0" w:color="auto"/>
              <w:bottom w:val="single" w:sz="4" w:space="0" w:color="auto"/>
            </w:tcBorders>
          </w:tcPr>
          <w:p w:rsidR="00CE2AA4" w:rsidRPr="00146E38" w:rsidRDefault="007246B0"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0</w:t>
            </w:r>
          </w:p>
        </w:tc>
        <w:tc>
          <w:tcPr>
            <w:tcW w:w="1149" w:type="dxa"/>
            <w:tcBorders>
              <w:top w:val="single" w:sz="4" w:space="0" w:color="auto"/>
              <w:bottom w:val="single" w:sz="4" w:space="0" w:color="auto"/>
            </w:tcBorders>
          </w:tcPr>
          <w:p w:rsidR="00CE2AA4" w:rsidRPr="00146E38" w:rsidRDefault="00931708"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w:t>
            </w:r>
            <w:r w:rsidR="00C87B3F" w:rsidRPr="00146E38">
              <w:rPr>
                <w:rFonts w:ascii="Arial" w:hAnsi="Arial" w:cs="Arial"/>
                <w:b/>
                <w:snapToGrid w:val="0"/>
                <w:color w:val="000000"/>
              </w:rPr>
              <w:t>431</w:t>
            </w:r>
          </w:p>
        </w:tc>
      </w:tr>
      <w:tr w:rsidR="00CE2AA4" w:rsidRPr="003D2F7A" w:rsidTr="0008327B">
        <w:trPr>
          <w:trHeight w:val="248"/>
        </w:trPr>
        <w:tc>
          <w:tcPr>
            <w:tcW w:w="2520" w:type="dxa"/>
          </w:tcPr>
          <w:p w:rsidR="00CE2AA4" w:rsidRPr="00B51822" w:rsidRDefault="00CE2AA4" w:rsidP="00F315CB">
            <w:pPr>
              <w:widowControl w:val="0"/>
              <w:tabs>
                <w:tab w:val="right" w:pos="7200"/>
              </w:tabs>
              <w:rPr>
                <w:rFonts w:ascii="Arial" w:hAnsi="Arial" w:cs="Arial"/>
                <w:b/>
                <w:snapToGrid w:val="0"/>
                <w:color w:val="000000"/>
              </w:rPr>
            </w:pPr>
            <w:r w:rsidRPr="00B51822">
              <w:rPr>
                <w:rFonts w:ascii="Arial" w:hAnsi="Arial" w:cs="Arial"/>
                <w:b/>
                <w:snapToGrid w:val="0"/>
                <w:color w:val="000000"/>
              </w:rPr>
              <w:t>Net f</w:t>
            </w:r>
            <w:r w:rsidR="00B878CC" w:rsidRPr="00B51822">
              <w:rPr>
                <w:rFonts w:ascii="Arial" w:hAnsi="Arial" w:cs="Arial"/>
                <w:b/>
                <w:snapToGrid w:val="0"/>
                <w:color w:val="000000"/>
              </w:rPr>
              <w:t>inancial assets</w:t>
            </w:r>
          </w:p>
        </w:tc>
        <w:tc>
          <w:tcPr>
            <w:tcW w:w="1200" w:type="dxa"/>
            <w:tcBorders>
              <w:top w:val="single" w:sz="4" w:space="0" w:color="auto"/>
              <w:bottom w:val="single" w:sz="4" w:space="0" w:color="auto"/>
            </w:tcBorders>
          </w:tcPr>
          <w:p w:rsidR="00CE2AA4" w:rsidRPr="00146E38" w:rsidRDefault="00146E38"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420,739</w:t>
            </w:r>
          </w:p>
        </w:tc>
        <w:tc>
          <w:tcPr>
            <w:tcW w:w="1320" w:type="dxa"/>
            <w:tcBorders>
              <w:top w:val="single" w:sz="4" w:space="0" w:color="auto"/>
              <w:bottom w:val="single" w:sz="4" w:space="0" w:color="auto"/>
            </w:tcBorders>
          </w:tcPr>
          <w:p w:rsidR="00CE2AA4" w:rsidRPr="00146E38" w:rsidRDefault="00E1259E"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0</w:t>
            </w:r>
          </w:p>
        </w:tc>
        <w:tc>
          <w:tcPr>
            <w:tcW w:w="1560" w:type="dxa"/>
            <w:tcBorders>
              <w:top w:val="single" w:sz="4" w:space="0" w:color="auto"/>
              <w:bottom w:val="single" w:sz="4" w:space="0" w:color="auto"/>
            </w:tcBorders>
          </w:tcPr>
          <w:p w:rsidR="00CE2AA4" w:rsidRPr="00146E38" w:rsidRDefault="00AC03B9"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1</w:t>
            </w:r>
            <w:r w:rsidR="000702F7" w:rsidRPr="00146E38">
              <w:rPr>
                <w:rFonts w:ascii="Arial" w:hAnsi="Arial" w:cs="Arial"/>
                <w:b/>
                <w:snapToGrid w:val="0"/>
                <w:color w:val="000000"/>
              </w:rPr>
              <w:t>27,144</w:t>
            </w:r>
          </w:p>
        </w:tc>
        <w:tc>
          <w:tcPr>
            <w:tcW w:w="1149" w:type="dxa"/>
            <w:tcBorders>
              <w:top w:val="single" w:sz="4" w:space="0" w:color="auto"/>
              <w:bottom w:val="single" w:sz="4" w:space="0" w:color="auto"/>
            </w:tcBorders>
          </w:tcPr>
          <w:p w:rsidR="00CE2AA4" w:rsidRPr="00146E38" w:rsidRDefault="00146E38" w:rsidP="00F315CB">
            <w:pPr>
              <w:widowControl w:val="0"/>
              <w:tabs>
                <w:tab w:val="right" w:pos="7200"/>
              </w:tabs>
              <w:jc w:val="right"/>
              <w:rPr>
                <w:rFonts w:ascii="Arial" w:hAnsi="Arial" w:cs="Arial"/>
                <w:b/>
                <w:snapToGrid w:val="0"/>
                <w:color w:val="000000"/>
              </w:rPr>
            </w:pPr>
            <w:r w:rsidRPr="00146E38">
              <w:rPr>
                <w:rFonts w:ascii="Arial" w:hAnsi="Arial" w:cs="Arial"/>
                <w:b/>
                <w:snapToGrid w:val="0"/>
                <w:color w:val="000000"/>
              </w:rPr>
              <w:t>547,883</w:t>
            </w:r>
          </w:p>
        </w:tc>
      </w:tr>
    </w:tbl>
    <w:p w:rsidR="00306300" w:rsidRPr="003D2F7A" w:rsidRDefault="00306300" w:rsidP="00C44A86">
      <w:pPr>
        <w:widowControl w:val="0"/>
        <w:tabs>
          <w:tab w:val="right" w:pos="7200"/>
        </w:tabs>
        <w:rPr>
          <w:rFonts w:ascii="Arial" w:hAnsi="Arial" w:cs="Arial"/>
          <w:snapToGrid w:val="0"/>
          <w:color w:val="000000"/>
          <w:sz w:val="24"/>
          <w:highlight w:val="yellow"/>
        </w:rPr>
      </w:pPr>
    </w:p>
    <w:p w:rsidR="00AC1F66" w:rsidRPr="003D2F7A" w:rsidRDefault="00AC1F66" w:rsidP="00C44A86">
      <w:pPr>
        <w:widowControl w:val="0"/>
        <w:tabs>
          <w:tab w:val="right" w:pos="7200"/>
        </w:tabs>
        <w:rPr>
          <w:rFonts w:ascii="Arial" w:hAnsi="Arial" w:cs="Arial"/>
          <w:snapToGrid w:val="0"/>
          <w:color w:val="000000"/>
          <w:sz w:val="24"/>
          <w:highlight w:val="yellow"/>
        </w:rPr>
      </w:pPr>
    </w:p>
    <w:p w:rsidR="00AC1F66" w:rsidRPr="003B115D" w:rsidRDefault="00AC1F66" w:rsidP="00C44A86">
      <w:pPr>
        <w:widowControl w:val="0"/>
        <w:tabs>
          <w:tab w:val="right" w:pos="7200"/>
        </w:tabs>
        <w:rPr>
          <w:rFonts w:ascii="Arial" w:hAnsi="Arial" w:cs="Arial"/>
          <w:snapToGrid w:val="0"/>
          <w:color w:val="000000"/>
          <w:sz w:val="24"/>
        </w:rPr>
      </w:pPr>
    </w:p>
    <w:tbl>
      <w:tblPr>
        <w:tblW w:w="7749" w:type="dxa"/>
        <w:tblInd w:w="-132" w:type="dxa"/>
        <w:tblLayout w:type="fixed"/>
        <w:tblLook w:val="0000" w:firstRow="0" w:lastRow="0" w:firstColumn="0" w:lastColumn="0" w:noHBand="0" w:noVBand="0"/>
      </w:tblPr>
      <w:tblGrid>
        <w:gridCol w:w="2520"/>
        <w:gridCol w:w="1200"/>
        <w:gridCol w:w="1320"/>
        <w:gridCol w:w="1560"/>
        <w:gridCol w:w="1149"/>
      </w:tblGrid>
      <w:tr w:rsidR="00AC1F66" w:rsidRPr="003B115D" w:rsidTr="00DB1863">
        <w:trPr>
          <w:trHeight w:val="1101"/>
        </w:trPr>
        <w:tc>
          <w:tcPr>
            <w:tcW w:w="2520" w:type="dxa"/>
          </w:tcPr>
          <w:p w:rsidR="00AC1F66" w:rsidRPr="003B115D" w:rsidRDefault="00AC1F66" w:rsidP="00F315CB">
            <w:pPr>
              <w:widowControl w:val="0"/>
              <w:tabs>
                <w:tab w:val="right" w:pos="7200"/>
              </w:tabs>
              <w:rPr>
                <w:rFonts w:ascii="Arial" w:hAnsi="Arial" w:cs="Arial"/>
                <w:b/>
                <w:snapToGrid w:val="0"/>
                <w:color w:val="000000"/>
              </w:rPr>
            </w:pPr>
          </w:p>
        </w:tc>
        <w:tc>
          <w:tcPr>
            <w:tcW w:w="1200" w:type="dxa"/>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Quoted market price</w:t>
            </w:r>
          </w:p>
        </w:tc>
        <w:tc>
          <w:tcPr>
            <w:tcW w:w="1320" w:type="dxa"/>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Using observable inputs</w:t>
            </w:r>
          </w:p>
        </w:tc>
        <w:tc>
          <w:tcPr>
            <w:tcW w:w="1560" w:type="dxa"/>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With significant unobservable inputs</w:t>
            </w:r>
          </w:p>
        </w:tc>
        <w:tc>
          <w:tcPr>
            <w:tcW w:w="1149" w:type="dxa"/>
          </w:tcPr>
          <w:p w:rsidR="00AC1F66" w:rsidRPr="003B115D" w:rsidRDefault="00AC1F66" w:rsidP="00F315CB">
            <w:pPr>
              <w:widowControl w:val="0"/>
              <w:tabs>
                <w:tab w:val="right" w:pos="7200"/>
              </w:tabs>
              <w:jc w:val="right"/>
              <w:rPr>
                <w:rFonts w:ascii="Arial" w:hAnsi="Arial" w:cs="Arial"/>
                <w:b/>
                <w:snapToGrid w:val="0"/>
                <w:color w:val="000000"/>
              </w:rPr>
            </w:pPr>
          </w:p>
        </w:tc>
      </w:tr>
      <w:tr w:rsidR="00AC1F66" w:rsidRPr="003B115D" w:rsidTr="00DB1863">
        <w:trPr>
          <w:trHeight w:val="287"/>
        </w:trPr>
        <w:tc>
          <w:tcPr>
            <w:tcW w:w="2520" w:type="dxa"/>
            <w:vAlign w:val="center"/>
          </w:tcPr>
          <w:p w:rsidR="00AC1F66" w:rsidRPr="003B115D" w:rsidRDefault="003B115D" w:rsidP="00F315CB">
            <w:pPr>
              <w:widowControl w:val="0"/>
              <w:tabs>
                <w:tab w:val="right" w:pos="7200"/>
              </w:tabs>
              <w:jc w:val="center"/>
              <w:rPr>
                <w:rFonts w:ascii="Arial" w:hAnsi="Arial" w:cs="Arial"/>
                <w:b/>
                <w:snapToGrid w:val="0"/>
                <w:color w:val="000000"/>
              </w:rPr>
            </w:pPr>
            <w:r w:rsidRPr="003B115D">
              <w:rPr>
                <w:rFonts w:ascii="Arial" w:hAnsi="Arial" w:cs="Arial"/>
                <w:b/>
                <w:snapToGrid w:val="0"/>
                <w:color w:val="000000"/>
              </w:rPr>
              <w:t>Values at 31 March 2012</w:t>
            </w:r>
          </w:p>
        </w:tc>
        <w:tc>
          <w:tcPr>
            <w:tcW w:w="1200"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Level 1</w:t>
            </w:r>
          </w:p>
        </w:tc>
        <w:tc>
          <w:tcPr>
            <w:tcW w:w="1320"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Level 2</w:t>
            </w:r>
          </w:p>
        </w:tc>
        <w:tc>
          <w:tcPr>
            <w:tcW w:w="1560"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Level 3</w:t>
            </w:r>
          </w:p>
        </w:tc>
        <w:tc>
          <w:tcPr>
            <w:tcW w:w="1149"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Total</w:t>
            </w:r>
          </w:p>
        </w:tc>
      </w:tr>
      <w:tr w:rsidR="00AC1F66" w:rsidRPr="003D2F7A" w:rsidTr="00DB1863">
        <w:trPr>
          <w:trHeight w:val="287"/>
        </w:trPr>
        <w:tc>
          <w:tcPr>
            <w:tcW w:w="2520" w:type="dxa"/>
          </w:tcPr>
          <w:p w:rsidR="00AC1F66" w:rsidRPr="003B115D" w:rsidRDefault="00AC1F66" w:rsidP="00F315CB">
            <w:pPr>
              <w:widowControl w:val="0"/>
              <w:tabs>
                <w:tab w:val="right" w:pos="7200"/>
              </w:tabs>
              <w:rPr>
                <w:rFonts w:ascii="Arial" w:hAnsi="Arial" w:cs="Arial"/>
                <w:snapToGrid w:val="0"/>
                <w:color w:val="000000"/>
              </w:rPr>
            </w:pPr>
          </w:p>
        </w:tc>
        <w:tc>
          <w:tcPr>
            <w:tcW w:w="1200"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£’000</w:t>
            </w:r>
          </w:p>
        </w:tc>
        <w:tc>
          <w:tcPr>
            <w:tcW w:w="1320"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£’000</w:t>
            </w:r>
          </w:p>
        </w:tc>
        <w:tc>
          <w:tcPr>
            <w:tcW w:w="1560"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£’000</w:t>
            </w:r>
          </w:p>
        </w:tc>
        <w:tc>
          <w:tcPr>
            <w:tcW w:w="1149" w:type="dxa"/>
            <w:vAlign w:val="center"/>
          </w:tcPr>
          <w:p w:rsidR="00AC1F66" w:rsidRPr="003B115D" w:rsidRDefault="00AC1F66" w:rsidP="00F315CB">
            <w:pPr>
              <w:widowControl w:val="0"/>
              <w:tabs>
                <w:tab w:val="right" w:pos="7200"/>
              </w:tabs>
              <w:jc w:val="right"/>
              <w:rPr>
                <w:rFonts w:ascii="Arial" w:hAnsi="Arial" w:cs="Arial"/>
                <w:b/>
                <w:snapToGrid w:val="0"/>
                <w:color w:val="000000"/>
              </w:rPr>
            </w:pPr>
            <w:r w:rsidRPr="003B115D">
              <w:rPr>
                <w:rFonts w:ascii="Arial" w:hAnsi="Arial" w:cs="Arial"/>
                <w:b/>
                <w:snapToGrid w:val="0"/>
                <w:color w:val="000000"/>
              </w:rPr>
              <w:t>£’000</w:t>
            </w:r>
          </w:p>
        </w:tc>
      </w:tr>
      <w:tr w:rsidR="00AC1F66" w:rsidRPr="00C87CA8" w:rsidTr="00DB1863">
        <w:trPr>
          <w:trHeight w:val="276"/>
        </w:trPr>
        <w:tc>
          <w:tcPr>
            <w:tcW w:w="2520" w:type="dxa"/>
          </w:tcPr>
          <w:p w:rsidR="00AC1F66" w:rsidRPr="00C87CA8" w:rsidRDefault="00AC1F66" w:rsidP="00F315CB">
            <w:pPr>
              <w:widowControl w:val="0"/>
              <w:tabs>
                <w:tab w:val="right" w:pos="7200"/>
              </w:tabs>
              <w:rPr>
                <w:rFonts w:ascii="Arial" w:hAnsi="Arial" w:cs="Arial"/>
                <w:b/>
                <w:snapToGrid w:val="0"/>
                <w:color w:val="000000"/>
              </w:rPr>
            </w:pPr>
            <w:r w:rsidRPr="00C87CA8">
              <w:rPr>
                <w:rFonts w:ascii="Arial" w:hAnsi="Arial" w:cs="Arial"/>
                <w:b/>
                <w:snapToGrid w:val="0"/>
                <w:color w:val="000000"/>
              </w:rPr>
              <w:t>Financial assets</w:t>
            </w:r>
          </w:p>
        </w:tc>
        <w:tc>
          <w:tcPr>
            <w:tcW w:w="120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32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56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149" w:type="dxa"/>
          </w:tcPr>
          <w:p w:rsidR="00AC1F66" w:rsidRPr="00C87CA8" w:rsidRDefault="00AC1F66" w:rsidP="00F315CB">
            <w:pPr>
              <w:widowControl w:val="0"/>
              <w:tabs>
                <w:tab w:val="right" w:pos="7200"/>
              </w:tabs>
              <w:jc w:val="right"/>
              <w:rPr>
                <w:rFonts w:ascii="Arial" w:hAnsi="Arial" w:cs="Arial"/>
                <w:b/>
                <w:snapToGrid w:val="0"/>
                <w:color w:val="000000"/>
              </w:rPr>
            </w:pPr>
          </w:p>
        </w:tc>
      </w:tr>
      <w:tr w:rsidR="00AC1F66" w:rsidRPr="00C87CA8" w:rsidTr="00DB1863">
        <w:trPr>
          <w:trHeight w:val="466"/>
        </w:trPr>
        <w:tc>
          <w:tcPr>
            <w:tcW w:w="2520" w:type="dxa"/>
          </w:tcPr>
          <w:p w:rsidR="00AC1F66" w:rsidRPr="00C87CA8" w:rsidRDefault="00AC1F66" w:rsidP="00F315CB">
            <w:pPr>
              <w:widowControl w:val="0"/>
              <w:tabs>
                <w:tab w:val="right" w:pos="7200"/>
              </w:tabs>
              <w:rPr>
                <w:rFonts w:ascii="Arial" w:hAnsi="Arial" w:cs="Arial"/>
                <w:snapToGrid w:val="0"/>
                <w:color w:val="000000"/>
              </w:rPr>
            </w:pPr>
            <w:r w:rsidRPr="00C87CA8">
              <w:rPr>
                <w:rFonts w:ascii="Arial" w:hAnsi="Arial" w:cs="Arial"/>
                <w:snapToGrid w:val="0"/>
                <w:color w:val="000000"/>
              </w:rPr>
              <w:t>Financial assets at fair value through profit and loss</w:t>
            </w:r>
          </w:p>
        </w:tc>
        <w:tc>
          <w:tcPr>
            <w:tcW w:w="1200" w:type="dxa"/>
          </w:tcPr>
          <w:p w:rsidR="00AC1F66" w:rsidRPr="00C87CA8" w:rsidRDefault="000268CC"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363,601</w:t>
            </w:r>
          </w:p>
        </w:tc>
        <w:tc>
          <w:tcPr>
            <w:tcW w:w="132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560" w:type="dxa"/>
          </w:tcPr>
          <w:p w:rsidR="00AC1F66" w:rsidRPr="00C87CA8" w:rsidRDefault="00DB1863"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1</w:t>
            </w:r>
            <w:r w:rsidR="00684056" w:rsidRPr="00C87CA8">
              <w:rPr>
                <w:rFonts w:ascii="Arial" w:hAnsi="Arial" w:cs="Arial"/>
                <w:snapToGrid w:val="0"/>
                <w:color w:val="000000"/>
              </w:rPr>
              <w:t>21,223</w:t>
            </w:r>
          </w:p>
        </w:tc>
        <w:tc>
          <w:tcPr>
            <w:tcW w:w="1149" w:type="dxa"/>
          </w:tcPr>
          <w:p w:rsidR="00AC1F66" w:rsidRPr="00C87CA8" w:rsidRDefault="007B40F3"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484,824</w:t>
            </w:r>
          </w:p>
        </w:tc>
      </w:tr>
      <w:tr w:rsidR="00AC1F66" w:rsidRPr="00C87CA8" w:rsidTr="00DB1863">
        <w:trPr>
          <w:trHeight w:val="493"/>
        </w:trPr>
        <w:tc>
          <w:tcPr>
            <w:tcW w:w="2520" w:type="dxa"/>
          </w:tcPr>
          <w:p w:rsidR="00AC1F66" w:rsidRPr="00C87CA8" w:rsidRDefault="00AC1F66" w:rsidP="00F315CB">
            <w:pPr>
              <w:widowControl w:val="0"/>
              <w:tabs>
                <w:tab w:val="right" w:pos="7200"/>
              </w:tabs>
              <w:rPr>
                <w:rFonts w:ascii="Arial" w:hAnsi="Arial" w:cs="Arial"/>
                <w:snapToGrid w:val="0"/>
                <w:color w:val="000000"/>
              </w:rPr>
            </w:pPr>
            <w:r w:rsidRPr="00C87CA8">
              <w:rPr>
                <w:rFonts w:ascii="Arial" w:hAnsi="Arial" w:cs="Arial"/>
                <w:snapToGrid w:val="0"/>
                <w:color w:val="000000"/>
              </w:rPr>
              <w:t>Loans and receivables</w:t>
            </w:r>
          </w:p>
        </w:tc>
        <w:tc>
          <w:tcPr>
            <w:tcW w:w="1200" w:type="dxa"/>
            <w:tcBorders>
              <w:bottom w:val="single" w:sz="4" w:space="0" w:color="auto"/>
            </w:tcBorders>
          </w:tcPr>
          <w:p w:rsidR="00AC1F66" w:rsidRPr="00C87CA8" w:rsidRDefault="00DB1863"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1</w:t>
            </w:r>
            <w:r w:rsidR="007B40F3" w:rsidRPr="00C87CA8">
              <w:rPr>
                <w:rFonts w:ascii="Arial" w:hAnsi="Arial" w:cs="Arial"/>
                <w:snapToGrid w:val="0"/>
                <w:color w:val="000000"/>
              </w:rPr>
              <w:t>0,87</w:t>
            </w:r>
            <w:r w:rsidR="001C510E" w:rsidRPr="00C87CA8">
              <w:rPr>
                <w:rFonts w:ascii="Arial" w:hAnsi="Arial" w:cs="Arial"/>
                <w:snapToGrid w:val="0"/>
                <w:color w:val="000000"/>
              </w:rPr>
              <w:t>6</w:t>
            </w:r>
          </w:p>
        </w:tc>
        <w:tc>
          <w:tcPr>
            <w:tcW w:w="1320" w:type="dxa"/>
            <w:tcBorders>
              <w:bottom w:val="single" w:sz="4" w:space="0" w:color="auto"/>
            </w:tcBorders>
          </w:tcPr>
          <w:p w:rsidR="00AC1F66" w:rsidRPr="00C87CA8" w:rsidRDefault="00AC1F66" w:rsidP="00F315CB">
            <w:pPr>
              <w:widowControl w:val="0"/>
              <w:tabs>
                <w:tab w:val="right" w:pos="7200"/>
              </w:tabs>
              <w:jc w:val="right"/>
              <w:rPr>
                <w:rFonts w:ascii="Arial" w:hAnsi="Arial" w:cs="Arial"/>
                <w:snapToGrid w:val="0"/>
                <w:color w:val="000000"/>
              </w:rPr>
            </w:pPr>
          </w:p>
        </w:tc>
        <w:tc>
          <w:tcPr>
            <w:tcW w:w="156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149" w:type="dxa"/>
          </w:tcPr>
          <w:p w:rsidR="00AC1F66" w:rsidRPr="00C87CA8" w:rsidRDefault="00DB1863"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1</w:t>
            </w:r>
            <w:r w:rsidR="007B40F3" w:rsidRPr="00C87CA8">
              <w:rPr>
                <w:rFonts w:ascii="Arial" w:hAnsi="Arial" w:cs="Arial"/>
                <w:snapToGrid w:val="0"/>
                <w:color w:val="000000"/>
              </w:rPr>
              <w:t>0,87</w:t>
            </w:r>
            <w:r w:rsidR="001C510E" w:rsidRPr="00C87CA8">
              <w:rPr>
                <w:rFonts w:ascii="Arial" w:hAnsi="Arial" w:cs="Arial"/>
                <w:snapToGrid w:val="0"/>
                <w:color w:val="000000"/>
              </w:rPr>
              <w:t>6</w:t>
            </w:r>
          </w:p>
        </w:tc>
      </w:tr>
      <w:tr w:rsidR="00AC1F66" w:rsidRPr="00C87CA8" w:rsidTr="00DB1863">
        <w:trPr>
          <w:trHeight w:val="421"/>
        </w:trPr>
        <w:tc>
          <w:tcPr>
            <w:tcW w:w="2520" w:type="dxa"/>
          </w:tcPr>
          <w:p w:rsidR="00AC1F66" w:rsidRPr="00C87CA8" w:rsidRDefault="00AC1F66" w:rsidP="00F315CB">
            <w:pPr>
              <w:widowControl w:val="0"/>
              <w:tabs>
                <w:tab w:val="right" w:pos="7200"/>
              </w:tabs>
              <w:rPr>
                <w:rFonts w:ascii="Arial" w:hAnsi="Arial" w:cs="Arial"/>
                <w:b/>
                <w:snapToGrid w:val="0"/>
                <w:color w:val="000000"/>
              </w:rPr>
            </w:pPr>
            <w:r w:rsidRPr="00C87CA8">
              <w:rPr>
                <w:rFonts w:ascii="Arial" w:hAnsi="Arial" w:cs="Arial"/>
                <w:b/>
                <w:snapToGrid w:val="0"/>
                <w:color w:val="000000"/>
              </w:rPr>
              <w:t>Total financial assets</w:t>
            </w:r>
          </w:p>
        </w:tc>
        <w:tc>
          <w:tcPr>
            <w:tcW w:w="1200" w:type="dxa"/>
            <w:tcBorders>
              <w:top w:val="single" w:sz="4" w:space="0" w:color="auto"/>
            </w:tcBorders>
          </w:tcPr>
          <w:p w:rsidR="00AC1F66" w:rsidRPr="00C87CA8" w:rsidRDefault="000268CC"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374,47</w:t>
            </w:r>
            <w:r w:rsidR="001C510E" w:rsidRPr="00C87CA8">
              <w:rPr>
                <w:rFonts w:ascii="Arial" w:hAnsi="Arial" w:cs="Arial"/>
                <w:b/>
                <w:snapToGrid w:val="0"/>
                <w:color w:val="000000"/>
              </w:rPr>
              <w:t>7</w:t>
            </w:r>
          </w:p>
        </w:tc>
        <w:tc>
          <w:tcPr>
            <w:tcW w:w="1320" w:type="dxa"/>
            <w:tcBorders>
              <w:top w:val="single" w:sz="4" w:space="0" w:color="auto"/>
            </w:tcBorders>
          </w:tcPr>
          <w:p w:rsidR="00AC1F66" w:rsidRPr="00C87CA8" w:rsidRDefault="007B40F3"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0</w:t>
            </w:r>
          </w:p>
        </w:tc>
        <w:tc>
          <w:tcPr>
            <w:tcW w:w="1560" w:type="dxa"/>
            <w:tcBorders>
              <w:top w:val="single" w:sz="4" w:space="0" w:color="auto"/>
            </w:tcBorders>
          </w:tcPr>
          <w:p w:rsidR="00AC1F66" w:rsidRPr="00C87CA8" w:rsidRDefault="00DB1863"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1</w:t>
            </w:r>
            <w:r w:rsidR="000268CC" w:rsidRPr="00C87CA8">
              <w:rPr>
                <w:rFonts w:ascii="Arial" w:hAnsi="Arial" w:cs="Arial"/>
                <w:b/>
                <w:snapToGrid w:val="0"/>
                <w:color w:val="000000"/>
              </w:rPr>
              <w:t>21,223</w:t>
            </w:r>
          </w:p>
        </w:tc>
        <w:tc>
          <w:tcPr>
            <w:tcW w:w="1149" w:type="dxa"/>
            <w:tcBorders>
              <w:top w:val="single" w:sz="4" w:space="0" w:color="auto"/>
            </w:tcBorders>
          </w:tcPr>
          <w:p w:rsidR="00AC1F66" w:rsidRPr="00C87CA8" w:rsidRDefault="00B106C2"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495,</w:t>
            </w:r>
            <w:r w:rsidR="001C510E" w:rsidRPr="00C87CA8">
              <w:rPr>
                <w:rFonts w:ascii="Arial" w:hAnsi="Arial" w:cs="Arial"/>
                <w:b/>
                <w:snapToGrid w:val="0"/>
                <w:color w:val="000000"/>
              </w:rPr>
              <w:t>700</w:t>
            </w:r>
          </w:p>
        </w:tc>
      </w:tr>
      <w:tr w:rsidR="00AC1F66" w:rsidRPr="00C87CA8" w:rsidTr="00DB1863">
        <w:trPr>
          <w:trHeight w:val="341"/>
        </w:trPr>
        <w:tc>
          <w:tcPr>
            <w:tcW w:w="2520" w:type="dxa"/>
          </w:tcPr>
          <w:p w:rsidR="00AC1F66" w:rsidRPr="00C87CA8" w:rsidRDefault="00AC1F66" w:rsidP="00F315CB">
            <w:pPr>
              <w:widowControl w:val="0"/>
              <w:tabs>
                <w:tab w:val="right" w:pos="7200"/>
              </w:tabs>
              <w:rPr>
                <w:rFonts w:ascii="Arial" w:hAnsi="Arial" w:cs="Arial"/>
                <w:b/>
                <w:snapToGrid w:val="0"/>
                <w:color w:val="000000"/>
              </w:rPr>
            </w:pPr>
            <w:r w:rsidRPr="00C87CA8">
              <w:rPr>
                <w:rFonts w:ascii="Arial" w:hAnsi="Arial" w:cs="Arial"/>
                <w:b/>
                <w:snapToGrid w:val="0"/>
                <w:color w:val="000000"/>
              </w:rPr>
              <w:t>Financial liabilities</w:t>
            </w:r>
          </w:p>
        </w:tc>
        <w:tc>
          <w:tcPr>
            <w:tcW w:w="120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32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560" w:type="dxa"/>
          </w:tcPr>
          <w:p w:rsidR="00AC1F66" w:rsidRPr="00C87CA8" w:rsidRDefault="00AC1F66" w:rsidP="00F315CB">
            <w:pPr>
              <w:widowControl w:val="0"/>
              <w:tabs>
                <w:tab w:val="right" w:pos="7200"/>
              </w:tabs>
              <w:jc w:val="right"/>
              <w:rPr>
                <w:rFonts w:ascii="Arial" w:hAnsi="Arial" w:cs="Arial"/>
                <w:snapToGrid w:val="0"/>
                <w:color w:val="000000"/>
              </w:rPr>
            </w:pPr>
          </w:p>
        </w:tc>
        <w:tc>
          <w:tcPr>
            <w:tcW w:w="1149" w:type="dxa"/>
          </w:tcPr>
          <w:p w:rsidR="00AC1F66" w:rsidRPr="00C87CA8" w:rsidRDefault="00AC1F66" w:rsidP="00F315CB">
            <w:pPr>
              <w:widowControl w:val="0"/>
              <w:tabs>
                <w:tab w:val="right" w:pos="7200"/>
              </w:tabs>
              <w:jc w:val="right"/>
              <w:rPr>
                <w:rFonts w:ascii="Arial" w:hAnsi="Arial" w:cs="Arial"/>
                <w:b/>
                <w:snapToGrid w:val="0"/>
                <w:color w:val="000000"/>
              </w:rPr>
            </w:pPr>
          </w:p>
        </w:tc>
      </w:tr>
      <w:tr w:rsidR="00AC1F66" w:rsidRPr="00C87CA8" w:rsidTr="002A180F">
        <w:trPr>
          <w:trHeight w:val="493"/>
        </w:trPr>
        <w:tc>
          <w:tcPr>
            <w:tcW w:w="2520" w:type="dxa"/>
          </w:tcPr>
          <w:p w:rsidR="00AC1F66" w:rsidRPr="00C87CA8" w:rsidRDefault="00AC1F66" w:rsidP="00F315CB">
            <w:pPr>
              <w:widowControl w:val="0"/>
              <w:tabs>
                <w:tab w:val="right" w:pos="7200"/>
              </w:tabs>
              <w:rPr>
                <w:rFonts w:ascii="Arial" w:hAnsi="Arial" w:cs="Arial"/>
                <w:snapToGrid w:val="0"/>
                <w:color w:val="000000"/>
              </w:rPr>
            </w:pPr>
            <w:r w:rsidRPr="00C87CA8">
              <w:rPr>
                <w:rFonts w:ascii="Arial" w:hAnsi="Arial" w:cs="Arial"/>
                <w:snapToGrid w:val="0"/>
                <w:color w:val="000000"/>
              </w:rPr>
              <w:t>Financial liabilities at amortised cost</w:t>
            </w:r>
          </w:p>
        </w:tc>
        <w:tc>
          <w:tcPr>
            <w:tcW w:w="1200" w:type="dxa"/>
            <w:tcBorders>
              <w:bottom w:val="single" w:sz="4" w:space="0" w:color="auto"/>
            </w:tcBorders>
          </w:tcPr>
          <w:p w:rsidR="00AC1F66" w:rsidRPr="00C87CA8" w:rsidRDefault="00931708"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w:t>
            </w:r>
            <w:r w:rsidR="007246B0" w:rsidRPr="00C87CA8">
              <w:rPr>
                <w:rFonts w:ascii="Arial" w:hAnsi="Arial" w:cs="Arial"/>
                <w:snapToGrid w:val="0"/>
                <w:color w:val="000000"/>
              </w:rPr>
              <w:t>1,803</w:t>
            </w:r>
          </w:p>
        </w:tc>
        <w:tc>
          <w:tcPr>
            <w:tcW w:w="1320" w:type="dxa"/>
            <w:tcBorders>
              <w:bottom w:val="single" w:sz="4" w:space="0" w:color="auto"/>
            </w:tcBorders>
          </w:tcPr>
          <w:p w:rsidR="00AC1F66" w:rsidRPr="00C87CA8" w:rsidRDefault="00AC1F66" w:rsidP="00F315CB">
            <w:pPr>
              <w:widowControl w:val="0"/>
              <w:tabs>
                <w:tab w:val="right" w:pos="7200"/>
              </w:tabs>
              <w:jc w:val="right"/>
              <w:rPr>
                <w:rFonts w:ascii="Arial" w:hAnsi="Arial" w:cs="Arial"/>
                <w:snapToGrid w:val="0"/>
                <w:color w:val="000000"/>
              </w:rPr>
            </w:pPr>
          </w:p>
        </w:tc>
        <w:tc>
          <w:tcPr>
            <w:tcW w:w="1560" w:type="dxa"/>
            <w:tcBorders>
              <w:bottom w:val="single" w:sz="4" w:space="0" w:color="auto"/>
            </w:tcBorders>
          </w:tcPr>
          <w:p w:rsidR="00AC1F66" w:rsidRPr="00C87CA8" w:rsidRDefault="00AC1F66" w:rsidP="00F315CB">
            <w:pPr>
              <w:widowControl w:val="0"/>
              <w:tabs>
                <w:tab w:val="right" w:pos="7200"/>
              </w:tabs>
              <w:jc w:val="right"/>
              <w:rPr>
                <w:rFonts w:ascii="Arial" w:hAnsi="Arial" w:cs="Arial"/>
                <w:snapToGrid w:val="0"/>
                <w:color w:val="000000"/>
              </w:rPr>
            </w:pPr>
          </w:p>
        </w:tc>
        <w:tc>
          <w:tcPr>
            <w:tcW w:w="1149" w:type="dxa"/>
          </w:tcPr>
          <w:p w:rsidR="00AC1F66" w:rsidRPr="00C87CA8" w:rsidRDefault="00931708" w:rsidP="00F315CB">
            <w:pPr>
              <w:widowControl w:val="0"/>
              <w:tabs>
                <w:tab w:val="right" w:pos="7200"/>
              </w:tabs>
              <w:jc w:val="right"/>
              <w:rPr>
                <w:rFonts w:ascii="Arial" w:hAnsi="Arial" w:cs="Arial"/>
                <w:snapToGrid w:val="0"/>
                <w:color w:val="000000"/>
              </w:rPr>
            </w:pPr>
            <w:r w:rsidRPr="00C87CA8">
              <w:rPr>
                <w:rFonts w:ascii="Arial" w:hAnsi="Arial" w:cs="Arial"/>
                <w:snapToGrid w:val="0"/>
                <w:color w:val="000000"/>
              </w:rPr>
              <w:t>-</w:t>
            </w:r>
            <w:r w:rsidR="007246B0" w:rsidRPr="00C87CA8">
              <w:rPr>
                <w:rFonts w:ascii="Arial" w:hAnsi="Arial" w:cs="Arial"/>
                <w:snapToGrid w:val="0"/>
                <w:color w:val="000000"/>
              </w:rPr>
              <w:t>1,803</w:t>
            </w:r>
          </w:p>
        </w:tc>
      </w:tr>
      <w:tr w:rsidR="00AC1F66" w:rsidRPr="00C87CA8" w:rsidTr="002A180F">
        <w:trPr>
          <w:trHeight w:val="421"/>
        </w:trPr>
        <w:tc>
          <w:tcPr>
            <w:tcW w:w="2520" w:type="dxa"/>
          </w:tcPr>
          <w:p w:rsidR="00AC1F66" w:rsidRPr="00C87CA8" w:rsidRDefault="00AC1F66" w:rsidP="00F315CB">
            <w:pPr>
              <w:widowControl w:val="0"/>
              <w:tabs>
                <w:tab w:val="right" w:pos="7200"/>
              </w:tabs>
              <w:rPr>
                <w:rFonts w:ascii="Arial" w:hAnsi="Arial" w:cs="Arial"/>
                <w:b/>
                <w:snapToGrid w:val="0"/>
                <w:color w:val="000000"/>
              </w:rPr>
            </w:pPr>
            <w:r w:rsidRPr="00C87CA8">
              <w:rPr>
                <w:rFonts w:ascii="Arial" w:hAnsi="Arial" w:cs="Arial"/>
                <w:b/>
                <w:snapToGrid w:val="0"/>
                <w:color w:val="000000"/>
              </w:rPr>
              <w:t>Total financial liabilities</w:t>
            </w:r>
          </w:p>
        </w:tc>
        <w:tc>
          <w:tcPr>
            <w:tcW w:w="1200" w:type="dxa"/>
            <w:tcBorders>
              <w:top w:val="single" w:sz="4" w:space="0" w:color="auto"/>
              <w:bottom w:val="single" w:sz="4" w:space="0" w:color="auto"/>
            </w:tcBorders>
          </w:tcPr>
          <w:p w:rsidR="00AC1F66" w:rsidRPr="00C87CA8" w:rsidRDefault="00931708"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w:t>
            </w:r>
            <w:r w:rsidR="00B106C2" w:rsidRPr="00C87CA8">
              <w:rPr>
                <w:rFonts w:ascii="Arial" w:hAnsi="Arial" w:cs="Arial"/>
                <w:b/>
                <w:snapToGrid w:val="0"/>
                <w:color w:val="000000"/>
              </w:rPr>
              <w:t>1,803</w:t>
            </w:r>
          </w:p>
        </w:tc>
        <w:tc>
          <w:tcPr>
            <w:tcW w:w="1320" w:type="dxa"/>
            <w:tcBorders>
              <w:top w:val="single" w:sz="4" w:space="0" w:color="auto"/>
              <w:bottom w:val="single" w:sz="4" w:space="0" w:color="auto"/>
            </w:tcBorders>
          </w:tcPr>
          <w:p w:rsidR="00AC1F66" w:rsidRPr="00C87CA8" w:rsidRDefault="007246B0"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0</w:t>
            </w:r>
          </w:p>
        </w:tc>
        <w:tc>
          <w:tcPr>
            <w:tcW w:w="1560" w:type="dxa"/>
            <w:tcBorders>
              <w:top w:val="single" w:sz="4" w:space="0" w:color="auto"/>
              <w:bottom w:val="single" w:sz="4" w:space="0" w:color="auto"/>
            </w:tcBorders>
          </w:tcPr>
          <w:p w:rsidR="00AC1F66" w:rsidRPr="00C87CA8" w:rsidRDefault="007246B0"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0</w:t>
            </w:r>
          </w:p>
        </w:tc>
        <w:tc>
          <w:tcPr>
            <w:tcW w:w="1149" w:type="dxa"/>
            <w:tcBorders>
              <w:top w:val="single" w:sz="4" w:space="0" w:color="auto"/>
              <w:bottom w:val="single" w:sz="4" w:space="0" w:color="auto"/>
            </w:tcBorders>
          </w:tcPr>
          <w:p w:rsidR="00AC1F66" w:rsidRPr="00C87CA8" w:rsidRDefault="00931708"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w:t>
            </w:r>
            <w:r w:rsidR="002A180F" w:rsidRPr="00C87CA8">
              <w:rPr>
                <w:rFonts w:ascii="Arial" w:hAnsi="Arial" w:cs="Arial"/>
                <w:b/>
                <w:snapToGrid w:val="0"/>
                <w:color w:val="000000"/>
              </w:rPr>
              <w:t>1</w:t>
            </w:r>
            <w:r w:rsidR="00B106C2" w:rsidRPr="00C87CA8">
              <w:rPr>
                <w:rFonts w:ascii="Arial" w:hAnsi="Arial" w:cs="Arial"/>
                <w:b/>
                <w:snapToGrid w:val="0"/>
                <w:color w:val="000000"/>
              </w:rPr>
              <w:t>,803</w:t>
            </w:r>
          </w:p>
        </w:tc>
      </w:tr>
      <w:tr w:rsidR="00AC1F66" w:rsidRPr="00C87CA8" w:rsidTr="002A180F">
        <w:trPr>
          <w:trHeight w:val="248"/>
        </w:trPr>
        <w:tc>
          <w:tcPr>
            <w:tcW w:w="2520" w:type="dxa"/>
          </w:tcPr>
          <w:p w:rsidR="00AC1F66" w:rsidRPr="00C87CA8" w:rsidRDefault="00AC1F66" w:rsidP="00F315CB">
            <w:pPr>
              <w:widowControl w:val="0"/>
              <w:tabs>
                <w:tab w:val="right" w:pos="7200"/>
              </w:tabs>
              <w:rPr>
                <w:rFonts w:ascii="Arial" w:hAnsi="Arial" w:cs="Arial"/>
                <w:b/>
                <w:snapToGrid w:val="0"/>
                <w:color w:val="000000"/>
              </w:rPr>
            </w:pPr>
            <w:r w:rsidRPr="00C87CA8">
              <w:rPr>
                <w:rFonts w:ascii="Arial" w:hAnsi="Arial" w:cs="Arial"/>
                <w:b/>
                <w:snapToGrid w:val="0"/>
                <w:color w:val="000000"/>
              </w:rPr>
              <w:t>Net financial assets</w:t>
            </w:r>
          </w:p>
        </w:tc>
        <w:tc>
          <w:tcPr>
            <w:tcW w:w="1200" w:type="dxa"/>
            <w:tcBorders>
              <w:top w:val="single" w:sz="4" w:space="0" w:color="auto"/>
              <w:bottom w:val="single" w:sz="4" w:space="0" w:color="auto"/>
            </w:tcBorders>
          </w:tcPr>
          <w:p w:rsidR="00AC1F66" w:rsidRPr="00C87CA8" w:rsidRDefault="00135020"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372,67</w:t>
            </w:r>
            <w:r w:rsidR="00C87CA8" w:rsidRPr="00C87CA8">
              <w:rPr>
                <w:rFonts w:ascii="Arial" w:hAnsi="Arial" w:cs="Arial"/>
                <w:b/>
                <w:snapToGrid w:val="0"/>
                <w:color w:val="000000"/>
              </w:rPr>
              <w:t>4</w:t>
            </w:r>
          </w:p>
        </w:tc>
        <w:tc>
          <w:tcPr>
            <w:tcW w:w="1320" w:type="dxa"/>
            <w:tcBorders>
              <w:top w:val="single" w:sz="4" w:space="0" w:color="auto"/>
              <w:bottom w:val="single" w:sz="4" w:space="0" w:color="auto"/>
            </w:tcBorders>
          </w:tcPr>
          <w:p w:rsidR="00AC1F66" w:rsidRPr="00C87CA8" w:rsidRDefault="007246B0"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0</w:t>
            </w:r>
          </w:p>
        </w:tc>
        <w:tc>
          <w:tcPr>
            <w:tcW w:w="1560" w:type="dxa"/>
            <w:tcBorders>
              <w:top w:val="single" w:sz="4" w:space="0" w:color="auto"/>
              <w:bottom w:val="single" w:sz="4" w:space="0" w:color="auto"/>
            </w:tcBorders>
          </w:tcPr>
          <w:p w:rsidR="00AC1F66" w:rsidRPr="00C87CA8" w:rsidRDefault="00B106C2"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121,223</w:t>
            </w:r>
          </w:p>
        </w:tc>
        <w:tc>
          <w:tcPr>
            <w:tcW w:w="1149" w:type="dxa"/>
            <w:tcBorders>
              <w:top w:val="single" w:sz="4" w:space="0" w:color="auto"/>
              <w:bottom w:val="single" w:sz="4" w:space="0" w:color="auto"/>
            </w:tcBorders>
          </w:tcPr>
          <w:p w:rsidR="00AC1F66" w:rsidRPr="00C87CA8" w:rsidRDefault="00B106C2" w:rsidP="00F315CB">
            <w:pPr>
              <w:widowControl w:val="0"/>
              <w:tabs>
                <w:tab w:val="right" w:pos="7200"/>
              </w:tabs>
              <w:jc w:val="right"/>
              <w:rPr>
                <w:rFonts w:ascii="Arial" w:hAnsi="Arial" w:cs="Arial"/>
                <w:b/>
                <w:snapToGrid w:val="0"/>
                <w:color w:val="000000"/>
              </w:rPr>
            </w:pPr>
            <w:r w:rsidRPr="00C87CA8">
              <w:rPr>
                <w:rFonts w:ascii="Arial" w:hAnsi="Arial" w:cs="Arial"/>
                <w:b/>
                <w:snapToGrid w:val="0"/>
                <w:color w:val="000000"/>
              </w:rPr>
              <w:t>493,89</w:t>
            </w:r>
            <w:r w:rsidR="00C87CA8" w:rsidRPr="00C87CA8">
              <w:rPr>
                <w:rFonts w:ascii="Arial" w:hAnsi="Arial" w:cs="Arial"/>
                <w:b/>
                <w:snapToGrid w:val="0"/>
                <w:color w:val="000000"/>
              </w:rPr>
              <w:t>7</w:t>
            </w:r>
          </w:p>
        </w:tc>
      </w:tr>
    </w:tbl>
    <w:p w:rsidR="00A34150" w:rsidRPr="00C87CA8" w:rsidRDefault="00A34150" w:rsidP="00E30BFB">
      <w:pPr>
        <w:widowControl w:val="0"/>
        <w:tabs>
          <w:tab w:val="right" w:pos="7200"/>
        </w:tabs>
        <w:rPr>
          <w:rFonts w:ascii="Arial" w:hAnsi="Arial" w:cs="Arial"/>
          <w:snapToGrid w:val="0"/>
          <w:color w:val="000000"/>
          <w:sz w:val="24"/>
        </w:rPr>
      </w:pPr>
    </w:p>
    <w:p w:rsidR="008B7AFE" w:rsidRPr="003954BF" w:rsidRDefault="00AC1F66" w:rsidP="005A653B">
      <w:pPr>
        <w:widowControl w:val="0"/>
        <w:tabs>
          <w:tab w:val="right" w:pos="7200"/>
        </w:tabs>
        <w:rPr>
          <w:rFonts w:ascii="Arial" w:hAnsi="Arial" w:cs="Arial"/>
          <w:snapToGrid w:val="0"/>
          <w:color w:val="000000"/>
          <w:sz w:val="24"/>
        </w:rPr>
      </w:pPr>
      <w:r w:rsidRPr="003D2F7A">
        <w:rPr>
          <w:rFonts w:ascii="Arial" w:hAnsi="Arial" w:cs="Arial"/>
          <w:snapToGrid w:val="0"/>
          <w:color w:val="000000"/>
          <w:sz w:val="24"/>
          <w:highlight w:val="yellow"/>
        </w:rPr>
        <w:br w:type="page"/>
      </w:r>
      <w:r w:rsidR="00774EEE" w:rsidRPr="003954BF">
        <w:rPr>
          <w:rFonts w:ascii="Arial" w:hAnsi="Arial" w:cs="Arial"/>
          <w:b/>
          <w:snapToGrid w:val="0"/>
          <w:color w:val="000000"/>
          <w:sz w:val="24"/>
        </w:rPr>
        <w:lastRenderedPageBreak/>
        <w:t>1</w:t>
      </w:r>
      <w:r w:rsidR="00F666FC">
        <w:rPr>
          <w:rFonts w:ascii="Arial" w:hAnsi="Arial" w:cs="Arial"/>
          <w:b/>
          <w:snapToGrid w:val="0"/>
          <w:color w:val="000000"/>
          <w:sz w:val="24"/>
        </w:rPr>
        <w:t>6</w:t>
      </w:r>
      <w:r w:rsidR="00774EEE" w:rsidRPr="003954BF">
        <w:rPr>
          <w:rFonts w:ascii="Arial" w:hAnsi="Arial" w:cs="Arial"/>
          <w:b/>
          <w:snapToGrid w:val="0"/>
          <w:color w:val="000000"/>
          <w:sz w:val="24"/>
        </w:rPr>
        <w:t>.</w:t>
      </w:r>
      <w:r w:rsidR="00FC6BB9" w:rsidRPr="003954BF">
        <w:rPr>
          <w:rFonts w:ascii="Arial" w:hAnsi="Arial" w:cs="Arial"/>
          <w:b/>
          <w:snapToGrid w:val="0"/>
          <w:color w:val="000000"/>
          <w:sz w:val="24"/>
        </w:rPr>
        <w:t xml:space="preserve">  N</w:t>
      </w:r>
      <w:r w:rsidR="00774EEE" w:rsidRPr="003954BF">
        <w:rPr>
          <w:rFonts w:ascii="Arial" w:hAnsi="Arial" w:cs="Arial"/>
          <w:b/>
          <w:snapToGrid w:val="0"/>
          <w:color w:val="000000"/>
          <w:sz w:val="24"/>
        </w:rPr>
        <w:t>ature and extent of risks arising from financial instruments</w:t>
      </w:r>
    </w:p>
    <w:p w:rsidR="008B7AFE" w:rsidRPr="003954BF" w:rsidRDefault="008B7AFE" w:rsidP="005A653B">
      <w:pPr>
        <w:widowControl w:val="0"/>
        <w:tabs>
          <w:tab w:val="right" w:pos="7200"/>
        </w:tabs>
        <w:rPr>
          <w:rFonts w:ascii="Arial" w:hAnsi="Arial" w:cs="Arial"/>
          <w:snapToGrid w:val="0"/>
          <w:color w:val="000000"/>
          <w:sz w:val="24"/>
        </w:rPr>
      </w:pPr>
    </w:p>
    <w:p w:rsidR="00CD7A8E" w:rsidRPr="003954BF" w:rsidRDefault="009C2292" w:rsidP="00CD7A8E">
      <w:pPr>
        <w:widowControl w:val="0"/>
        <w:tabs>
          <w:tab w:val="left" w:pos="180"/>
          <w:tab w:val="right" w:pos="3060"/>
          <w:tab w:val="right" w:pos="4150"/>
        </w:tabs>
        <w:rPr>
          <w:rFonts w:ascii="Arial" w:hAnsi="Arial" w:cs="Arial"/>
          <w:b/>
          <w:snapToGrid w:val="0"/>
          <w:color w:val="000000"/>
          <w:sz w:val="24"/>
        </w:rPr>
      </w:pPr>
      <w:r w:rsidRPr="003954BF">
        <w:rPr>
          <w:rFonts w:ascii="Arial" w:hAnsi="Arial" w:cs="Arial"/>
          <w:b/>
          <w:snapToGrid w:val="0"/>
          <w:color w:val="000000"/>
          <w:sz w:val="24"/>
        </w:rPr>
        <w:t>Risk and risk management</w:t>
      </w:r>
    </w:p>
    <w:p w:rsidR="00CD7A8E" w:rsidRPr="003954BF" w:rsidRDefault="00CD7A8E" w:rsidP="00CD7A8E">
      <w:pPr>
        <w:widowControl w:val="0"/>
        <w:tabs>
          <w:tab w:val="left" w:pos="180"/>
          <w:tab w:val="right" w:pos="3060"/>
          <w:tab w:val="right" w:pos="4150"/>
        </w:tabs>
        <w:rPr>
          <w:rFonts w:ascii="Arial" w:hAnsi="Arial" w:cs="Arial"/>
          <w:b/>
          <w:snapToGrid w:val="0"/>
          <w:color w:val="000000"/>
          <w:sz w:val="24"/>
        </w:rPr>
      </w:pPr>
    </w:p>
    <w:p w:rsidR="009C2292" w:rsidRPr="000858FC" w:rsidRDefault="009C2292" w:rsidP="009C2292">
      <w:pPr>
        <w:widowControl w:val="0"/>
        <w:tabs>
          <w:tab w:val="right" w:pos="7200"/>
        </w:tabs>
        <w:rPr>
          <w:rFonts w:ascii="Arial" w:hAnsi="Arial" w:cs="Arial"/>
          <w:snapToGrid w:val="0"/>
          <w:color w:val="000000"/>
          <w:sz w:val="24"/>
        </w:rPr>
      </w:pPr>
      <w:r w:rsidRPr="003954BF">
        <w:rPr>
          <w:rFonts w:ascii="Arial" w:hAnsi="Arial" w:cs="Arial"/>
          <w:snapToGrid w:val="0"/>
          <w:color w:val="000000"/>
          <w:sz w:val="24"/>
        </w:rPr>
        <w:t xml:space="preserve">The </w:t>
      </w:r>
      <w:r w:rsidR="005361A5" w:rsidRPr="003954BF">
        <w:rPr>
          <w:rFonts w:ascii="Arial" w:hAnsi="Arial" w:cs="Arial"/>
          <w:snapToGrid w:val="0"/>
          <w:color w:val="000000"/>
          <w:sz w:val="24"/>
        </w:rPr>
        <w:t xml:space="preserve">Fund’s primary long-term risk is that the Fund’s assets will fall short of its liabilities (i.e., promised benefits payable to members). Therefore the aim of investment risk management is to minimise the risk of an overall reduction in the value of the Fund and to maximise the opportunity for gains across the whole Fund portfolio. The Fund achieves this through asset diversification to reduce exposure to market risk (price risk, currency risk, and interest rate risk) and credit risk to an acceptable level. In addition, the Fund manages its liquidity risk to ensure there is sufficient liquidity to meet the Fund’s forecast cash flows. The </w:t>
      </w:r>
      <w:r w:rsidR="00C4216C" w:rsidRPr="003954BF">
        <w:rPr>
          <w:rFonts w:ascii="Arial" w:hAnsi="Arial" w:cs="Arial"/>
          <w:snapToGrid w:val="0"/>
          <w:color w:val="000000"/>
          <w:sz w:val="24"/>
        </w:rPr>
        <w:t>Pension Fund</w:t>
      </w:r>
      <w:r w:rsidR="005361A5" w:rsidRPr="003954BF">
        <w:rPr>
          <w:rFonts w:ascii="Arial" w:hAnsi="Arial" w:cs="Arial"/>
          <w:snapToGrid w:val="0"/>
          <w:color w:val="000000"/>
          <w:sz w:val="24"/>
        </w:rPr>
        <w:t xml:space="preserve"> manages these investment risks as part of its overall pension fund risk management </w:t>
      </w:r>
      <w:r w:rsidR="005361A5" w:rsidRPr="000858FC">
        <w:rPr>
          <w:rFonts w:ascii="Arial" w:hAnsi="Arial" w:cs="Arial"/>
          <w:snapToGrid w:val="0"/>
          <w:color w:val="000000"/>
          <w:sz w:val="24"/>
        </w:rPr>
        <w:t>programme.</w:t>
      </w:r>
    </w:p>
    <w:p w:rsidR="000708D7" w:rsidRPr="000858FC" w:rsidRDefault="000708D7" w:rsidP="009C2292">
      <w:pPr>
        <w:widowControl w:val="0"/>
        <w:tabs>
          <w:tab w:val="right" w:pos="7200"/>
        </w:tabs>
        <w:rPr>
          <w:rFonts w:ascii="Arial" w:hAnsi="Arial" w:cs="Arial"/>
          <w:snapToGrid w:val="0"/>
          <w:color w:val="000000"/>
          <w:sz w:val="24"/>
        </w:rPr>
      </w:pPr>
    </w:p>
    <w:p w:rsidR="000708D7" w:rsidRPr="000858FC" w:rsidRDefault="000708D7" w:rsidP="009C2292">
      <w:pPr>
        <w:widowControl w:val="0"/>
        <w:tabs>
          <w:tab w:val="right" w:pos="7200"/>
        </w:tabs>
        <w:rPr>
          <w:rFonts w:ascii="Arial" w:hAnsi="Arial" w:cs="Arial"/>
          <w:snapToGrid w:val="0"/>
          <w:color w:val="000000"/>
          <w:sz w:val="24"/>
        </w:rPr>
      </w:pPr>
      <w:r w:rsidRPr="000858FC">
        <w:rPr>
          <w:rFonts w:ascii="Arial" w:hAnsi="Arial" w:cs="Arial"/>
          <w:snapToGrid w:val="0"/>
          <w:color w:val="000000"/>
          <w:sz w:val="24"/>
        </w:rPr>
        <w:t>Responsibility for the Fund’s risk management strategy r</w:t>
      </w:r>
      <w:r w:rsidR="003954BF" w:rsidRPr="000858FC">
        <w:rPr>
          <w:rFonts w:ascii="Arial" w:hAnsi="Arial" w:cs="Arial"/>
          <w:snapToGrid w:val="0"/>
          <w:color w:val="000000"/>
          <w:sz w:val="24"/>
        </w:rPr>
        <w:t>ests with the Pension Fund Sub-Committee</w:t>
      </w:r>
      <w:r w:rsidRPr="000858FC">
        <w:rPr>
          <w:rFonts w:ascii="Arial" w:hAnsi="Arial" w:cs="Arial"/>
          <w:snapToGrid w:val="0"/>
          <w:color w:val="000000"/>
          <w:sz w:val="24"/>
        </w:rPr>
        <w:t xml:space="preserve">. Risk management policies are established to identify and analyse the risks faced by the </w:t>
      </w:r>
      <w:r w:rsidR="00C4216C" w:rsidRPr="000858FC">
        <w:rPr>
          <w:rFonts w:ascii="Arial" w:hAnsi="Arial" w:cs="Arial"/>
          <w:snapToGrid w:val="0"/>
          <w:color w:val="000000"/>
          <w:sz w:val="24"/>
        </w:rPr>
        <w:t>Pension Fund</w:t>
      </w:r>
      <w:r w:rsidR="0042447D" w:rsidRPr="000858FC">
        <w:rPr>
          <w:rFonts w:ascii="Arial" w:hAnsi="Arial" w:cs="Arial"/>
          <w:snapToGrid w:val="0"/>
          <w:color w:val="000000"/>
          <w:sz w:val="24"/>
        </w:rPr>
        <w:t>’s</w:t>
      </w:r>
      <w:r w:rsidRPr="000858FC">
        <w:rPr>
          <w:rFonts w:ascii="Arial" w:hAnsi="Arial" w:cs="Arial"/>
          <w:snapToGrid w:val="0"/>
          <w:color w:val="000000"/>
          <w:sz w:val="24"/>
        </w:rPr>
        <w:t xml:space="preserve"> operations. Policies are reviewed regularly to reflect changes in activity and in market conditions.</w:t>
      </w:r>
    </w:p>
    <w:p w:rsidR="009C2292" w:rsidRPr="000858FC" w:rsidRDefault="009C2292" w:rsidP="00CD7A8E">
      <w:pPr>
        <w:widowControl w:val="0"/>
        <w:tabs>
          <w:tab w:val="left" w:pos="180"/>
          <w:tab w:val="right" w:pos="3060"/>
          <w:tab w:val="right" w:pos="4150"/>
        </w:tabs>
        <w:rPr>
          <w:rFonts w:ascii="Arial" w:hAnsi="Arial" w:cs="Arial"/>
          <w:b/>
          <w:snapToGrid w:val="0"/>
          <w:color w:val="000000"/>
          <w:sz w:val="24"/>
        </w:rPr>
      </w:pPr>
    </w:p>
    <w:p w:rsidR="00CD7A8E" w:rsidRPr="000858FC" w:rsidRDefault="009C2292" w:rsidP="00CD7A8E">
      <w:pPr>
        <w:widowControl w:val="0"/>
        <w:tabs>
          <w:tab w:val="left" w:pos="600"/>
          <w:tab w:val="right" w:pos="3060"/>
          <w:tab w:val="right" w:pos="4150"/>
        </w:tabs>
        <w:rPr>
          <w:rFonts w:ascii="Arial" w:hAnsi="Arial" w:cs="Arial"/>
          <w:b/>
          <w:sz w:val="24"/>
          <w:szCs w:val="24"/>
        </w:rPr>
      </w:pPr>
      <w:r w:rsidRPr="000858FC">
        <w:rPr>
          <w:rFonts w:ascii="Arial" w:hAnsi="Arial" w:cs="Arial"/>
          <w:b/>
          <w:sz w:val="24"/>
          <w:szCs w:val="24"/>
        </w:rPr>
        <w:t>a)</w:t>
      </w:r>
      <w:r w:rsidRPr="000858FC">
        <w:rPr>
          <w:rFonts w:ascii="Arial" w:hAnsi="Arial" w:cs="Arial"/>
          <w:b/>
          <w:sz w:val="24"/>
          <w:szCs w:val="24"/>
        </w:rPr>
        <w:tab/>
        <w:t>Market risk</w:t>
      </w:r>
    </w:p>
    <w:p w:rsidR="00CD7A8E" w:rsidRPr="000858FC" w:rsidRDefault="00CD7A8E" w:rsidP="00CD7A8E">
      <w:pPr>
        <w:widowControl w:val="0"/>
        <w:tabs>
          <w:tab w:val="left" w:pos="180"/>
          <w:tab w:val="right" w:pos="3060"/>
          <w:tab w:val="right" w:pos="4150"/>
        </w:tabs>
        <w:rPr>
          <w:rFonts w:ascii="Arial" w:hAnsi="Arial" w:cs="Arial"/>
          <w:snapToGrid w:val="0"/>
          <w:color w:val="000000"/>
          <w:sz w:val="24"/>
        </w:rPr>
      </w:pPr>
    </w:p>
    <w:p w:rsidR="009858AA" w:rsidRPr="000858FC" w:rsidRDefault="009C2292" w:rsidP="009858AA">
      <w:pPr>
        <w:widowControl w:val="0"/>
        <w:tabs>
          <w:tab w:val="right" w:pos="7200"/>
        </w:tabs>
        <w:rPr>
          <w:rFonts w:ascii="Arial" w:hAnsi="Arial" w:cs="Arial"/>
          <w:snapToGrid w:val="0"/>
          <w:color w:val="000000"/>
          <w:sz w:val="24"/>
        </w:rPr>
      </w:pPr>
      <w:r w:rsidRPr="000858FC">
        <w:rPr>
          <w:rFonts w:ascii="Arial" w:hAnsi="Arial" w:cs="Arial"/>
          <w:snapToGrid w:val="0"/>
          <w:color w:val="000000"/>
          <w:sz w:val="24"/>
        </w:rPr>
        <w:t>Market</w:t>
      </w:r>
      <w:r w:rsidR="009858AA" w:rsidRPr="000858FC">
        <w:rPr>
          <w:rFonts w:ascii="Arial" w:hAnsi="Arial" w:cs="Arial"/>
          <w:snapToGrid w:val="0"/>
          <w:color w:val="000000"/>
          <w:sz w:val="24"/>
        </w:rPr>
        <w:t xml:space="preserve"> </w:t>
      </w:r>
      <w:r w:rsidR="007D22E9" w:rsidRPr="000858FC">
        <w:rPr>
          <w:rFonts w:ascii="Arial" w:hAnsi="Arial" w:cs="Arial"/>
          <w:snapToGrid w:val="0"/>
          <w:color w:val="000000"/>
          <w:sz w:val="24"/>
        </w:rPr>
        <w:t>risk is the risk of loss from fluctuations in equity and commodity prices, interest and foreign exchange rates and credit spreads. The Fund is exposed to market risk from its investment activities, particularly through its equity holdings. The level of risk exposure depends on market conditions, expectations of future price and yield movements and the asset mix.</w:t>
      </w:r>
    </w:p>
    <w:p w:rsidR="007D22E9" w:rsidRPr="00100033" w:rsidRDefault="007D22E9" w:rsidP="009858AA">
      <w:pPr>
        <w:widowControl w:val="0"/>
        <w:tabs>
          <w:tab w:val="right" w:pos="7200"/>
        </w:tabs>
        <w:rPr>
          <w:rFonts w:ascii="Arial" w:hAnsi="Arial" w:cs="Arial"/>
          <w:snapToGrid w:val="0"/>
          <w:color w:val="000000"/>
          <w:sz w:val="24"/>
        </w:rPr>
      </w:pPr>
    </w:p>
    <w:p w:rsidR="007D22E9" w:rsidRPr="00100033" w:rsidRDefault="005172D4" w:rsidP="009858AA">
      <w:pPr>
        <w:widowControl w:val="0"/>
        <w:tabs>
          <w:tab w:val="right" w:pos="7200"/>
        </w:tabs>
        <w:rPr>
          <w:rFonts w:ascii="Arial" w:hAnsi="Arial" w:cs="Arial"/>
          <w:snapToGrid w:val="0"/>
          <w:color w:val="000000"/>
          <w:sz w:val="24"/>
        </w:rPr>
      </w:pPr>
      <w:r w:rsidRPr="00100033">
        <w:rPr>
          <w:rFonts w:ascii="Arial" w:hAnsi="Arial" w:cs="Arial"/>
          <w:snapToGrid w:val="0"/>
          <w:color w:val="000000"/>
          <w:sz w:val="24"/>
        </w:rPr>
        <w:t>The objective of the Fund’s risk management strategy is to identify, manage and control market risk exposure within acceptable parameters, whilst optimising the return on risk.</w:t>
      </w:r>
    </w:p>
    <w:p w:rsidR="005172D4" w:rsidRPr="002F16FD" w:rsidRDefault="005172D4" w:rsidP="009858AA">
      <w:pPr>
        <w:widowControl w:val="0"/>
        <w:tabs>
          <w:tab w:val="right" w:pos="7200"/>
        </w:tabs>
        <w:rPr>
          <w:rFonts w:ascii="Arial" w:hAnsi="Arial" w:cs="Arial"/>
          <w:snapToGrid w:val="0"/>
          <w:color w:val="000000"/>
          <w:sz w:val="24"/>
        </w:rPr>
      </w:pPr>
    </w:p>
    <w:p w:rsidR="005172D4" w:rsidRPr="002F16FD" w:rsidRDefault="005172D4" w:rsidP="009858AA">
      <w:pPr>
        <w:widowControl w:val="0"/>
        <w:tabs>
          <w:tab w:val="right" w:pos="7200"/>
        </w:tabs>
        <w:rPr>
          <w:rFonts w:ascii="Arial" w:hAnsi="Arial" w:cs="Arial"/>
          <w:snapToGrid w:val="0"/>
          <w:color w:val="000000"/>
          <w:sz w:val="24"/>
        </w:rPr>
      </w:pPr>
      <w:r w:rsidRPr="002F16FD">
        <w:rPr>
          <w:rFonts w:ascii="Arial" w:hAnsi="Arial" w:cs="Arial"/>
          <w:snapToGrid w:val="0"/>
          <w:color w:val="000000"/>
          <w:sz w:val="24"/>
        </w:rPr>
        <w:t xml:space="preserve">In general, excessive volatility in market risk is managed through the diversification of the portfolio in terms of geographical and industry sectors and individual securities. To mitigate market risk, the </w:t>
      </w:r>
      <w:r w:rsidR="00C4216C" w:rsidRPr="002F16FD">
        <w:rPr>
          <w:rFonts w:ascii="Arial" w:hAnsi="Arial" w:cs="Arial"/>
          <w:snapToGrid w:val="0"/>
          <w:color w:val="000000"/>
          <w:sz w:val="24"/>
        </w:rPr>
        <w:t>Pension Fund</w:t>
      </w:r>
      <w:r w:rsidRPr="002F16FD">
        <w:rPr>
          <w:rFonts w:ascii="Arial" w:hAnsi="Arial" w:cs="Arial"/>
          <w:snapToGrid w:val="0"/>
          <w:color w:val="000000"/>
          <w:sz w:val="24"/>
        </w:rPr>
        <w:t xml:space="preserve"> and its investment advisers undertake appropriate monitoring of market conditions and benchmark analysis.</w:t>
      </w:r>
    </w:p>
    <w:p w:rsidR="005172D4" w:rsidRPr="003A605B" w:rsidRDefault="005172D4" w:rsidP="009858AA">
      <w:pPr>
        <w:widowControl w:val="0"/>
        <w:tabs>
          <w:tab w:val="right" w:pos="7200"/>
        </w:tabs>
        <w:rPr>
          <w:rFonts w:ascii="Arial" w:hAnsi="Arial" w:cs="Arial"/>
          <w:snapToGrid w:val="0"/>
          <w:color w:val="000000"/>
          <w:sz w:val="24"/>
        </w:rPr>
      </w:pPr>
    </w:p>
    <w:p w:rsidR="005172D4" w:rsidRPr="003A605B" w:rsidRDefault="005172D4" w:rsidP="009858AA">
      <w:pPr>
        <w:widowControl w:val="0"/>
        <w:tabs>
          <w:tab w:val="right" w:pos="7200"/>
        </w:tabs>
        <w:rPr>
          <w:rFonts w:ascii="Arial" w:hAnsi="Arial" w:cs="Arial"/>
          <w:snapToGrid w:val="0"/>
          <w:color w:val="000000"/>
          <w:sz w:val="24"/>
        </w:rPr>
      </w:pPr>
      <w:r w:rsidRPr="003A605B">
        <w:rPr>
          <w:rFonts w:ascii="Arial" w:hAnsi="Arial" w:cs="Arial"/>
          <w:snapToGrid w:val="0"/>
          <w:color w:val="000000"/>
          <w:sz w:val="24"/>
        </w:rPr>
        <w:t>The Fund manages these risks in two ways:</w:t>
      </w:r>
    </w:p>
    <w:p w:rsidR="003905AA" w:rsidRPr="003A605B" w:rsidRDefault="003905AA"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3A605B">
        <w:rPr>
          <w:rFonts w:ascii="Arial" w:hAnsi="Arial" w:cs="Arial"/>
          <w:sz w:val="24"/>
          <w:szCs w:val="24"/>
        </w:rPr>
        <w:t>the exposure of the Fund to market risk is monitored through a factor risk analysis, to ensure that risk remains within tolerable levels</w:t>
      </w:r>
    </w:p>
    <w:p w:rsidR="003905AA" w:rsidRPr="003A605B" w:rsidRDefault="00512257"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3A605B">
        <w:rPr>
          <w:rFonts w:ascii="Arial" w:hAnsi="Arial" w:cs="Arial"/>
          <w:sz w:val="24"/>
          <w:szCs w:val="24"/>
        </w:rPr>
        <w:t>specific risk exposure is limited by applying risk-weighted maximum exposures to individual investments.</w:t>
      </w:r>
    </w:p>
    <w:p w:rsidR="00512257" w:rsidRPr="003D2F7A" w:rsidRDefault="00512257" w:rsidP="00512257">
      <w:pPr>
        <w:widowControl w:val="0"/>
        <w:tabs>
          <w:tab w:val="left" w:pos="600"/>
          <w:tab w:val="right" w:pos="3060"/>
          <w:tab w:val="right" w:pos="4150"/>
        </w:tabs>
        <w:rPr>
          <w:rFonts w:ascii="Arial" w:hAnsi="Arial" w:cs="Arial"/>
          <w:sz w:val="24"/>
          <w:szCs w:val="24"/>
          <w:highlight w:val="yellow"/>
        </w:rPr>
      </w:pPr>
    </w:p>
    <w:p w:rsidR="003A605B" w:rsidRDefault="003A605B">
      <w:pPr>
        <w:rPr>
          <w:rFonts w:ascii="Arial" w:hAnsi="Arial" w:cs="Arial"/>
          <w:sz w:val="24"/>
          <w:szCs w:val="24"/>
          <w:highlight w:val="yellow"/>
        </w:rPr>
      </w:pPr>
      <w:r>
        <w:rPr>
          <w:rFonts w:ascii="Arial" w:hAnsi="Arial" w:cs="Arial"/>
          <w:sz w:val="24"/>
          <w:szCs w:val="24"/>
          <w:highlight w:val="yellow"/>
        </w:rPr>
        <w:br w:type="page"/>
      </w:r>
    </w:p>
    <w:p w:rsidR="00512257" w:rsidRPr="003A605B" w:rsidRDefault="00512257" w:rsidP="00512257">
      <w:pPr>
        <w:widowControl w:val="0"/>
        <w:tabs>
          <w:tab w:val="left" w:pos="600"/>
          <w:tab w:val="right" w:pos="3060"/>
          <w:tab w:val="right" w:pos="4150"/>
        </w:tabs>
        <w:rPr>
          <w:rFonts w:ascii="Arial" w:hAnsi="Arial" w:cs="Arial"/>
          <w:sz w:val="24"/>
          <w:szCs w:val="24"/>
        </w:rPr>
      </w:pPr>
      <w:r w:rsidRPr="003A605B">
        <w:rPr>
          <w:rFonts w:ascii="Arial" w:hAnsi="Arial" w:cs="Arial"/>
          <w:sz w:val="24"/>
          <w:szCs w:val="24"/>
        </w:rPr>
        <w:lastRenderedPageBreak/>
        <w:t xml:space="preserve">Equity </w:t>
      </w:r>
      <w:r w:rsidR="007B6C61" w:rsidRPr="003A605B">
        <w:rPr>
          <w:rFonts w:ascii="Arial" w:hAnsi="Arial" w:cs="Arial"/>
          <w:sz w:val="24"/>
          <w:szCs w:val="24"/>
        </w:rPr>
        <w:t>futures contracts and exchange traded option contracts on individual securities may also be used to manage market risk on equity investments. It is possible for over-the-counter equity derivative contracts to be used in exceptional circumstances to manage specific aspects of market risk.</w:t>
      </w:r>
    </w:p>
    <w:p w:rsidR="007B6C61" w:rsidRPr="003A605B" w:rsidRDefault="007B6C61" w:rsidP="00512257">
      <w:pPr>
        <w:widowControl w:val="0"/>
        <w:tabs>
          <w:tab w:val="left" w:pos="600"/>
          <w:tab w:val="right" w:pos="3060"/>
          <w:tab w:val="right" w:pos="4150"/>
        </w:tabs>
        <w:rPr>
          <w:rFonts w:ascii="Arial" w:hAnsi="Arial" w:cs="Arial"/>
          <w:sz w:val="24"/>
          <w:szCs w:val="24"/>
        </w:rPr>
      </w:pPr>
    </w:p>
    <w:p w:rsidR="007B6C61" w:rsidRPr="0095701B" w:rsidRDefault="007B6C61" w:rsidP="00512257">
      <w:pPr>
        <w:widowControl w:val="0"/>
        <w:tabs>
          <w:tab w:val="left" w:pos="600"/>
          <w:tab w:val="right" w:pos="3060"/>
          <w:tab w:val="right" w:pos="4150"/>
        </w:tabs>
        <w:rPr>
          <w:rFonts w:ascii="Arial" w:hAnsi="Arial" w:cs="Arial"/>
          <w:sz w:val="24"/>
          <w:szCs w:val="24"/>
        </w:rPr>
      </w:pPr>
      <w:r w:rsidRPr="0095701B">
        <w:rPr>
          <w:rFonts w:ascii="Arial" w:hAnsi="Arial" w:cs="Arial"/>
          <w:b/>
          <w:snapToGrid w:val="0"/>
          <w:color w:val="000000"/>
          <w:sz w:val="24"/>
        </w:rPr>
        <w:t>Other price risk</w:t>
      </w:r>
    </w:p>
    <w:p w:rsidR="005172D4" w:rsidRPr="0095701B" w:rsidRDefault="005172D4" w:rsidP="009858AA">
      <w:pPr>
        <w:widowControl w:val="0"/>
        <w:tabs>
          <w:tab w:val="right" w:pos="7200"/>
        </w:tabs>
        <w:rPr>
          <w:rFonts w:ascii="Arial" w:hAnsi="Arial" w:cs="Arial"/>
          <w:snapToGrid w:val="0"/>
          <w:color w:val="000000"/>
          <w:sz w:val="24"/>
        </w:rPr>
      </w:pPr>
    </w:p>
    <w:p w:rsidR="005172D4" w:rsidRPr="0095701B" w:rsidRDefault="007B6C61" w:rsidP="009858AA">
      <w:pPr>
        <w:widowControl w:val="0"/>
        <w:tabs>
          <w:tab w:val="right" w:pos="7200"/>
        </w:tabs>
        <w:rPr>
          <w:rFonts w:ascii="Arial" w:hAnsi="Arial" w:cs="Arial"/>
          <w:snapToGrid w:val="0"/>
          <w:color w:val="000000"/>
          <w:sz w:val="24"/>
        </w:rPr>
      </w:pPr>
      <w:r w:rsidRPr="0095701B">
        <w:rPr>
          <w:rFonts w:ascii="Arial" w:hAnsi="Arial" w:cs="Arial"/>
          <w:snapToGrid w:val="0"/>
          <w:color w:val="000000"/>
          <w:sz w:val="24"/>
        </w:rPr>
        <w:t>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w:t>
      </w:r>
    </w:p>
    <w:p w:rsidR="007B6C61" w:rsidRPr="0095701B" w:rsidRDefault="007B6C61" w:rsidP="009858AA">
      <w:pPr>
        <w:widowControl w:val="0"/>
        <w:tabs>
          <w:tab w:val="right" w:pos="7200"/>
        </w:tabs>
        <w:rPr>
          <w:rFonts w:ascii="Arial" w:hAnsi="Arial" w:cs="Arial"/>
          <w:snapToGrid w:val="0"/>
          <w:color w:val="000000"/>
          <w:sz w:val="24"/>
        </w:rPr>
      </w:pPr>
    </w:p>
    <w:p w:rsidR="007B6C61" w:rsidRPr="003514CF" w:rsidRDefault="007B6C61" w:rsidP="009858AA">
      <w:pPr>
        <w:widowControl w:val="0"/>
        <w:tabs>
          <w:tab w:val="right" w:pos="7200"/>
        </w:tabs>
        <w:rPr>
          <w:rFonts w:ascii="Arial" w:hAnsi="Arial" w:cs="Arial"/>
          <w:snapToGrid w:val="0"/>
          <w:color w:val="000000"/>
          <w:sz w:val="24"/>
        </w:rPr>
      </w:pPr>
      <w:r w:rsidRPr="003514CF">
        <w:rPr>
          <w:rFonts w:ascii="Arial" w:hAnsi="Arial" w:cs="Arial"/>
          <w:snapToGrid w:val="0"/>
          <w:color w:val="000000"/>
          <w:sz w:val="24"/>
        </w:rPr>
        <w:t xml:space="preserve">The Fund is exposed to share and derivative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Possible </w:t>
      </w:r>
      <w:r w:rsidR="00EB76EA" w:rsidRPr="003514CF">
        <w:rPr>
          <w:rFonts w:ascii="Arial" w:hAnsi="Arial" w:cs="Arial"/>
          <w:snapToGrid w:val="0"/>
          <w:color w:val="000000"/>
          <w:sz w:val="24"/>
        </w:rPr>
        <w:t>losses from shares sold short are</w:t>
      </w:r>
      <w:r w:rsidRPr="003514CF">
        <w:rPr>
          <w:rFonts w:ascii="Arial" w:hAnsi="Arial" w:cs="Arial"/>
          <w:snapToGrid w:val="0"/>
          <w:color w:val="000000"/>
          <w:sz w:val="24"/>
        </w:rPr>
        <w:t xml:space="preserve"> unlimited.</w:t>
      </w:r>
    </w:p>
    <w:p w:rsidR="009858AA" w:rsidRPr="003514CF" w:rsidRDefault="009858AA" w:rsidP="005A653B">
      <w:pPr>
        <w:widowControl w:val="0"/>
        <w:tabs>
          <w:tab w:val="right" w:pos="7200"/>
        </w:tabs>
        <w:rPr>
          <w:rFonts w:ascii="Arial" w:hAnsi="Arial" w:cs="Arial"/>
          <w:snapToGrid w:val="0"/>
          <w:color w:val="000000"/>
          <w:sz w:val="24"/>
        </w:rPr>
      </w:pPr>
    </w:p>
    <w:p w:rsidR="007B6C61" w:rsidRPr="003514CF" w:rsidRDefault="007B6C61" w:rsidP="005A653B">
      <w:pPr>
        <w:widowControl w:val="0"/>
        <w:tabs>
          <w:tab w:val="right" w:pos="7200"/>
        </w:tabs>
        <w:rPr>
          <w:rFonts w:ascii="Arial" w:hAnsi="Arial" w:cs="Arial"/>
          <w:snapToGrid w:val="0"/>
          <w:color w:val="000000"/>
          <w:sz w:val="24"/>
        </w:rPr>
      </w:pPr>
      <w:r w:rsidRPr="003514CF">
        <w:rPr>
          <w:rFonts w:ascii="Arial" w:hAnsi="Arial" w:cs="Arial"/>
          <w:snapToGrid w:val="0"/>
          <w:color w:val="000000"/>
          <w:sz w:val="24"/>
        </w:rPr>
        <w:t xml:space="preserve">The Fund’s </w:t>
      </w:r>
      <w:r w:rsidR="0059435D" w:rsidRPr="003514CF">
        <w:rPr>
          <w:rFonts w:ascii="Arial" w:hAnsi="Arial" w:cs="Arial"/>
          <w:snapToGrid w:val="0"/>
          <w:color w:val="000000"/>
          <w:sz w:val="24"/>
        </w:rPr>
        <w:t xml:space="preserve">investment managers mitigate this price risk through diversification and the selection of securities and other financial instruments is monitored by the </w:t>
      </w:r>
      <w:r w:rsidR="00C4216C" w:rsidRPr="003514CF">
        <w:rPr>
          <w:rFonts w:ascii="Arial" w:hAnsi="Arial" w:cs="Arial"/>
          <w:snapToGrid w:val="0"/>
          <w:color w:val="000000"/>
          <w:sz w:val="24"/>
        </w:rPr>
        <w:t>Pension Fund</w:t>
      </w:r>
      <w:r w:rsidR="0059435D" w:rsidRPr="003514CF">
        <w:rPr>
          <w:rFonts w:ascii="Arial" w:hAnsi="Arial" w:cs="Arial"/>
          <w:snapToGrid w:val="0"/>
          <w:color w:val="000000"/>
          <w:sz w:val="24"/>
        </w:rPr>
        <w:t xml:space="preserve"> to ensure it is within limits specified in the Fund investment strategy.</w:t>
      </w:r>
    </w:p>
    <w:p w:rsidR="007B6C61" w:rsidRPr="00620274" w:rsidRDefault="007B6C61" w:rsidP="005A653B">
      <w:pPr>
        <w:widowControl w:val="0"/>
        <w:tabs>
          <w:tab w:val="right" w:pos="7200"/>
        </w:tabs>
        <w:rPr>
          <w:rFonts w:ascii="Arial" w:hAnsi="Arial" w:cs="Arial"/>
          <w:snapToGrid w:val="0"/>
          <w:color w:val="000000"/>
          <w:sz w:val="24"/>
        </w:rPr>
      </w:pPr>
    </w:p>
    <w:p w:rsidR="0059435D" w:rsidRPr="00620274" w:rsidRDefault="0059435D" w:rsidP="0059435D">
      <w:pPr>
        <w:widowControl w:val="0"/>
        <w:tabs>
          <w:tab w:val="left" w:pos="600"/>
          <w:tab w:val="right" w:pos="3060"/>
          <w:tab w:val="right" w:pos="4150"/>
        </w:tabs>
        <w:rPr>
          <w:rFonts w:ascii="Arial" w:hAnsi="Arial" w:cs="Arial"/>
          <w:sz w:val="24"/>
          <w:szCs w:val="24"/>
        </w:rPr>
      </w:pPr>
      <w:r w:rsidRPr="00620274">
        <w:rPr>
          <w:rFonts w:ascii="Arial" w:hAnsi="Arial" w:cs="Arial"/>
          <w:b/>
          <w:snapToGrid w:val="0"/>
          <w:color w:val="000000"/>
          <w:sz w:val="24"/>
        </w:rPr>
        <w:t>Other price risk</w:t>
      </w:r>
      <w:r w:rsidR="00B846A1" w:rsidRPr="00620274">
        <w:rPr>
          <w:rFonts w:ascii="Arial" w:hAnsi="Arial" w:cs="Arial"/>
          <w:b/>
          <w:snapToGrid w:val="0"/>
          <w:color w:val="000000"/>
          <w:sz w:val="24"/>
        </w:rPr>
        <w:t xml:space="preserve"> – sensitivity analysis</w:t>
      </w:r>
    </w:p>
    <w:p w:rsidR="00FC6BB9" w:rsidRPr="00620274" w:rsidRDefault="00FC6BB9" w:rsidP="005A653B">
      <w:pPr>
        <w:widowControl w:val="0"/>
        <w:tabs>
          <w:tab w:val="right" w:pos="7200"/>
        </w:tabs>
        <w:rPr>
          <w:rFonts w:ascii="Arial" w:hAnsi="Arial" w:cs="Arial"/>
          <w:snapToGrid w:val="0"/>
          <w:color w:val="000000"/>
          <w:sz w:val="24"/>
        </w:rPr>
      </w:pPr>
    </w:p>
    <w:p w:rsidR="0059435D" w:rsidRPr="00620274" w:rsidRDefault="00B846A1" w:rsidP="005A653B">
      <w:pPr>
        <w:widowControl w:val="0"/>
        <w:tabs>
          <w:tab w:val="right" w:pos="7200"/>
        </w:tabs>
        <w:rPr>
          <w:rFonts w:ascii="Arial" w:hAnsi="Arial" w:cs="Arial"/>
          <w:snapToGrid w:val="0"/>
          <w:color w:val="000000"/>
          <w:sz w:val="24"/>
        </w:rPr>
      </w:pPr>
      <w:r w:rsidRPr="00620274">
        <w:rPr>
          <w:rFonts w:ascii="Arial" w:hAnsi="Arial" w:cs="Arial"/>
          <w:snapToGrid w:val="0"/>
          <w:color w:val="000000"/>
          <w:sz w:val="24"/>
        </w:rPr>
        <w:t>Following analysis of historical data and expected investment return movement during the financial ye</w:t>
      </w:r>
      <w:r w:rsidR="00E46798" w:rsidRPr="00620274">
        <w:rPr>
          <w:rFonts w:ascii="Arial" w:hAnsi="Arial" w:cs="Arial"/>
          <w:snapToGrid w:val="0"/>
          <w:color w:val="000000"/>
          <w:sz w:val="24"/>
        </w:rPr>
        <w:t xml:space="preserve">ar, </w:t>
      </w:r>
      <w:r w:rsidR="00852EAF" w:rsidRPr="00620274">
        <w:rPr>
          <w:rFonts w:ascii="Arial" w:hAnsi="Arial" w:cs="Arial"/>
          <w:snapToGrid w:val="0"/>
          <w:color w:val="000000"/>
          <w:sz w:val="24"/>
        </w:rPr>
        <w:t xml:space="preserve">in consultation with WM Company plc, </w:t>
      </w:r>
      <w:r w:rsidR="00E46798" w:rsidRPr="00620274">
        <w:rPr>
          <w:rFonts w:ascii="Arial" w:hAnsi="Arial" w:cs="Arial"/>
          <w:snapToGrid w:val="0"/>
          <w:color w:val="000000"/>
          <w:sz w:val="24"/>
        </w:rPr>
        <w:t xml:space="preserve">the </w:t>
      </w:r>
      <w:r w:rsidR="00C4216C" w:rsidRPr="00620274">
        <w:rPr>
          <w:rFonts w:ascii="Arial" w:hAnsi="Arial" w:cs="Arial"/>
          <w:snapToGrid w:val="0"/>
          <w:color w:val="000000"/>
          <w:sz w:val="24"/>
        </w:rPr>
        <w:t>Pension Fund</w:t>
      </w:r>
      <w:r w:rsidR="00E46798" w:rsidRPr="00620274">
        <w:rPr>
          <w:rFonts w:ascii="Arial" w:hAnsi="Arial" w:cs="Arial"/>
          <w:snapToGrid w:val="0"/>
          <w:color w:val="000000"/>
          <w:sz w:val="24"/>
        </w:rPr>
        <w:t xml:space="preserve"> has determined that the following movements in market price risk are </w:t>
      </w:r>
      <w:r w:rsidR="00620274" w:rsidRPr="00620274">
        <w:rPr>
          <w:rFonts w:ascii="Arial" w:hAnsi="Arial" w:cs="Arial"/>
          <w:snapToGrid w:val="0"/>
          <w:color w:val="000000"/>
          <w:sz w:val="24"/>
        </w:rPr>
        <w:t>reasonably possible for the 2013/14</w:t>
      </w:r>
      <w:r w:rsidR="00E46798" w:rsidRPr="00620274">
        <w:rPr>
          <w:rFonts w:ascii="Arial" w:hAnsi="Arial" w:cs="Arial"/>
          <w:snapToGrid w:val="0"/>
          <w:color w:val="000000"/>
          <w:sz w:val="24"/>
        </w:rPr>
        <w:t xml:space="preserve"> reporting period:</w:t>
      </w:r>
    </w:p>
    <w:p w:rsidR="002E1318" w:rsidRPr="00620274" w:rsidRDefault="002E1318" w:rsidP="005A653B">
      <w:pPr>
        <w:widowControl w:val="0"/>
        <w:tabs>
          <w:tab w:val="right" w:pos="7200"/>
        </w:tabs>
        <w:rPr>
          <w:rFonts w:ascii="Arial" w:hAnsi="Arial" w:cs="Arial"/>
          <w:snapToGrid w:val="0"/>
          <w:color w:val="000000"/>
          <w:sz w:val="24"/>
        </w:rPr>
      </w:pPr>
    </w:p>
    <w:tbl>
      <w:tblPr>
        <w:tblStyle w:val="TableGrid"/>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9"/>
        <w:gridCol w:w="4078"/>
      </w:tblGrid>
      <w:tr w:rsidR="002E1318" w:rsidRPr="00155EB4" w:rsidTr="002E1318">
        <w:tc>
          <w:tcPr>
            <w:tcW w:w="2421" w:type="pct"/>
          </w:tcPr>
          <w:p w:rsidR="002E1318" w:rsidRPr="00155EB4" w:rsidRDefault="002E1318" w:rsidP="005C73D7">
            <w:pPr>
              <w:widowControl w:val="0"/>
              <w:tabs>
                <w:tab w:val="right" w:pos="7200"/>
              </w:tabs>
              <w:ind w:left="132" w:hanging="132"/>
              <w:rPr>
                <w:rFonts w:ascii="Arial" w:hAnsi="Arial" w:cs="Arial"/>
                <w:b/>
                <w:snapToGrid w:val="0"/>
                <w:color w:val="000000"/>
                <w:sz w:val="24"/>
              </w:rPr>
            </w:pPr>
            <w:r w:rsidRPr="00155EB4">
              <w:rPr>
                <w:rFonts w:ascii="Arial" w:hAnsi="Arial" w:cs="Arial"/>
                <w:b/>
                <w:snapToGrid w:val="0"/>
                <w:color w:val="000000"/>
                <w:sz w:val="24"/>
              </w:rPr>
              <w:t>Asset type</w:t>
            </w:r>
          </w:p>
        </w:tc>
        <w:tc>
          <w:tcPr>
            <w:tcW w:w="2579" w:type="pct"/>
          </w:tcPr>
          <w:p w:rsidR="002E1318" w:rsidRPr="00155EB4" w:rsidRDefault="002E1318" w:rsidP="005C73D7">
            <w:pPr>
              <w:widowControl w:val="0"/>
              <w:tabs>
                <w:tab w:val="right" w:pos="7200"/>
              </w:tabs>
              <w:ind w:left="132" w:hanging="132"/>
              <w:jc w:val="right"/>
              <w:rPr>
                <w:rFonts w:ascii="Arial" w:hAnsi="Arial" w:cs="Arial"/>
                <w:b/>
                <w:snapToGrid w:val="0"/>
                <w:color w:val="000000"/>
                <w:sz w:val="24"/>
              </w:rPr>
            </w:pPr>
            <w:r w:rsidRPr="00155EB4">
              <w:rPr>
                <w:rFonts w:ascii="Arial" w:hAnsi="Arial" w:cs="Arial"/>
                <w:b/>
                <w:snapToGrid w:val="0"/>
                <w:color w:val="000000"/>
                <w:sz w:val="24"/>
              </w:rPr>
              <w:t>Potential market movements (+/-)</w:t>
            </w:r>
          </w:p>
        </w:tc>
      </w:tr>
      <w:tr w:rsidR="002E1318" w:rsidRPr="00155EB4" w:rsidTr="002E1318">
        <w:tc>
          <w:tcPr>
            <w:tcW w:w="2421" w:type="pct"/>
          </w:tcPr>
          <w:p w:rsidR="002E1318" w:rsidRPr="00155EB4" w:rsidRDefault="002E1318" w:rsidP="005C73D7">
            <w:pPr>
              <w:widowControl w:val="0"/>
              <w:tabs>
                <w:tab w:val="right" w:pos="7200"/>
              </w:tabs>
              <w:ind w:left="132" w:hanging="132"/>
              <w:rPr>
                <w:rFonts w:ascii="Arial" w:hAnsi="Arial" w:cs="Arial"/>
                <w:snapToGrid w:val="0"/>
                <w:color w:val="000000"/>
              </w:rPr>
            </w:pPr>
          </w:p>
        </w:tc>
        <w:tc>
          <w:tcPr>
            <w:tcW w:w="2579" w:type="pct"/>
          </w:tcPr>
          <w:p w:rsidR="002E1318" w:rsidRPr="00155EB4" w:rsidRDefault="002E1318" w:rsidP="005C73D7">
            <w:pPr>
              <w:widowControl w:val="0"/>
              <w:tabs>
                <w:tab w:val="right" w:pos="7200"/>
              </w:tabs>
              <w:ind w:left="132" w:hanging="132"/>
              <w:jc w:val="right"/>
              <w:rPr>
                <w:rFonts w:ascii="Arial" w:hAnsi="Arial" w:cs="Arial"/>
                <w:snapToGrid w:val="0"/>
                <w:color w:val="000000"/>
              </w:rPr>
            </w:pPr>
          </w:p>
        </w:tc>
      </w:tr>
      <w:tr w:rsidR="002E1318" w:rsidRPr="00155EB4" w:rsidTr="002E1318">
        <w:tc>
          <w:tcPr>
            <w:tcW w:w="2421" w:type="pct"/>
          </w:tcPr>
          <w:p w:rsidR="002E1318" w:rsidRPr="00155EB4" w:rsidRDefault="002018AA" w:rsidP="005C73D7">
            <w:pPr>
              <w:widowControl w:val="0"/>
              <w:tabs>
                <w:tab w:val="right" w:pos="7200"/>
              </w:tabs>
              <w:ind w:left="132" w:hanging="132"/>
              <w:rPr>
                <w:rFonts w:ascii="Arial" w:hAnsi="Arial" w:cs="Arial"/>
                <w:snapToGrid w:val="0"/>
                <w:color w:val="000000"/>
                <w:sz w:val="24"/>
              </w:rPr>
            </w:pPr>
            <w:r>
              <w:rPr>
                <w:rFonts w:ascii="Arial" w:hAnsi="Arial" w:cs="Arial"/>
                <w:snapToGrid w:val="0"/>
                <w:color w:val="000000"/>
                <w:sz w:val="24"/>
              </w:rPr>
              <w:t>Fixed interest</w:t>
            </w:r>
            <w:r w:rsidR="002E1318" w:rsidRPr="00155EB4">
              <w:rPr>
                <w:rFonts w:ascii="Arial" w:hAnsi="Arial" w:cs="Arial"/>
                <w:snapToGrid w:val="0"/>
                <w:color w:val="000000"/>
                <w:sz w:val="24"/>
              </w:rPr>
              <w:t xml:space="preserve">                                 </w:t>
            </w:r>
          </w:p>
        </w:tc>
        <w:tc>
          <w:tcPr>
            <w:tcW w:w="2579" w:type="pct"/>
          </w:tcPr>
          <w:p w:rsidR="002E1318" w:rsidRPr="00155EB4" w:rsidRDefault="00B35C5F" w:rsidP="005C73D7">
            <w:pPr>
              <w:widowControl w:val="0"/>
              <w:tabs>
                <w:tab w:val="right" w:pos="7200"/>
              </w:tabs>
              <w:ind w:left="132" w:hanging="132"/>
              <w:jc w:val="right"/>
              <w:rPr>
                <w:rFonts w:ascii="Arial" w:hAnsi="Arial" w:cs="Arial"/>
                <w:snapToGrid w:val="0"/>
                <w:color w:val="000000"/>
                <w:sz w:val="24"/>
              </w:rPr>
            </w:pPr>
            <w:r w:rsidRPr="00155EB4">
              <w:rPr>
                <w:rFonts w:ascii="Arial" w:hAnsi="Arial" w:cs="Arial"/>
                <w:snapToGrid w:val="0"/>
                <w:color w:val="000000"/>
                <w:sz w:val="24"/>
              </w:rPr>
              <w:t>3.8</w:t>
            </w:r>
            <w:r w:rsidR="002E1318" w:rsidRPr="00155EB4">
              <w:rPr>
                <w:rFonts w:ascii="Arial" w:hAnsi="Arial" w:cs="Arial"/>
                <w:snapToGrid w:val="0"/>
                <w:color w:val="000000"/>
                <w:sz w:val="24"/>
              </w:rPr>
              <w:t>%</w:t>
            </w:r>
          </w:p>
        </w:tc>
      </w:tr>
      <w:tr w:rsidR="002E1318" w:rsidRPr="00155EB4" w:rsidTr="002E1318">
        <w:tc>
          <w:tcPr>
            <w:tcW w:w="2421" w:type="pct"/>
          </w:tcPr>
          <w:p w:rsidR="002E1318" w:rsidRPr="00155EB4" w:rsidRDefault="002E1318" w:rsidP="005C73D7">
            <w:pPr>
              <w:widowControl w:val="0"/>
              <w:tabs>
                <w:tab w:val="right" w:pos="7200"/>
              </w:tabs>
              <w:ind w:left="132" w:hanging="132"/>
              <w:rPr>
                <w:rFonts w:ascii="Arial" w:hAnsi="Arial" w:cs="Arial"/>
                <w:snapToGrid w:val="0"/>
                <w:color w:val="000000"/>
                <w:sz w:val="24"/>
              </w:rPr>
            </w:pPr>
            <w:r w:rsidRPr="00155EB4">
              <w:rPr>
                <w:rFonts w:ascii="Arial" w:hAnsi="Arial" w:cs="Arial"/>
                <w:snapToGrid w:val="0"/>
                <w:color w:val="000000"/>
                <w:sz w:val="24"/>
              </w:rPr>
              <w:t>UK equities</w:t>
            </w:r>
          </w:p>
        </w:tc>
        <w:tc>
          <w:tcPr>
            <w:tcW w:w="2579" w:type="pct"/>
          </w:tcPr>
          <w:p w:rsidR="002E1318" w:rsidRPr="00155EB4" w:rsidRDefault="00B35C5F" w:rsidP="005C73D7">
            <w:pPr>
              <w:widowControl w:val="0"/>
              <w:tabs>
                <w:tab w:val="right" w:pos="7200"/>
              </w:tabs>
              <w:ind w:left="132" w:hanging="132"/>
              <w:jc w:val="right"/>
              <w:rPr>
                <w:rFonts w:ascii="Arial" w:hAnsi="Arial" w:cs="Arial"/>
                <w:snapToGrid w:val="0"/>
                <w:color w:val="000000"/>
                <w:sz w:val="24"/>
              </w:rPr>
            </w:pPr>
            <w:r w:rsidRPr="00155EB4">
              <w:rPr>
                <w:rFonts w:ascii="Arial" w:hAnsi="Arial" w:cs="Arial"/>
                <w:snapToGrid w:val="0"/>
                <w:color w:val="000000"/>
                <w:sz w:val="24"/>
              </w:rPr>
              <w:t>12.7</w:t>
            </w:r>
            <w:r w:rsidR="002E1318" w:rsidRPr="00155EB4">
              <w:rPr>
                <w:rFonts w:ascii="Arial" w:hAnsi="Arial" w:cs="Arial"/>
                <w:snapToGrid w:val="0"/>
                <w:color w:val="000000"/>
                <w:sz w:val="24"/>
              </w:rPr>
              <w:t>%</w:t>
            </w:r>
          </w:p>
        </w:tc>
      </w:tr>
      <w:tr w:rsidR="002E1318" w:rsidRPr="00155EB4" w:rsidTr="002E1318">
        <w:tc>
          <w:tcPr>
            <w:tcW w:w="2421" w:type="pct"/>
          </w:tcPr>
          <w:p w:rsidR="002E1318" w:rsidRPr="00155EB4" w:rsidRDefault="002E1318" w:rsidP="005C73D7">
            <w:pPr>
              <w:widowControl w:val="0"/>
              <w:tabs>
                <w:tab w:val="right" w:pos="7200"/>
              </w:tabs>
              <w:ind w:left="132" w:hanging="132"/>
              <w:rPr>
                <w:rFonts w:ascii="Arial" w:hAnsi="Arial" w:cs="Arial"/>
                <w:snapToGrid w:val="0"/>
                <w:color w:val="000000"/>
                <w:sz w:val="24"/>
              </w:rPr>
            </w:pPr>
            <w:r w:rsidRPr="00155EB4">
              <w:rPr>
                <w:rFonts w:ascii="Arial" w:hAnsi="Arial" w:cs="Arial"/>
                <w:snapToGrid w:val="0"/>
                <w:color w:val="000000"/>
                <w:sz w:val="24"/>
              </w:rPr>
              <w:t>Overseas equities</w:t>
            </w:r>
          </w:p>
        </w:tc>
        <w:tc>
          <w:tcPr>
            <w:tcW w:w="2579" w:type="pct"/>
          </w:tcPr>
          <w:p w:rsidR="002E1318" w:rsidRPr="00155EB4" w:rsidRDefault="00B35C5F" w:rsidP="005C73D7">
            <w:pPr>
              <w:widowControl w:val="0"/>
              <w:tabs>
                <w:tab w:val="right" w:pos="7200"/>
              </w:tabs>
              <w:ind w:left="132" w:hanging="132"/>
              <w:jc w:val="right"/>
              <w:rPr>
                <w:rFonts w:ascii="Arial" w:hAnsi="Arial" w:cs="Arial"/>
                <w:snapToGrid w:val="0"/>
                <w:color w:val="000000"/>
                <w:sz w:val="24"/>
              </w:rPr>
            </w:pPr>
            <w:r w:rsidRPr="00155EB4">
              <w:rPr>
                <w:rFonts w:ascii="Arial" w:hAnsi="Arial" w:cs="Arial"/>
                <w:snapToGrid w:val="0"/>
                <w:color w:val="000000"/>
                <w:sz w:val="24"/>
              </w:rPr>
              <w:t>13.9</w:t>
            </w:r>
            <w:r w:rsidR="002E1318" w:rsidRPr="00155EB4">
              <w:rPr>
                <w:rFonts w:ascii="Arial" w:hAnsi="Arial" w:cs="Arial"/>
                <w:snapToGrid w:val="0"/>
                <w:color w:val="000000"/>
                <w:sz w:val="24"/>
              </w:rPr>
              <w:t>%</w:t>
            </w:r>
          </w:p>
        </w:tc>
      </w:tr>
      <w:tr w:rsidR="002E1318" w:rsidRPr="00155EB4" w:rsidTr="002E1318">
        <w:tc>
          <w:tcPr>
            <w:tcW w:w="2421" w:type="pct"/>
          </w:tcPr>
          <w:p w:rsidR="002E1318" w:rsidRPr="00155EB4" w:rsidRDefault="00852EAF" w:rsidP="005C73D7">
            <w:pPr>
              <w:widowControl w:val="0"/>
              <w:tabs>
                <w:tab w:val="right" w:pos="7200"/>
              </w:tabs>
              <w:ind w:left="132" w:hanging="132"/>
              <w:rPr>
                <w:rFonts w:ascii="Arial" w:hAnsi="Arial" w:cs="Arial"/>
                <w:snapToGrid w:val="0"/>
                <w:color w:val="000000"/>
                <w:sz w:val="24"/>
              </w:rPr>
            </w:pPr>
            <w:r w:rsidRPr="00155EB4">
              <w:rPr>
                <w:rFonts w:ascii="Arial" w:hAnsi="Arial" w:cs="Arial"/>
                <w:snapToGrid w:val="0"/>
                <w:color w:val="000000"/>
                <w:sz w:val="24"/>
              </w:rPr>
              <w:t>P</w:t>
            </w:r>
            <w:r w:rsidR="002E1318" w:rsidRPr="00155EB4">
              <w:rPr>
                <w:rFonts w:ascii="Arial" w:hAnsi="Arial" w:cs="Arial"/>
                <w:snapToGrid w:val="0"/>
                <w:color w:val="000000"/>
                <w:sz w:val="24"/>
              </w:rPr>
              <w:t>roperty</w:t>
            </w:r>
          </w:p>
        </w:tc>
        <w:tc>
          <w:tcPr>
            <w:tcW w:w="2579" w:type="pct"/>
          </w:tcPr>
          <w:p w:rsidR="002E1318" w:rsidRPr="00155EB4" w:rsidRDefault="00B35C5F" w:rsidP="005C73D7">
            <w:pPr>
              <w:widowControl w:val="0"/>
              <w:tabs>
                <w:tab w:val="right" w:pos="7200"/>
              </w:tabs>
              <w:ind w:left="132" w:hanging="132"/>
              <w:jc w:val="right"/>
              <w:rPr>
                <w:rFonts w:ascii="Arial" w:hAnsi="Arial" w:cs="Arial"/>
                <w:snapToGrid w:val="0"/>
                <w:color w:val="000000"/>
                <w:sz w:val="24"/>
              </w:rPr>
            </w:pPr>
            <w:r w:rsidRPr="00155EB4">
              <w:rPr>
                <w:rFonts w:ascii="Arial" w:hAnsi="Arial" w:cs="Arial"/>
                <w:snapToGrid w:val="0"/>
                <w:color w:val="000000"/>
                <w:sz w:val="24"/>
              </w:rPr>
              <w:t>2.5</w:t>
            </w:r>
            <w:r w:rsidR="002E1318" w:rsidRPr="00155EB4">
              <w:rPr>
                <w:rFonts w:ascii="Arial" w:hAnsi="Arial" w:cs="Arial"/>
                <w:snapToGrid w:val="0"/>
                <w:color w:val="000000"/>
                <w:sz w:val="24"/>
              </w:rPr>
              <w:t>%</w:t>
            </w:r>
          </w:p>
        </w:tc>
      </w:tr>
      <w:tr w:rsidR="003D5C07" w:rsidRPr="00155EB4" w:rsidTr="005C73D7">
        <w:tc>
          <w:tcPr>
            <w:tcW w:w="2421" w:type="pct"/>
          </w:tcPr>
          <w:p w:rsidR="003D5C07" w:rsidRPr="00155EB4" w:rsidRDefault="00DA5632" w:rsidP="005C73D7">
            <w:pPr>
              <w:widowControl w:val="0"/>
              <w:tabs>
                <w:tab w:val="right" w:pos="7200"/>
              </w:tabs>
              <w:ind w:left="132" w:hanging="132"/>
              <w:rPr>
                <w:rFonts w:ascii="Arial" w:hAnsi="Arial" w:cs="Arial"/>
                <w:snapToGrid w:val="0"/>
                <w:color w:val="000000"/>
                <w:sz w:val="24"/>
              </w:rPr>
            </w:pPr>
            <w:r w:rsidRPr="00155EB4">
              <w:rPr>
                <w:rFonts w:ascii="Arial" w:hAnsi="Arial" w:cs="Arial"/>
                <w:snapToGrid w:val="0"/>
                <w:color w:val="000000"/>
                <w:sz w:val="24"/>
              </w:rPr>
              <w:t>Alternative investments</w:t>
            </w:r>
          </w:p>
        </w:tc>
        <w:tc>
          <w:tcPr>
            <w:tcW w:w="2579" w:type="pct"/>
          </w:tcPr>
          <w:p w:rsidR="003D5C07" w:rsidRPr="00155EB4" w:rsidRDefault="00B35C5F" w:rsidP="005C73D7">
            <w:pPr>
              <w:widowControl w:val="0"/>
              <w:tabs>
                <w:tab w:val="right" w:pos="7200"/>
              </w:tabs>
              <w:ind w:left="132" w:hanging="132"/>
              <w:jc w:val="right"/>
              <w:rPr>
                <w:rFonts w:ascii="Arial" w:hAnsi="Arial" w:cs="Arial"/>
                <w:snapToGrid w:val="0"/>
                <w:color w:val="000000"/>
                <w:sz w:val="24"/>
              </w:rPr>
            </w:pPr>
            <w:r w:rsidRPr="00155EB4">
              <w:rPr>
                <w:rFonts w:ascii="Arial" w:hAnsi="Arial" w:cs="Arial"/>
                <w:snapToGrid w:val="0"/>
                <w:color w:val="000000"/>
                <w:sz w:val="24"/>
              </w:rPr>
              <w:t>5.3</w:t>
            </w:r>
            <w:r w:rsidR="003D5C07" w:rsidRPr="00155EB4">
              <w:rPr>
                <w:rFonts w:ascii="Arial" w:hAnsi="Arial" w:cs="Arial"/>
                <w:snapToGrid w:val="0"/>
                <w:color w:val="000000"/>
                <w:sz w:val="24"/>
              </w:rPr>
              <w:t>%</w:t>
            </w:r>
          </w:p>
        </w:tc>
      </w:tr>
      <w:tr w:rsidR="003D5C07" w:rsidRPr="00155EB4" w:rsidTr="005C73D7">
        <w:tc>
          <w:tcPr>
            <w:tcW w:w="2421" w:type="pct"/>
          </w:tcPr>
          <w:p w:rsidR="003D5C07" w:rsidRPr="00155EB4" w:rsidRDefault="003D5C07" w:rsidP="005C73D7">
            <w:pPr>
              <w:widowControl w:val="0"/>
              <w:tabs>
                <w:tab w:val="right" w:pos="7200"/>
              </w:tabs>
              <w:ind w:left="132" w:hanging="132"/>
              <w:rPr>
                <w:rFonts w:ascii="Arial" w:hAnsi="Arial" w:cs="Arial"/>
                <w:snapToGrid w:val="0"/>
                <w:color w:val="000000"/>
                <w:sz w:val="24"/>
              </w:rPr>
            </w:pPr>
            <w:r w:rsidRPr="00155EB4">
              <w:rPr>
                <w:rFonts w:ascii="Arial" w:hAnsi="Arial" w:cs="Arial"/>
                <w:snapToGrid w:val="0"/>
                <w:color w:val="000000"/>
                <w:sz w:val="24"/>
              </w:rPr>
              <w:t>Cash</w:t>
            </w:r>
          </w:p>
        </w:tc>
        <w:tc>
          <w:tcPr>
            <w:tcW w:w="2579" w:type="pct"/>
          </w:tcPr>
          <w:p w:rsidR="003D5C07" w:rsidRPr="00155EB4" w:rsidRDefault="003D5C07" w:rsidP="005C73D7">
            <w:pPr>
              <w:widowControl w:val="0"/>
              <w:tabs>
                <w:tab w:val="right" w:pos="7200"/>
              </w:tabs>
              <w:ind w:left="132" w:hanging="132"/>
              <w:jc w:val="right"/>
              <w:rPr>
                <w:rFonts w:ascii="Arial" w:hAnsi="Arial" w:cs="Arial"/>
                <w:snapToGrid w:val="0"/>
                <w:color w:val="000000"/>
                <w:sz w:val="24"/>
              </w:rPr>
            </w:pPr>
            <w:r w:rsidRPr="00155EB4">
              <w:rPr>
                <w:rFonts w:ascii="Arial" w:hAnsi="Arial" w:cs="Arial"/>
                <w:snapToGrid w:val="0"/>
                <w:color w:val="000000"/>
                <w:sz w:val="24"/>
              </w:rPr>
              <w:t>0.0%</w:t>
            </w:r>
          </w:p>
        </w:tc>
      </w:tr>
    </w:tbl>
    <w:p w:rsidR="00B846A1" w:rsidRPr="00155EB4" w:rsidRDefault="00B846A1" w:rsidP="005A653B">
      <w:pPr>
        <w:widowControl w:val="0"/>
        <w:tabs>
          <w:tab w:val="right" w:pos="7200"/>
        </w:tabs>
        <w:rPr>
          <w:rFonts w:ascii="Arial" w:hAnsi="Arial" w:cs="Arial"/>
          <w:snapToGrid w:val="0"/>
          <w:color w:val="000000"/>
          <w:sz w:val="24"/>
        </w:rPr>
      </w:pPr>
    </w:p>
    <w:p w:rsidR="00B846A1" w:rsidRPr="00155EB4" w:rsidRDefault="009B3658" w:rsidP="005A653B">
      <w:pPr>
        <w:widowControl w:val="0"/>
        <w:tabs>
          <w:tab w:val="right" w:pos="7200"/>
        </w:tabs>
        <w:rPr>
          <w:rFonts w:ascii="Arial" w:hAnsi="Arial" w:cs="Arial"/>
          <w:snapToGrid w:val="0"/>
          <w:color w:val="000000"/>
          <w:sz w:val="24"/>
        </w:rPr>
      </w:pPr>
      <w:r w:rsidRPr="00155EB4">
        <w:rPr>
          <w:rFonts w:ascii="Arial" w:hAnsi="Arial" w:cs="Arial"/>
          <w:snapToGrid w:val="0"/>
          <w:color w:val="000000"/>
          <w:sz w:val="24"/>
        </w:rPr>
        <w:t>The potential price changes disclosed above ar</w:t>
      </w:r>
      <w:r w:rsidR="0042447D" w:rsidRPr="00155EB4">
        <w:rPr>
          <w:rFonts w:ascii="Arial" w:hAnsi="Arial" w:cs="Arial"/>
          <w:snapToGrid w:val="0"/>
          <w:color w:val="000000"/>
          <w:sz w:val="24"/>
        </w:rPr>
        <w:t xml:space="preserve">e broadly consistent with a one </w:t>
      </w:r>
      <w:r w:rsidRPr="00155EB4">
        <w:rPr>
          <w:rFonts w:ascii="Arial" w:hAnsi="Arial" w:cs="Arial"/>
          <w:snapToGrid w:val="0"/>
          <w:color w:val="000000"/>
          <w:sz w:val="24"/>
        </w:rPr>
        <w:t xml:space="preserve">standard deviation movement in the value of the assets. </w:t>
      </w:r>
      <w:r w:rsidR="00346466" w:rsidRPr="00155EB4">
        <w:rPr>
          <w:rFonts w:ascii="Arial" w:hAnsi="Arial" w:cs="Arial"/>
          <w:snapToGrid w:val="0"/>
          <w:color w:val="000000"/>
          <w:sz w:val="24"/>
        </w:rPr>
        <w:t>The sensitivities are consistent with the assumptions contained in the in</w:t>
      </w:r>
      <w:r w:rsidR="00EB17C2" w:rsidRPr="00155EB4">
        <w:rPr>
          <w:rFonts w:ascii="Arial" w:hAnsi="Arial" w:cs="Arial"/>
          <w:snapToGrid w:val="0"/>
          <w:color w:val="000000"/>
          <w:sz w:val="24"/>
        </w:rPr>
        <w:t xml:space="preserve">vestment advisers' most recent review. </w:t>
      </w:r>
      <w:r w:rsidRPr="00155EB4">
        <w:rPr>
          <w:rFonts w:ascii="Arial" w:hAnsi="Arial" w:cs="Arial"/>
          <w:snapToGrid w:val="0"/>
          <w:color w:val="000000"/>
          <w:sz w:val="24"/>
        </w:rPr>
        <w:t>This analysis assumes that all other variables, in particular foreign currency exchange rates and interest rates, remain the same.</w:t>
      </w:r>
    </w:p>
    <w:p w:rsidR="009B3658" w:rsidRPr="003D2F7A" w:rsidRDefault="009B3658" w:rsidP="005A653B">
      <w:pPr>
        <w:widowControl w:val="0"/>
        <w:tabs>
          <w:tab w:val="right" w:pos="7200"/>
        </w:tabs>
        <w:rPr>
          <w:rFonts w:ascii="Arial" w:hAnsi="Arial" w:cs="Arial"/>
          <w:snapToGrid w:val="0"/>
          <w:color w:val="000000"/>
          <w:sz w:val="24"/>
          <w:highlight w:val="yellow"/>
        </w:rPr>
      </w:pPr>
    </w:p>
    <w:p w:rsidR="00155EB4" w:rsidRDefault="00155EB4">
      <w:pPr>
        <w:rPr>
          <w:rFonts w:ascii="Arial" w:hAnsi="Arial" w:cs="Arial"/>
          <w:snapToGrid w:val="0"/>
          <w:color w:val="000000"/>
          <w:sz w:val="24"/>
          <w:highlight w:val="yellow"/>
        </w:rPr>
      </w:pPr>
      <w:r>
        <w:rPr>
          <w:rFonts w:ascii="Arial" w:hAnsi="Arial" w:cs="Arial"/>
          <w:snapToGrid w:val="0"/>
          <w:color w:val="000000"/>
          <w:sz w:val="24"/>
          <w:highlight w:val="yellow"/>
        </w:rPr>
        <w:br w:type="page"/>
      </w:r>
    </w:p>
    <w:p w:rsidR="009B3658" w:rsidRPr="00895570" w:rsidRDefault="009B3658" w:rsidP="005A653B">
      <w:pPr>
        <w:widowControl w:val="0"/>
        <w:tabs>
          <w:tab w:val="right" w:pos="7200"/>
        </w:tabs>
        <w:rPr>
          <w:rFonts w:ascii="Arial" w:hAnsi="Arial" w:cs="Arial"/>
          <w:snapToGrid w:val="0"/>
          <w:color w:val="000000"/>
          <w:sz w:val="24"/>
        </w:rPr>
      </w:pPr>
      <w:r w:rsidRPr="00895570">
        <w:rPr>
          <w:rFonts w:ascii="Arial" w:hAnsi="Arial" w:cs="Arial"/>
          <w:snapToGrid w:val="0"/>
          <w:color w:val="000000"/>
          <w:sz w:val="24"/>
        </w:rPr>
        <w:lastRenderedPageBreak/>
        <w:t xml:space="preserve">Had the market price of the Fund investments increased/decreased in line with the above, the change in the net assets available to pay benefits in the market price would have been as follows (the prior year comparator is shown </w:t>
      </w:r>
      <w:r w:rsidR="009B5D47" w:rsidRPr="00895570">
        <w:rPr>
          <w:rFonts w:ascii="Arial" w:hAnsi="Arial" w:cs="Arial"/>
          <w:snapToGrid w:val="0"/>
          <w:color w:val="000000"/>
          <w:sz w:val="24"/>
        </w:rPr>
        <w:t>below</w:t>
      </w:r>
      <w:r w:rsidRPr="00895570">
        <w:rPr>
          <w:rFonts w:ascii="Arial" w:hAnsi="Arial" w:cs="Arial"/>
          <w:snapToGrid w:val="0"/>
          <w:color w:val="000000"/>
          <w:sz w:val="24"/>
        </w:rPr>
        <w:t>):</w:t>
      </w:r>
    </w:p>
    <w:p w:rsidR="00852EAF" w:rsidRPr="003D2F7A" w:rsidRDefault="00852EAF" w:rsidP="005A653B">
      <w:pPr>
        <w:widowControl w:val="0"/>
        <w:tabs>
          <w:tab w:val="right" w:pos="7200"/>
        </w:tabs>
        <w:rPr>
          <w:rFonts w:ascii="Arial" w:hAnsi="Arial" w:cs="Arial"/>
          <w:snapToGrid w:val="0"/>
          <w:color w:val="000000"/>
          <w:sz w:val="24"/>
          <w:highlight w:val="yellow"/>
        </w:rPr>
      </w:pPr>
    </w:p>
    <w:p w:rsidR="009B3658" w:rsidRPr="003D2F7A" w:rsidRDefault="009B3658" w:rsidP="005A653B">
      <w:pPr>
        <w:widowControl w:val="0"/>
        <w:tabs>
          <w:tab w:val="right" w:pos="7200"/>
        </w:tabs>
        <w:rPr>
          <w:rFonts w:ascii="Arial" w:hAnsi="Arial" w:cs="Arial"/>
          <w:snapToGrid w:val="0"/>
          <w:color w:val="000000"/>
          <w:sz w:val="24"/>
          <w:highlight w:val="yellow"/>
        </w:rPr>
      </w:pPr>
    </w:p>
    <w:tbl>
      <w:tblPr>
        <w:tblW w:w="7389" w:type="dxa"/>
        <w:tblInd w:w="-132" w:type="dxa"/>
        <w:tblLayout w:type="fixed"/>
        <w:tblLook w:val="0000" w:firstRow="0" w:lastRow="0" w:firstColumn="0" w:lastColumn="0" w:noHBand="0" w:noVBand="0"/>
      </w:tblPr>
      <w:tblGrid>
        <w:gridCol w:w="2520"/>
        <w:gridCol w:w="1200"/>
        <w:gridCol w:w="1320"/>
        <w:gridCol w:w="1200"/>
        <w:gridCol w:w="1149"/>
      </w:tblGrid>
      <w:tr w:rsidR="00003925" w:rsidRPr="003D2F7A" w:rsidTr="001343F0">
        <w:trPr>
          <w:trHeight w:val="602"/>
        </w:trPr>
        <w:tc>
          <w:tcPr>
            <w:tcW w:w="2520" w:type="dxa"/>
          </w:tcPr>
          <w:p w:rsidR="00003925" w:rsidRPr="0093548C" w:rsidRDefault="00003925" w:rsidP="005C73D7">
            <w:pPr>
              <w:widowControl w:val="0"/>
              <w:tabs>
                <w:tab w:val="right" w:pos="7200"/>
              </w:tabs>
              <w:rPr>
                <w:rFonts w:ascii="Arial" w:hAnsi="Arial" w:cs="Arial"/>
                <w:b/>
                <w:snapToGrid w:val="0"/>
                <w:color w:val="000000"/>
              </w:rPr>
            </w:pPr>
            <w:r w:rsidRPr="0093548C">
              <w:rPr>
                <w:rFonts w:ascii="Arial" w:hAnsi="Arial" w:cs="Arial"/>
                <w:b/>
                <w:snapToGrid w:val="0"/>
                <w:color w:val="000000"/>
              </w:rPr>
              <w:t>Asset type</w:t>
            </w:r>
          </w:p>
        </w:tc>
        <w:tc>
          <w:tcPr>
            <w:tcW w:w="1200" w:type="dxa"/>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Value at</w:t>
            </w:r>
          </w:p>
          <w:p w:rsidR="00003925" w:rsidRPr="0093548C" w:rsidRDefault="00003925" w:rsidP="009B5D4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31 March 201</w:t>
            </w:r>
            <w:r w:rsidR="009B5D47" w:rsidRPr="0093548C">
              <w:rPr>
                <w:rFonts w:ascii="Arial" w:hAnsi="Arial" w:cs="Arial"/>
                <w:b/>
                <w:snapToGrid w:val="0"/>
                <w:color w:val="000000"/>
              </w:rPr>
              <w:t>3</w:t>
            </w:r>
          </w:p>
        </w:tc>
        <w:tc>
          <w:tcPr>
            <w:tcW w:w="1320" w:type="dxa"/>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Percentage change</w:t>
            </w:r>
          </w:p>
        </w:tc>
        <w:tc>
          <w:tcPr>
            <w:tcW w:w="1200" w:type="dxa"/>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Value on increase</w:t>
            </w:r>
          </w:p>
        </w:tc>
        <w:tc>
          <w:tcPr>
            <w:tcW w:w="1149" w:type="dxa"/>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Value on decrease</w:t>
            </w:r>
          </w:p>
        </w:tc>
      </w:tr>
      <w:tr w:rsidR="00003925" w:rsidRPr="003D2F7A" w:rsidTr="001343F0">
        <w:trPr>
          <w:trHeight w:val="489"/>
        </w:trPr>
        <w:tc>
          <w:tcPr>
            <w:tcW w:w="2520" w:type="dxa"/>
          </w:tcPr>
          <w:p w:rsidR="00003925" w:rsidRPr="0093548C" w:rsidRDefault="00003925" w:rsidP="005C73D7">
            <w:pPr>
              <w:widowControl w:val="0"/>
              <w:tabs>
                <w:tab w:val="right" w:pos="7200"/>
              </w:tabs>
              <w:rPr>
                <w:rFonts w:ascii="Arial" w:hAnsi="Arial" w:cs="Arial"/>
                <w:snapToGrid w:val="0"/>
                <w:color w:val="000000"/>
              </w:rPr>
            </w:pPr>
          </w:p>
        </w:tc>
        <w:tc>
          <w:tcPr>
            <w:tcW w:w="1200" w:type="dxa"/>
            <w:vAlign w:val="center"/>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£’000</w:t>
            </w:r>
          </w:p>
        </w:tc>
        <w:tc>
          <w:tcPr>
            <w:tcW w:w="1320" w:type="dxa"/>
            <w:vAlign w:val="center"/>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w:t>
            </w:r>
          </w:p>
        </w:tc>
        <w:tc>
          <w:tcPr>
            <w:tcW w:w="1200" w:type="dxa"/>
            <w:vAlign w:val="center"/>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£’000</w:t>
            </w:r>
          </w:p>
        </w:tc>
        <w:tc>
          <w:tcPr>
            <w:tcW w:w="1149" w:type="dxa"/>
            <w:vAlign w:val="center"/>
          </w:tcPr>
          <w:p w:rsidR="00003925" w:rsidRPr="0093548C" w:rsidRDefault="00003925" w:rsidP="005C73D7">
            <w:pPr>
              <w:widowControl w:val="0"/>
              <w:tabs>
                <w:tab w:val="right" w:pos="7200"/>
              </w:tabs>
              <w:jc w:val="right"/>
              <w:rPr>
                <w:rFonts w:ascii="Arial" w:hAnsi="Arial" w:cs="Arial"/>
                <w:b/>
                <w:snapToGrid w:val="0"/>
                <w:color w:val="000000"/>
              </w:rPr>
            </w:pPr>
            <w:r w:rsidRPr="0093548C">
              <w:rPr>
                <w:rFonts w:ascii="Arial" w:hAnsi="Arial" w:cs="Arial"/>
                <w:b/>
                <w:snapToGrid w:val="0"/>
                <w:color w:val="000000"/>
              </w:rPr>
              <w:t>£’000</w:t>
            </w:r>
          </w:p>
        </w:tc>
      </w:tr>
      <w:tr w:rsidR="0093548C" w:rsidRPr="003D2F7A" w:rsidTr="0093548C">
        <w:trPr>
          <w:trHeight w:val="466"/>
        </w:trPr>
        <w:tc>
          <w:tcPr>
            <w:tcW w:w="2520" w:type="dxa"/>
          </w:tcPr>
          <w:p w:rsidR="0093548C" w:rsidRPr="00FD420C" w:rsidRDefault="0093548C" w:rsidP="0093548C">
            <w:pPr>
              <w:widowControl w:val="0"/>
              <w:tabs>
                <w:tab w:val="right" w:pos="7200"/>
              </w:tabs>
              <w:rPr>
                <w:rFonts w:ascii="Arial" w:hAnsi="Arial" w:cs="Arial"/>
                <w:b/>
                <w:snapToGrid w:val="0"/>
                <w:color w:val="000000"/>
              </w:rPr>
            </w:pPr>
            <w:r w:rsidRPr="00FD420C">
              <w:rPr>
                <w:rFonts w:ascii="Arial" w:hAnsi="Arial" w:cs="Arial"/>
                <w:b/>
                <w:snapToGrid w:val="0"/>
                <w:color w:val="000000"/>
              </w:rPr>
              <w:t>Cash and cash equivalents</w:t>
            </w:r>
          </w:p>
          <w:p w:rsidR="0093548C" w:rsidRPr="00404FED" w:rsidRDefault="0093548C" w:rsidP="0093548C">
            <w:pPr>
              <w:widowControl w:val="0"/>
              <w:tabs>
                <w:tab w:val="right" w:pos="7200"/>
              </w:tabs>
              <w:rPr>
                <w:rFonts w:ascii="Arial" w:hAnsi="Arial" w:cs="Arial"/>
                <w:snapToGrid w:val="0"/>
                <w:color w:val="000000"/>
              </w:rPr>
            </w:pPr>
          </w:p>
        </w:tc>
        <w:tc>
          <w:tcPr>
            <w:tcW w:w="1200" w:type="dxa"/>
          </w:tcPr>
          <w:p w:rsidR="0093548C" w:rsidRPr="0005401A" w:rsidRDefault="00EB34E6" w:rsidP="00593AB9">
            <w:pPr>
              <w:widowControl w:val="0"/>
              <w:tabs>
                <w:tab w:val="right" w:pos="7200"/>
              </w:tabs>
              <w:jc w:val="right"/>
              <w:rPr>
                <w:rFonts w:ascii="Arial" w:hAnsi="Arial" w:cs="Arial"/>
                <w:snapToGrid w:val="0"/>
                <w:color w:val="000000"/>
              </w:rPr>
            </w:pPr>
            <w:r w:rsidRPr="0005401A">
              <w:rPr>
                <w:rFonts w:ascii="Arial" w:hAnsi="Arial" w:cs="Arial"/>
                <w:snapToGrid w:val="0"/>
                <w:color w:val="000000"/>
              </w:rPr>
              <w:t>5,53</w:t>
            </w:r>
            <w:r w:rsidR="00593AB9">
              <w:rPr>
                <w:rFonts w:ascii="Arial" w:hAnsi="Arial" w:cs="Arial"/>
                <w:snapToGrid w:val="0"/>
                <w:color w:val="000000"/>
              </w:rPr>
              <w:t>4</w:t>
            </w:r>
          </w:p>
        </w:tc>
        <w:tc>
          <w:tcPr>
            <w:tcW w:w="1320" w:type="dxa"/>
          </w:tcPr>
          <w:p w:rsidR="0093548C" w:rsidRPr="0005401A" w:rsidRDefault="0093548C" w:rsidP="0093548C">
            <w:pPr>
              <w:widowControl w:val="0"/>
              <w:tabs>
                <w:tab w:val="right" w:pos="7200"/>
              </w:tabs>
              <w:jc w:val="right"/>
              <w:rPr>
                <w:rFonts w:ascii="Arial" w:hAnsi="Arial" w:cs="Arial"/>
                <w:snapToGrid w:val="0"/>
                <w:color w:val="000000"/>
              </w:rPr>
            </w:pPr>
            <w:r w:rsidRPr="0005401A">
              <w:rPr>
                <w:rFonts w:ascii="Arial" w:hAnsi="Arial" w:cs="Arial"/>
                <w:snapToGrid w:val="0"/>
                <w:color w:val="000000"/>
              </w:rPr>
              <w:t>0.0</w:t>
            </w:r>
          </w:p>
        </w:tc>
        <w:tc>
          <w:tcPr>
            <w:tcW w:w="1200" w:type="dxa"/>
          </w:tcPr>
          <w:p w:rsidR="0093548C" w:rsidRPr="0005401A" w:rsidRDefault="0093548C" w:rsidP="0093548C">
            <w:pPr>
              <w:widowControl w:val="0"/>
              <w:tabs>
                <w:tab w:val="right" w:pos="7200"/>
              </w:tabs>
              <w:jc w:val="right"/>
              <w:rPr>
                <w:rFonts w:ascii="Arial" w:hAnsi="Arial" w:cs="Arial"/>
                <w:snapToGrid w:val="0"/>
                <w:color w:val="000000"/>
              </w:rPr>
            </w:pPr>
            <w:r w:rsidRPr="0005401A">
              <w:rPr>
                <w:rFonts w:ascii="Arial" w:hAnsi="Arial" w:cs="Arial"/>
                <w:snapToGrid w:val="0"/>
                <w:color w:val="000000"/>
              </w:rPr>
              <w:t xml:space="preserve">      </w:t>
            </w:r>
            <w:r w:rsidR="004D2FCC">
              <w:rPr>
                <w:rFonts w:ascii="Arial" w:hAnsi="Arial" w:cs="Arial"/>
                <w:snapToGrid w:val="0"/>
                <w:color w:val="000000"/>
              </w:rPr>
              <w:t>5,534</w:t>
            </w:r>
          </w:p>
        </w:tc>
        <w:tc>
          <w:tcPr>
            <w:tcW w:w="1149" w:type="dxa"/>
          </w:tcPr>
          <w:p w:rsidR="0093548C" w:rsidRPr="0005401A" w:rsidRDefault="004D2FCC" w:rsidP="0093548C">
            <w:pPr>
              <w:widowControl w:val="0"/>
              <w:tabs>
                <w:tab w:val="right" w:pos="7200"/>
              </w:tabs>
              <w:jc w:val="right"/>
              <w:rPr>
                <w:rFonts w:ascii="Arial" w:hAnsi="Arial" w:cs="Arial"/>
                <w:snapToGrid w:val="0"/>
                <w:color w:val="000000"/>
              </w:rPr>
            </w:pPr>
            <w:r>
              <w:rPr>
                <w:rFonts w:ascii="Arial" w:hAnsi="Arial" w:cs="Arial"/>
                <w:snapToGrid w:val="0"/>
                <w:color w:val="000000"/>
              </w:rPr>
              <w:t>5,534</w:t>
            </w:r>
          </w:p>
        </w:tc>
      </w:tr>
      <w:tr w:rsidR="0093548C" w:rsidRPr="003D2F7A" w:rsidTr="0093548C">
        <w:trPr>
          <w:trHeight w:val="466"/>
        </w:trPr>
        <w:tc>
          <w:tcPr>
            <w:tcW w:w="2520" w:type="dxa"/>
          </w:tcPr>
          <w:p w:rsidR="0093548C" w:rsidRPr="00FD420C" w:rsidRDefault="0093548C" w:rsidP="0093548C">
            <w:pPr>
              <w:widowControl w:val="0"/>
              <w:tabs>
                <w:tab w:val="right" w:pos="7200"/>
              </w:tabs>
              <w:rPr>
                <w:rFonts w:ascii="Arial" w:hAnsi="Arial" w:cs="Arial"/>
                <w:b/>
                <w:snapToGrid w:val="0"/>
                <w:color w:val="000000"/>
                <w:highlight w:val="yellow"/>
              </w:rPr>
            </w:pPr>
            <w:r w:rsidRPr="00895570">
              <w:rPr>
                <w:rFonts w:ascii="Arial" w:hAnsi="Arial" w:cs="Arial"/>
                <w:b/>
                <w:snapToGrid w:val="0"/>
                <w:color w:val="000000"/>
              </w:rPr>
              <w:t>Investment portfolio assets:</w:t>
            </w:r>
          </w:p>
          <w:p w:rsidR="0093548C" w:rsidRPr="003D2F7A" w:rsidRDefault="0093548C" w:rsidP="0093548C">
            <w:pPr>
              <w:widowControl w:val="0"/>
              <w:tabs>
                <w:tab w:val="right" w:pos="7200"/>
              </w:tabs>
              <w:rPr>
                <w:rFonts w:ascii="Arial" w:hAnsi="Arial" w:cs="Arial"/>
                <w:snapToGrid w:val="0"/>
                <w:color w:val="000000"/>
                <w:highlight w:val="yellow"/>
              </w:rPr>
            </w:pPr>
          </w:p>
        </w:tc>
        <w:tc>
          <w:tcPr>
            <w:tcW w:w="1200" w:type="dxa"/>
          </w:tcPr>
          <w:p w:rsidR="0093548C" w:rsidRPr="0005401A" w:rsidRDefault="0093548C" w:rsidP="0093548C">
            <w:pPr>
              <w:widowControl w:val="0"/>
              <w:tabs>
                <w:tab w:val="right" w:pos="7200"/>
              </w:tabs>
              <w:jc w:val="right"/>
              <w:rPr>
                <w:rFonts w:ascii="Arial" w:hAnsi="Arial" w:cs="Arial"/>
                <w:snapToGrid w:val="0"/>
                <w:color w:val="000000"/>
              </w:rPr>
            </w:pPr>
          </w:p>
        </w:tc>
        <w:tc>
          <w:tcPr>
            <w:tcW w:w="1320" w:type="dxa"/>
          </w:tcPr>
          <w:p w:rsidR="0093548C" w:rsidRPr="0005401A" w:rsidRDefault="0093548C" w:rsidP="0093548C">
            <w:pPr>
              <w:widowControl w:val="0"/>
              <w:tabs>
                <w:tab w:val="right" w:pos="7200"/>
              </w:tabs>
              <w:jc w:val="right"/>
              <w:rPr>
                <w:rFonts w:ascii="Arial" w:hAnsi="Arial" w:cs="Arial"/>
                <w:snapToGrid w:val="0"/>
                <w:color w:val="000000"/>
              </w:rPr>
            </w:pPr>
          </w:p>
        </w:tc>
        <w:tc>
          <w:tcPr>
            <w:tcW w:w="1200" w:type="dxa"/>
          </w:tcPr>
          <w:p w:rsidR="0093548C" w:rsidRPr="0005401A" w:rsidRDefault="0093548C" w:rsidP="0093548C">
            <w:pPr>
              <w:widowControl w:val="0"/>
              <w:tabs>
                <w:tab w:val="right" w:pos="7200"/>
              </w:tabs>
              <w:jc w:val="right"/>
              <w:rPr>
                <w:rFonts w:ascii="Arial" w:hAnsi="Arial" w:cs="Arial"/>
                <w:snapToGrid w:val="0"/>
                <w:color w:val="000000"/>
              </w:rPr>
            </w:pPr>
          </w:p>
        </w:tc>
        <w:tc>
          <w:tcPr>
            <w:tcW w:w="1149" w:type="dxa"/>
          </w:tcPr>
          <w:p w:rsidR="0093548C" w:rsidRPr="0005401A" w:rsidRDefault="0093548C" w:rsidP="0093548C">
            <w:pPr>
              <w:widowControl w:val="0"/>
              <w:tabs>
                <w:tab w:val="right" w:pos="7200"/>
              </w:tabs>
              <w:jc w:val="right"/>
              <w:rPr>
                <w:rFonts w:ascii="Arial" w:hAnsi="Arial" w:cs="Arial"/>
                <w:snapToGrid w:val="0"/>
                <w:color w:val="000000"/>
              </w:rPr>
            </w:pPr>
          </w:p>
        </w:tc>
      </w:tr>
      <w:tr w:rsidR="00697C93" w:rsidRPr="003D2F7A" w:rsidTr="005C73D7">
        <w:trPr>
          <w:trHeight w:val="466"/>
        </w:trPr>
        <w:tc>
          <w:tcPr>
            <w:tcW w:w="2520" w:type="dxa"/>
          </w:tcPr>
          <w:p w:rsidR="00697C93" w:rsidRPr="00090676" w:rsidRDefault="00120A5F" w:rsidP="005C73D7">
            <w:pPr>
              <w:widowControl w:val="0"/>
              <w:tabs>
                <w:tab w:val="right" w:pos="7200"/>
              </w:tabs>
              <w:rPr>
                <w:rFonts w:ascii="Arial" w:hAnsi="Arial" w:cs="Arial"/>
                <w:snapToGrid w:val="0"/>
                <w:color w:val="000000"/>
              </w:rPr>
            </w:pPr>
            <w:r w:rsidRPr="00090676">
              <w:rPr>
                <w:rFonts w:ascii="Arial" w:hAnsi="Arial" w:cs="Arial"/>
                <w:snapToGrid w:val="0"/>
                <w:color w:val="000000"/>
              </w:rPr>
              <w:t>Fixed interest</w:t>
            </w:r>
          </w:p>
        </w:tc>
        <w:tc>
          <w:tcPr>
            <w:tcW w:w="1200" w:type="dxa"/>
          </w:tcPr>
          <w:p w:rsidR="00697C93" w:rsidRPr="0005401A" w:rsidRDefault="004F74CF"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82,898</w:t>
            </w:r>
          </w:p>
        </w:tc>
        <w:tc>
          <w:tcPr>
            <w:tcW w:w="1320" w:type="dxa"/>
          </w:tcPr>
          <w:p w:rsidR="00697C93" w:rsidRPr="0005401A" w:rsidRDefault="00DE28E2"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3</w:t>
            </w:r>
            <w:r w:rsidR="00697C93" w:rsidRPr="0005401A">
              <w:rPr>
                <w:rFonts w:ascii="Arial" w:hAnsi="Arial" w:cs="Arial"/>
                <w:snapToGrid w:val="0"/>
                <w:color w:val="000000"/>
              </w:rPr>
              <w:t>.8</w:t>
            </w:r>
          </w:p>
        </w:tc>
        <w:tc>
          <w:tcPr>
            <w:tcW w:w="1200" w:type="dxa"/>
          </w:tcPr>
          <w:p w:rsidR="00697C93" w:rsidRPr="0005401A" w:rsidRDefault="00DA35E0" w:rsidP="00DA35E0">
            <w:pPr>
              <w:widowControl w:val="0"/>
              <w:tabs>
                <w:tab w:val="right" w:pos="7200"/>
              </w:tabs>
              <w:jc w:val="right"/>
              <w:rPr>
                <w:rFonts w:ascii="Arial" w:hAnsi="Arial" w:cs="Arial"/>
                <w:snapToGrid w:val="0"/>
                <w:color w:val="000000"/>
              </w:rPr>
            </w:pPr>
            <w:r w:rsidRPr="0005401A">
              <w:rPr>
                <w:rFonts w:ascii="Arial" w:hAnsi="Arial" w:cs="Arial"/>
                <w:snapToGrid w:val="0"/>
                <w:color w:val="000000"/>
              </w:rPr>
              <w:t xml:space="preserve">    </w:t>
            </w:r>
            <w:r w:rsidR="00EA0CD7" w:rsidRPr="0005401A">
              <w:rPr>
                <w:rFonts w:ascii="Arial" w:hAnsi="Arial" w:cs="Arial"/>
                <w:snapToGrid w:val="0"/>
                <w:color w:val="000000"/>
              </w:rPr>
              <w:t>86,048</w:t>
            </w:r>
          </w:p>
        </w:tc>
        <w:tc>
          <w:tcPr>
            <w:tcW w:w="1149" w:type="dxa"/>
          </w:tcPr>
          <w:p w:rsidR="00697C93" w:rsidRPr="0005401A" w:rsidRDefault="00EA0CD7" w:rsidP="00504AFC">
            <w:pPr>
              <w:widowControl w:val="0"/>
              <w:tabs>
                <w:tab w:val="right" w:pos="7200"/>
              </w:tabs>
              <w:jc w:val="right"/>
              <w:rPr>
                <w:rFonts w:ascii="Arial" w:hAnsi="Arial" w:cs="Arial"/>
                <w:snapToGrid w:val="0"/>
                <w:color w:val="000000"/>
              </w:rPr>
            </w:pPr>
            <w:r w:rsidRPr="0005401A">
              <w:rPr>
                <w:rFonts w:ascii="Arial" w:hAnsi="Arial" w:cs="Arial"/>
                <w:snapToGrid w:val="0"/>
                <w:color w:val="000000"/>
              </w:rPr>
              <w:t>79,748</w:t>
            </w:r>
          </w:p>
        </w:tc>
      </w:tr>
      <w:tr w:rsidR="00697C93" w:rsidRPr="003D2F7A" w:rsidTr="005C73D7">
        <w:trPr>
          <w:trHeight w:val="466"/>
        </w:trPr>
        <w:tc>
          <w:tcPr>
            <w:tcW w:w="2520" w:type="dxa"/>
          </w:tcPr>
          <w:p w:rsidR="00697C93" w:rsidRPr="00090676" w:rsidRDefault="00697C93" w:rsidP="005C73D7">
            <w:pPr>
              <w:widowControl w:val="0"/>
              <w:tabs>
                <w:tab w:val="right" w:pos="7200"/>
              </w:tabs>
              <w:rPr>
                <w:rFonts w:ascii="Arial" w:hAnsi="Arial" w:cs="Arial"/>
                <w:snapToGrid w:val="0"/>
                <w:color w:val="000000"/>
              </w:rPr>
            </w:pPr>
            <w:smartTag w:uri="urn:schemas-microsoft-com:office:smarttags" w:element="country-region">
              <w:smartTag w:uri="urn:schemas-microsoft-com:office:smarttags" w:element="place">
                <w:r w:rsidRPr="00090676">
                  <w:rPr>
                    <w:rFonts w:ascii="Arial" w:hAnsi="Arial" w:cs="Arial"/>
                    <w:snapToGrid w:val="0"/>
                    <w:color w:val="000000"/>
                  </w:rPr>
                  <w:t>UK</w:t>
                </w:r>
              </w:smartTag>
            </w:smartTag>
            <w:r w:rsidRPr="00090676">
              <w:rPr>
                <w:rFonts w:ascii="Arial" w:hAnsi="Arial" w:cs="Arial"/>
                <w:snapToGrid w:val="0"/>
                <w:color w:val="000000"/>
              </w:rPr>
              <w:t xml:space="preserve"> equities</w:t>
            </w:r>
          </w:p>
        </w:tc>
        <w:tc>
          <w:tcPr>
            <w:tcW w:w="1200" w:type="dxa"/>
          </w:tcPr>
          <w:p w:rsidR="00697C93" w:rsidRPr="0005401A" w:rsidRDefault="004F74CF"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99,392</w:t>
            </w:r>
          </w:p>
        </w:tc>
        <w:tc>
          <w:tcPr>
            <w:tcW w:w="1320" w:type="dxa"/>
          </w:tcPr>
          <w:p w:rsidR="00697C93" w:rsidRPr="0005401A" w:rsidRDefault="00257403"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12.7</w:t>
            </w:r>
          </w:p>
        </w:tc>
        <w:tc>
          <w:tcPr>
            <w:tcW w:w="1200" w:type="dxa"/>
          </w:tcPr>
          <w:p w:rsidR="00697C93" w:rsidRPr="0005401A" w:rsidRDefault="00DA35E0" w:rsidP="00DA35E0">
            <w:pPr>
              <w:widowControl w:val="0"/>
              <w:tabs>
                <w:tab w:val="right" w:pos="7200"/>
              </w:tabs>
              <w:jc w:val="right"/>
              <w:rPr>
                <w:rFonts w:ascii="Arial" w:hAnsi="Arial" w:cs="Arial"/>
                <w:snapToGrid w:val="0"/>
                <w:color w:val="000000"/>
              </w:rPr>
            </w:pPr>
            <w:r w:rsidRPr="0005401A">
              <w:rPr>
                <w:rFonts w:ascii="Arial" w:hAnsi="Arial" w:cs="Arial"/>
                <w:snapToGrid w:val="0"/>
                <w:color w:val="000000"/>
              </w:rPr>
              <w:t xml:space="preserve"> </w:t>
            </w:r>
            <w:r w:rsidR="00F06642" w:rsidRPr="0005401A">
              <w:rPr>
                <w:rFonts w:ascii="Arial" w:hAnsi="Arial" w:cs="Arial"/>
                <w:snapToGrid w:val="0"/>
                <w:color w:val="000000"/>
              </w:rPr>
              <w:t>112,015</w:t>
            </w:r>
          </w:p>
        </w:tc>
        <w:tc>
          <w:tcPr>
            <w:tcW w:w="1149" w:type="dxa"/>
          </w:tcPr>
          <w:p w:rsidR="00697C93" w:rsidRPr="0005401A" w:rsidRDefault="00F06642" w:rsidP="00504AFC">
            <w:pPr>
              <w:widowControl w:val="0"/>
              <w:tabs>
                <w:tab w:val="right" w:pos="7200"/>
              </w:tabs>
              <w:jc w:val="right"/>
              <w:rPr>
                <w:rFonts w:ascii="Arial" w:hAnsi="Arial" w:cs="Arial"/>
                <w:snapToGrid w:val="0"/>
                <w:color w:val="000000"/>
              </w:rPr>
            </w:pPr>
            <w:r w:rsidRPr="0005401A">
              <w:rPr>
                <w:rFonts w:ascii="Arial" w:hAnsi="Arial" w:cs="Arial"/>
                <w:snapToGrid w:val="0"/>
                <w:color w:val="000000"/>
              </w:rPr>
              <w:t>86,769</w:t>
            </w:r>
          </w:p>
        </w:tc>
      </w:tr>
      <w:tr w:rsidR="00697C93" w:rsidRPr="003D2F7A" w:rsidTr="005C73D7">
        <w:trPr>
          <w:trHeight w:val="466"/>
        </w:trPr>
        <w:tc>
          <w:tcPr>
            <w:tcW w:w="2520" w:type="dxa"/>
          </w:tcPr>
          <w:p w:rsidR="00697C93" w:rsidRPr="00090676" w:rsidRDefault="00697C93" w:rsidP="005C73D7">
            <w:pPr>
              <w:widowControl w:val="0"/>
              <w:tabs>
                <w:tab w:val="right" w:pos="7200"/>
              </w:tabs>
              <w:rPr>
                <w:rFonts w:ascii="Arial" w:hAnsi="Arial" w:cs="Arial"/>
                <w:snapToGrid w:val="0"/>
                <w:color w:val="000000"/>
              </w:rPr>
            </w:pPr>
            <w:r w:rsidRPr="00090676">
              <w:rPr>
                <w:rFonts w:ascii="Arial" w:hAnsi="Arial" w:cs="Arial"/>
                <w:snapToGrid w:val="0"/>
                <w:color w:val="000000"/>
              </w:rPr>
              <w:t>Overseas equities</w:t>
            </w:r>
          </w:p>
        </w:tc>
        <w:tc>
          <w:tcPr>
            <w:tcW w:w="1200" w:type="dxa"/>
          </w:tcPr>
          <w:p w:rsidR="00697C93" w:rsidRPr="0005401A" w:rsidRDefault="004F74CF"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161,590</w:t>
            </w:r>
          </w:p>
        </w:tc>
        <w:tc>
          <w:tcPr>
            <w:tcW w:w="1320" w:type="dxa"/>
          </w:tcPr>
          <w:p w:rsidR="00697C93" w:rsidRPr="0005401A" w:rsidRDefault="00697C93" w:rsidP="00257403">
            <w:pPr>
              <w:widowControl w:val="0"/>
              <w:tabs>
                <w:tab w:val="right" w:pos="7200"/>
              </w:tabs>
              <w:jc w:val="right"/>
              <w:rPr>
                <w:rFonts w:ascii="Arial" w:hAnsi="Arial" w:cs="Arial"/>
                <w:snapToGrid w:val="0"/>
                <w:color w:val="000000"/>
              </w:rPr>
            </w:pPr>
            <w:r w:rsidRPr="0005401A">
              <w:rPr>
                <w:rFonts w:ascii="Arial" w:hAnsi="Arial" w:cs="Arial"/>
                <w:snapToGrid w:val="0"/>
                <w:color w:val="000000"/>
              </w:rPr>
              <w:t>1</w:t>
            </w:r>
            <w:r w:rsidR="00257403" w:rsidRPr="0005401A">
              <w:rPr>
                <w:rFonts w:ascii="Arial" w:hAnsi="Arial" w:cs="Arial"/>
                <w:snapToGrid w:val="0"/>
                <w:color w:val="000000"/>
              </w:rPr>
              <w:t>3.9</w:t>
            </w:r>
          </w:p>
        </w:tc>
        <w:tc>
          <w:tcPr>
            <w:tcW w:w="1200" w:type="dxa"/>
          </w:tcPr>
          <w:p w:rsidR="00697C93" w:rsidRPr="0005401A" w:rsidRDefault="00DA35E0" w:rsidP="00DA35E0">
            <w:pPr>
              <w:widowControl w:val="0"/>
              <w:tabs>
                <w:tab w:val="right" w:pos="7200"/>
              </w:tabs>
              <w:jc w:val="right"/>
              <w:rPr>
                <w:rFonts w:ascii="Arial" w:hAnsi="Arial" w:cs="Arial"/>
                <w:snapToGrid w:val="0"/>
                <w:color w:val="000000"/>
              </w:rPr>
            </w:pPr>
            <w:r w:rsidRPr="0005401A">
              <w:rPr>
                <w:rFonts w:ascii="Arial" w:hAnsi="Arial" w:cs="Arial"/>
                <w:snapToGrid w:val="0"/>
                <w:color w:val="000000"/>
              </w:rPr>
              <w:t xml:space="preserve">    </w:t>
            </w:r>
            <w:r w:rsidR="0052731C" w:rsidRPr="0005401A">
              <w:rPr>
                <w:rFonts w:ascii="Arial" w:hAnsi="Arial" w:cs="Arial"/>
                <w:snapToGrid w:val="0"/>
                <w:color w:val="000000"/>
              </w:rPr>
              <w:t>184,051</w:t>
            </w:r>
          </w:p>
        </w:tc>
        <w:tc>
          <w:tcPr>
            <w:tcW w:w="1149" w:type="dxa"/>
          </w:tcPr>
          <w:p w:rsidR="00697C93" w:rsidRPr="0005401A" w:rsidRDefault="0052731C" w:rsidP="00504AFC">
            <w:pPr>
              <w:widowControl w:val="0"/>
              <w:tabs>
                <w:tab w:val="right" w:pos="7200"/>
              </w:tabs>
              <w:jc w:val="right"/>
              <w:rPr>
                <w:rFonts w:ascii="Arial" w:hAnsi="Arial" w:cs="Arial"/>
                <w:snapToGrid w:val="0"/>
                <w:color w:val="000000"/>
              </w:rPr>
            </w:pPr>
            <w:r w:rsidRPr="0005401A">
              <w:rPr>
                <w:rFonts w:ascii="Arial" w:hAnsi="Arial" w:cs="Arial"/>
                <w:snapToGrid w:val="0"/>
                <w:color w:val="000000"/>
              </w:rPr>
              <w:t>139,129</w:t>
            </w:r>
          </w:p>
        </w:tc>
      </w:tr>
      <w:tr w:rsidR="009A735F" w:rsidRPr="003D2F7A" w:rsidTr="005C73D7">
        <w:trPr>
          <w:trHeight w:val="466"/>
        </w:trPr>
        <w:tc>
          <w:tcPr>
            <w:tcW w:w="2520" w:type="dxa"/>
          </w:tcPr>
          <w:p w:rsidR="009A735F" w:rsidRPr="00090676" w:rsidRDefault="009A735F" w:rsidP="005C73D7">
            <w:pPr>
              <w:widowControl w:val="0"/>
              <w:tabs>
                <w:tab w:val="right" w:pos="7200"/>
              </w:tabs>
              <w:rPr>
                <w:rFonts w:ascii="Arial" w:hAnsi="Arial" w:cs="Arial"/>
                <w:snapToGrid w:val="0"/>
                <w:color w:val="000000"/>
              </w:rPr>
            </w:pPr>
            <w:r w:rsidRPr="00090676">
              <w:rPr>
                <w:rFonts w:ascii="Arial" w:hAnsi="Arial" w:cs="Arial"/>
                <w:snapToGrid w:val="0"/>
                <w:color w:val="000000"/>
              </w:rPr>
              <w:t>Property</w:t>
            </w:r>
          </w:p>
        </w:tc>
        <w:tc>
          <w:tcPr>
            <w:tcW w:w="1200" w:type="dxa"/>
          </w:tcPr>
          <w:p w:rsidR="009A735F" w:rsidRPr="0005401A" w:rsidRDefault="00B74AAE"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33,320</w:t>
            </w:r>
          </w:p>
        </w:tc>
        <w:tc>
          <w:tcPr>
            <w:tcW w:w="1320" w:type="dxa"/>
          </w:tcPr>
          <w:p w:rsidR="009A735F" w:rsidRPr="0005401A" w:rsidRDefault="00257403"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2.5</w:t>
            </w:r>
          </w:p>
        </w:tc>
        <w:tc>
          <w:tcPr>
            <w:tcW w:w="1200" w:type="dxa"/>
          </w:tcPr>
          <w:p w:rsidR="009A735F" w:rsidRPr="0005401A" w:rsidRDefault="00DA35E0" w:rsidP="00DA35E0">
            <w:pPr>
              <w:widowControl w:val="0"/>
              <w:tabs>
                <w:tab w:val="right" w:pos="7200"/>
              </w:tabs>
              <w:jc w:val="right"/>
              <w:rPr>
                <w:rFonts w:ascii="Arial" w:hAnsi="Arial" w:cs="Arial"/>
                <w:snapToGrid w:val="0"/>
                <w:color w:val="000000"/>
              </w:rPr>
            </w:pPr>
            <w:r w:rsidRPr="0005401A">
              <w:rPr>
                <w:rFonts w:ascii="Arial" w:hAnsi="Arial" w:cs="Arial"/>
                <w:snapToGrid w:val="0"/>
                <w:color w:val="000000"/>
              </w:rPr>
              <w:t xml:space="preserve">    </w:t>
            </w:r>
            <w:r w:rsidR="00EE1141" w:rsidRPr="0005401A">
              <w:rPr>
                <w:rFonts w:ascii="Arial" w:hAnsi="Arial" w:cs="Arial"/>
                <w:snapToGrid w:val="0"/>
                <w:color w:val="000000"/>
              </w:rPr>
              <w:t>34,153</w:t>
            </w:r>
          </w:p>
        </w:tc>
        <w:tc>
          <w:tcPr>
            <w:tcW w:w="1149" w:type="dxa"/>
          </w:tcPr>
          <w:p w:rsidR="009A735F" w:rsidRPr="0005401A" w:rsidRDefault="00EE1141" w:rsidP="00504AFC">
            <w:pPr>
              <w:widowControl w:val="0"/>
              <w:tabs>
                <w:tab w:val="right" w:pos="7200"/>
              </w:tabs>
              <w:jc w:val="right"/>
              <w:rPr>
                <w:rFonts w:ascii="Arial" w:hAnsi="Arial" w:cs="Arial"/>
                <w:snapToGrid w:val="0"/>
                <w:color w:val="000000"/>
              </w:rPr>
            </w:pPr>
            <w:r w:rsidRPr="0005401A">
              <w:rPr>
                <w:rFonts w:ascii="Arial" w:hAnsi="Arial" w:cs="Arial"/>
                <w:snapToGrid w:val="0"/>
                <w:color w:val="000000"/>
              </w:rPr>
              <w:t>32,487</w:t>
            </w:r>
          </w:p>
        </w:tc>
      </w:tr>
      <w:tr w:rsidR="009A735F" w:rsidRPr="003D2F7A" w:rsidTr="005C73D7">
        <w:trPr>
          <w:trHeight w:val="466"/>
        </w:trPr>
        <w:tc>
          <w:tcPr>
            <w:tcW w:w="2520" w:type="dxa"/>
          </w:tcPr>
          <w:p w:rsidR="009A735F" w:rsidRPr="00090676" w:rsidRDefault="009A735F" w:rsidP="005C73D7">
            <w:pPr>
              <w:widowControl w:val="0"/>
              <w:tabs>
                <w:tab w:val="right" w:pos="7200"/>
              </w:tabs>
              <w:rPr>
                <w:rFonts w:ascii="Arial" w:hAnsi="Arial" w:cs="Arial"/>
                <w:snapToGrid w:val="0"/>
                <w:color w:val="000000"/>
              </w:rPr>
            </w:pPr>
            <w:r w:rsidRPr="00090676">
              <w:rPr>
                <w:rFonts w:ascii="Arial" w:hAnsi="Arial" w:cs="Arial"/>
                <w:snapToGrid w:val="0"/>
                <w:color w:val="000000"/>
              </w:rPr>
              <w:t>Alternative investments</w:t>
            </w:r>
          </w:p>
        </w:tc>
        <w:tc>
          <w:tcPr>
            <w:tcW w:w="1200" w:type="dxa"/>
          </w:tcPr>
          <w:p w:rsidR="009A735F" w:rsidRPr="0005401A" w:rsidRDefault="004F74CF"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1</w:t>
            </w:r>
            <w:r w:rsidR="008E5ECE">
              <w:rPr>
                <w:rFonts w:ascii="Arial" w:hAnsi="Arial" w:cs="Arial"/>
                <w:snapToGrid w:val="0"/>
                <w:color w:val="000000"/>
              </w:rPr>
              <w:t>61,097</w:t>
            </w:r>
          </w:p>
        </w:tc>
        <w:tc>
          <w:tcPr>
            <w:tcW w:w="1320" w:type="dxa"/>
          </w:tcPr>
          <w:p w:rsidR="009A735F" w:rsidRPr="0005401A" w:rsidRDefault="00A61312" w:rsidP="005C73D7">
            <w:pPr>
              <w:widowControl w:val="0"/>
              <w:tabs>
                <w:tab w:val="right" w:pos="7200"/>
              </w:tabs>
              <w:jc w:val="right"/>
              <w:rPr>
                <w:rFonts w:ascii="Arial" w:hAnsi="Arial" w:cs="Arial"/>
                <w:snapToGrid w:val="0"/>
                <w:color w:val="000000"/>
              </w:rPr>
            </w:pPr>
            <w:r w:rsidRPr="0005401A">
              <w:rPr>
                <w:rFonts w:ascii="Arial" w:hAnsi="Arial" w:cs="Arial"/>
                <w:snapToGrid w:val="0"/>
                <w:color w:val="000000"/>
              </w:rPr>
              <w:t>5.3</w:t>
            </w:r>
          </w:p>
        </w:tc>
        <w:tc>
          <w:tcPr>
            <w:tcW w:w="1200" w:type="dxa"/>
          </w:tcPr>
          <w:p w:rsidR="009A735F" w:rsidRPr="0005401A" w:rsidRDefault="00DA35E0" w:rsidP="00DA35E0">
            <w:pPr>
              <w:widowControl w:val="0"/>
              <w:tabs>
                <w:tab w:val="right" w:pos="7200"/>
              </w:tabs>
              <w:jc w:val="right"/>
              <w:rPr>
                <w:rFonts w:ascii="Arial" w:hAnsi="Arial" w:cs="Arial"/>
                <w:snapToGrid w:val="0"/>
                <w:color w:val="000000"/>
              </w:rPr>
            </w:pPr>
            <w:r w:rsidRPr="0005401A">
              <w:rPr>
                <w:rFonts w:ascii="Arial" w:hAnsi="Arial" w:cs="Arial"/>
                <w:snapToGrid w:val="0"/>
                <w:color w:val="000000"/>
              </w:rPr>
              <w:t xml:space="preserve">    </w:t>
            </w:r>
            <w:r w:rsidR="00EE1141" w:rsidRPr="0005401A">
              <w:rPr>
                <w:rFonts w:ascii="Arial" w:hAnsi="Arial" w:cs="Arial"/>
                <w:snapToGrid w:val="0"/>
                <w:color w:val="000000"/>
              </w:rPr>
              <w:t>16</w:t>
            </w:r>
            <w:r w:rsidR="008E5ECE">
              <w:rPr>
                <w:rFonts w:ascii="Arial" w:hAnsi="Arial" w:cs="Arial"/>
                <w:snapToGrid w:val="0"/>
                <w:color w:val="000000"/>
              </w:rPr>
              <w:t>9,635</w:t>
            </w:r>
          </w:p>
        </w:tc>
        <w:tc>
          <w:tcPr>
            <w:tcW w:w="1149" w:type="dxa"/>
          </w:tcPr>
          <w:p w:rsidR="009A735F" w:rsidRPr="0005401A" w:rsidRDefault="00EE1141" w:rsidP="00504AFC">
            <w:pPr>
              <w:widowControl w:val="0"/>
              <w:tabs>
                <w:tab w:val="right" w:pos="7200"/>
              </w:tabs>
              <w:jc w:val="right"/>
              <w:rPr>
                <w:rFonts w:ascii="Arial" w:hAnsi="Arial" w:cs="Arial"/>
                <w:snapToGrid w:val="0"/>
                <w:color w:val="000000"/>
              </w:rPr>
            </w:pPr>
            <w:r w:rsidRPr="0005401A">
              <w:rPr>
                <w:rFonts w:ascii="Arial" w:hAnsi="Arial" w:cs="Arial"/>
                <w:snapToGrid w:val="0"/>
                <w:color w:val="000000"/>
              </w:rPr>
              <w:t>15</w:t>
            </w:r>
            <w:r w:rsidR="008E5ECE">
              <w:rPr>
                <w:rFonts w:ascii="Arial" w:hAnsi="Arial" w:cs="Arial"/>
                <w:snapToGrid w:val="0"/>
                <w:color w:val="000000"/>
              </w:rPr>
              <w:t>2,559</w:t>
            </w:r>
          </w:p>
        </w:tc>
      </w:tr>
      <w:tr w:rsidR="00003925" w:rsidRPr="003D2F7A" w:rsidTr="00003925">
        <w:trPr>
          <w:trHeight w:val="272"/>
        </w:trPr>
        <w:tc>
          <w:tcPr>
            <w:tcW w:w="2520" w:type="dxa"/>
          </w:tcPr>
          <w:p w:rsidR="00003925" w:rsidRPr="00090676" w:rsidRDefault="006E50AA" w:rsidP="005C73D7">
            <w:pPr>
              <w:widowControl w:val="0"/>
              <w:tabs>
                <w:tab w:val="right" w:pos="7200"/>
              </w:tabs>
              <w:rPr>
                <w:rFonts w:ascii="Arial" w:hAnsi="Arial" w:cs="Arial"/>
                <w:b/>
                <w:snapToGrid w:val="0"/>
                <w:color w:val="000000"/>
              </w:rPr>
            </w:pPr>
            <w:r w:rsidRPr="00090676">
              <w:rPr>
                <w:rFonts w:ascii="Arial" w:hAnsi="Arial" w:cs="Arial"/>
                <w:b/>
                <w:snapToGrid w:val="0"/>
                <w:color w:val="000000"/>
              </w:rPr>
              <w:t>Total</w:t>
            </w:r>
          </w:p>
        </w:tc>
        <w:tc>
          <w:tcPr>
            <w:tcW w:w="1200" w:type="dxa"/>
            <w:tcBorders>
              <w:top w:val="single" w:sz="4" w:space="0" w:color="auto"/>
              <w:bottom w:val="single" w:sz="4" w:space="0" w:color="auto"/>
            </w:tcBorders>
          </w:tcPr>
          <w:p w:rsidR="00003925" w:rsidRPr="0005401A" w:rsidRDefault="00E92EBC" w:rsidP="005C73D7">
            <w:pPr>
              <w:widowControl w:val="0"/>
              <w:tabs>
                <w:tab w:val="right" w:pos="7200"/>
              </w:tabs>
              <w:jc w:val="right"/>
              <w:rPr>
                <w:rFonts w:ascii="Arial" w:hAnsi="Arial" w:cs="Arial"/>
                <w:b/>
                <w:snapToGrid w:val="0"/>
                <w:color w:val="000000"/>
              </w:rPr>
            </w:pPr>
            <w:r w:rsidRPr="0005401A">
              <w:rPr>
                <w:rFonts w:ascii="Arial" w:hAnsi="Arial" w:cs="Arial"/>
                <w:b/>
                <w:snapToGrid w:val="0"/>
                <w:color w:val="000000"/>
              </w:rPr>
              <w:t>54</w:t>
            </w:r>
            <w:r w:rsidR="008E5ECE">
              <w:rPr>
                <w:rFonts w:ascii="Arial" w:hAnsi="Arial" w:cs="Arial"/>
                <w:b/>
                <w:snapToGrid w:val="0"/>
                <w:color w:val="000000"/>
              </w:rPr>
              <w:t>3,831</w:t>
            </w:r>
          </w:p>
        </w:tc>
        <w:tc>
          <w:tcPr>
            <w:tcW w:w="1320" w:type="dxa"/>
          </w:tcPr>
          <w:p w:rsidR="00003925" w:rsidRPr="0005401A" w:rsidRDefault="00003925" w:rsidP="005C73D7">
            <w:pPr>
              <w:widowControl w:val="0"/>
              <w:tabs>
                <w:tab w:val="right" w:pos="7200"/>
              </w:tabs>
              <w:jc w:val="right"/>
              <w:rPr>
                <w:rFonts w:ascii="Arial" w:hAnsi="Arial" w:cs="Arial"/>
                <w:b/>
                <w:snapToGrid w:val="0"/>
                <w:color w:val="000000"/>
              </w:rPr>
            </w:pPr>
          </w:p>
        </w:tc>
        <w:tc>
          <w:tcPr>
            <w:tcW w:w="1200" w:type="dxa"/>
            <w:tcBorders>
              <w:top w:val="single" w:sz="4" w:space="0" w:color="auto"/>
              <w:bottom w:val="single" w:sz="4" w:space="0" w:color="auto"/>
            </w:tcBorders>
          </w:tcPr>
          <w:p w:rsidR="00003925" w:rsidRPr="0005401A" w:rsidRDefault="0005401A" w:rsidP="00504AFC">
            <w:pPr>
              <w:widowControl w:val="0"/>
              <w:tabs>
                <w:tab w:val="right" w:pos="7200"/>
              </w:tabs>
              <w:jc w:val="right"/>
              <w:rPr>
                <w:rFonts w:ascii="Arial" w:hAnsi="Arial" w:cs="Arial"/>
                <w:b/>
                <w:snapToGrid w:val="0"/>
                <w:color w:val="000000"/>
              </w:rPr>
            </w:pPr>
            <w:r w:rsidRPr="0005401A">
              <w:rPr>
                <w:rFonts w:ascii="Arial" w:hAnsi="Arial" w:cs="Arial"/>
                <w:b/>
                <w:snapToGrid w:val="0"/>
                <w:color w:val="000000"/>
              </w:rPr>
              <w:t>5</w:t>
            </w:r>
            <w:r w:rsidR="008E5ECE">
              <w:rPr>
                <w:rFonts w:ascii="Arial" w:hAnsi="Arial" w:cs="Arial"/>
                <w:b/>
                <w:snapToGrid w:val="0"/>
                <w:color w:val="000000"/>
              </w:rPr>
              <w:t>91,436</w:t>
            </w:r>
          </w:p>
        </w:tc>
        <w:tc>
          <w:tcPr>
            <w:tcW w:w="1149" w:type="dxa"/>
            <w:tcBorders>
              <w:top w:val="single" w:sz="4" w:space="0" w:color="auto"/>
              <w:bottom w:val="single" w:sz="4" w:space="0" w:color="auto"/>
            </w:tcBorders>
          </w:tcPr>
          <w:p w:rsidR="00003925" w:rsidRPr="0005401A" w:rsidRDefault="0005401A" w:rsidP="00504AFC">
            <w:pPr>
              <w:widowControl w:val="0"/>
              <w:tabs>
                <w:tab w:val="right" w:pos="7200"/>
              </w:tabs>
              <w:jc w:val="right"/>
              <w:rPr>
                <w:rFonts w:ascii="Arial" w:hAnsi="Arial" w:cs="Arial"/>
                <w:b/>
                <w:snapToGrid w:val="0"/>
                <w:color w:val="000000"/>
              </w:rPr>
            </w:pPr>
            <w:r w:rsidRPr="0005401A">
              <w:rPr>
                <w:rFonts w:ascii="Arial" w:hAnsi="Arial" w:cs="Arial"/>
                <w:b/>
                <w:snapToGrid w:val="0"/>
                <w:color w:val="000000"/>
              </w:rPr>
              <w:t>4</w:t>
            </w:r>
            <w:r w:rsidR="00E95F8E">
              <w:rPr>
                <w:rFonts w:ascii="Arial" w:hAnsi="Arial" w:cs="Arial"/>
                <w:b/>
                <w:snapToGrid w:val="0"/>
                <w:color w:val="000000"/>
              </w:rPr>
              <w:t>9</w:t>
            </w:r>
            <w:r w:rsidR="008E5ECE">
              <w:rPr>
                <w:rFonts w:ascii="Arial" w:hAnsi="Arial" w:cs="Arial"/>
                <w:b/>
                <w:snapToGrid w:val="0"/>
                <w:color w:val="000000"/>
              </w:rPr>
              <w:t>6,226</w:t>
            </w:r>
          </w:p>
        </w:tc>
      </w:tr>
    </w:tbl>
    <w:p w:rsidR="009B3658" w:rsidRPr="003D2F7A" w:rsidRDefault="009B3658" w:rsidP="005A653B">
      <w:pPr>
        <w:widowControl w:val="0"/>
        <w:tabs>
          <w:tab w:val="right" w:pos="7200"/>
        </w:tabs>
        <w:rPr>
          <w:rFonts w:ascii="Arial" w:hAnsi="Arial" w:cs="Arial"/>
          <w:snapToGrid w:val="0"/>
          <w:color w:val="000000"/>
          <w:sz w:val="24"/>
          <w:highlight w:val="yellow"/>
        </w:rPr>
      </w:pPr>
    </w:p>
    <w:p w:rsidR="009B3658" w:rsidRPr="003D2F7A" w:rsidRDefault="009B3658" w:rsidP="005A653B">
      <w:pPr>
        <w:widowControl w:val="0"/>
        <w:tabs>
          <w:tab w:val="right" w:pos="7200"/>
        </w:tabs>
        <w:rPr>
          <w:rFonts w:ascii="Arial" w:hAnsi="Arial" w:cs="Arial"/>
          <w:snapToGrid w:val="0"/>
          <w:color w:val="000000"/>
          <w:sz w:val="24"/>
          <w:highlight w:val="yellow"/>
        </w:rPr>
      </w:pPr>
    </w:p>
    <w:tbl>
      <w:tblPr>
        <w:tblW w:w="7389" w:type="dxa"/>
        <w:tblInd w:w="-132" w:type="dxa"/>
        <w:tblLayout w:type="fixed"/>
        <w:tblLook w:val="0000" w:firstRow="0" w:lastRow="0" w:firstColumn="0" w:lastColumn="0" w:noHBand="0" w:noVBand="0"/>
      </w:tblPr>
      <w:tblGrid>
        <w:gridCol w:w="2520"/>
        <w:gridCol w:w="1200"/>
        <w:gridCol w:w="1320"/>
        <w:gridCol w:w="1200"/>
        <w:gridCol w:w="1149"/>
      </w:tblGrid>
      <w:tr w:rsidR="00504AFC" w:rsidRPr="003D2F7A" w:rsidTr="00607155">
        <w:trPr>
          <w:trHeight w:val="738"/>
        </w:trPr>
        <w:tc>
          <w:tcPr>
            <w:tcW w:w="2520" w:type="dxa"/>
          </w:tcPr>
          <w:p w:rsidR="00504AFC" w:rsidRPr="00FD420C" w:rsidRDefault="00504AFC" w:rsidP="005C73D7">
            <w:pPr>
              <w:widowControl w:val="0"/>
              <w:tabs>
                <w:tab w:val="right" w:pos="7200"/>
              </w:tabs>
              <w:rPr>
                <w:rFonts w:ascii="Arial" w:hAnsi="Arial" w:cs="Arial"/>
                <w:b/>
                <w:snapToGrid w:val="0"/>
                <w:color w:val="000000"/>
              </w:rPr>
            </w:pPr>
            <w:r w:rsidRPr="00FD420C">
              <w:rPr>
                <w:rFonts w:ascii="Arial" w:hAnsi="Arial" w:cs="Arial"/>
                <w:b/>
                <w:snapToGrid w:val="0"/>
                <w:color w:val="000000"/>
              </w:rPr>
              <w:t>Asset type</w:t>
            </w:r>
          </w:p>
        </w:tc>
        <w:tc>
          <w:tcPr>
            <w:tcW w:w="1200" w:type="dxa"/>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Value at</w:t>
            </w:r>
          </w:p>
          <w:p w:rsidR="00504AFC" w:rsidRPr="00FD420C" w:rsidRDefault="00504AFC" w:rsidP="009B5D4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31 March 201</w:t>
            </w:r>
            <w:r w:rsidR="009B5D47" w:rsidRPr="00FD420C">
              <w:rPr>
                <w:rFonts w:ascii="Arial" w:hAnsi="Arial" w:cs="Arial"/>
                <w:b/>
                <w:snapToGrid w:val="0"/>
                <w:color w:val="000000"/>
              </w:rPr>
              <w:t>2</w:t>
            </w:r>
          </w:p>
        </w:tc>
        <w:tc>
          <w:tcPr>
            <w:tcW w:w="1320" w:type="dxa"/>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Percentage change</w:t>
            </w:r>
          </w:p>
        </w:tc>
        <w:tc>
          <w:tcPr>
            <w:tcW w:w="1200" w:type="dxa"/>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Value on increase</w:t>
            </w:r>
          </w:p>
        </w:tc>
        <w:tc>
          <w:tcPr>
            <w:tcW w:w="1149" w:type="dxa"/>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Value on decrease</w:t>
            </w:r>
          </w:p>
        </w:tc>
      </w:tr>
      <w:tr w:rsidR="00504AFC" w:rsidRPr="003D2F7A" w:rsidTr="00607155">
        <w:trPr>
          <w:trHeight w:val="486"/>
        </w:trPr>
        <w:tc>
          <w:tcPr>
            <w:tcW w:w="2520" w:type="dxa"/>
          </w:tcPr>
          <w:p w:rsidR="00504AFC" w:rsidRPr="00FD420C" w:rsidRDefault="00504AFC" w:rsidP="005C73D7">
            <w:pPr>
              <w:widowControl w:val="0"/>
              <w:tabs>
                <w:tab w:val="right" w:pos="7200"/>
              </w:tabs>
              <w:rPr>
                <w:rFonts w:ascii="Arial" w:hAnsi="Arial" w:cs="Arial"/>
                <w:snapToGrid w:val="0"/>
                <w:color w:val="000000"/>
              </w:rPr>
            </w:pPr>
          </w:p>
        </w:tc>
        <w:tc>
          <w:tcPr>
            <w:tcW w:w="1200" w:type="dxa"/>
            <w:vAlign w:val="center"/>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£’000</w:t>
            </w:r>
          </w:p>
        </w:tc>
        <w:tc>
          <w:tcPr>
            <w:tcW w:w="1320" w:type="dxa"/>
            <w:vAlign w:val="center"/>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w:t>
            </w:r>
          </w:p>
        </w:tc>
        <w:tc>
          <w:tcPr>
            <w:tcW w:w="1200" w:type="dxa"/>
            <w:vAlign w:val="center"/>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£’000</w:t>
            </w:r>
          </w:p>
        </w:tc>
        <w:tc>
          <w:tcPr>
            <w:tcW w:w="1149" w:type="dxa"/>
            <w:vAlign w:val="center"/>
          </w:tcPr>
          <w:p w:rsidR="00504AFC" w:rsidRPr="00FD420C" w:rsidRDefault="00504AFC" w:rsidP="005C73D7">
            <w:pPr>
              <w:widowControl w:val="0"/>
              <w:tabs>
                <w:tab w:val="right" w:pos="7200"/>
              </w:tabs>
              <w:jc w:val="right"/>
              <w:rPr>
                <w:rFonts w:ascii="Arial" w:hAnsi="Arial" w:cs="Arial"/>
                <w:b/>
                <w:snapToGrid w:val="0"/>
                <w:color w:val="000000"/>
              </w:rPr>
            </w:pPr>
            <w:r w:rsidRPr="00FD420C">
              <w:rPr>
                <w:rFonts w:ascii="Arial" w:hAnsi="Arial" w:cs="Arial"/>
                <w:b/>
                <w:snapToGrid w:val="0"/>
                <w:color w:val="000000"/>
              </w:rPr>
              <w:t>£’000</w:t>
            </w:r>
          </w:p>
        </w:tc>
      </w:tr>
      <w:tr w:rsidR="00C92107" w:rsidRPr="003D2F7A" w:rsidTr="00C92107">
        <w:trPr>
          <w:trHeight w:val="466"/>
        </w:trPr>
        <w:tc>
          <w:tcPr>
            <w:tcW w:w="2520" w:type="dxa"/>
          </w:tcPr>
          <w:p w:rsidR="00C92107" w:rsidRPr="00FD420C" w:rsidRDefault="00C92107" w:rsidP="00C92107">
            <w:pPr>
              <w:widowControl w:val="0"/>
              <w:tabs>
                <w:tab w:val="right" w:pos="7200"/>
              </w:tabs>
              <w:rPr>
                <w:rFonts w:ascii="Arial" w:hAnsi="Arial" w:cs="Arial"/>
                <w:b/>
                <w:snapToGrid w:val="0"/>
                <w:color w:val="000000"/>
              </w:rPr>
            </w:pPr>
            <w:r w:rsidRPr="00FD420C">
              <w:rPr>
                <w:rFonts w:ascii="Arial" w:hAnsi="Arial" w:cs="Arial"/>
                <w:b/>
                <w:snapToGrid w:val="0"/>
                <w:color w:val="000000"/>
              </w:rPr>
              <w:t>Cash and cash equivalents</w:t>
            </w:r>
          </w:p>
          <w:p w:rsidR="00C92107" w:rsidRPr="00404FED" w:rsidRDefault="00C92107" w:rsidP="00C92107">
            <w:pPr>
              <w:widowControl w:val="0"/>
              <w:tabs>
                <w:tab w:val="right" w:pos="7200"/>
              </w:tabs>
              <w:rPr>
                <w:rFonts w:ascii="Arial" w:hAnsi="Arial" w:cs="Arial"/>
                <w:snapToGrid w:val="0"/>
                <w:color w:val="000000"/>
              </w:rPr>
            </w:pPr>
          </w:p>
        </w:tc>
        <w:tc>
          <w:tcPr>
            <w:tcW w:w="1200" w:type="dxa"/>
          </w:tcPr>
          <w:p w:rsidR="00C92107" w:rsidRPr="00404FED" w:rsidRDefault="00B46374" w:rsidP="00C92107">
            <w:pPr>
              <w:widowControl w:val="0"/>
              <w:tabs>
                <w:tab w:val="right" w:pos="7200"/>
              </w:tabs>
              <w:jc w:val="right"/>
              <w:rPr>
                <w:rFonts w:ascii="Arial" w:hAnsi="Arial" w:cs="Arial"/>
                <w:snapToGrid w:val="0"/>
                <w:color w:val="000000"/>
              </w:rPr>
            </w:pPr>
            <w:r>
              <w:rPr>
                <w:rFonts w:ascii="Arial" w:hAnsi="Arial" w:cs="Arial"/>
                <w:snapToGrid w:val="0"/>
                <w:color w:val="000000"/>
              </w:rPr>
              <w:t>5,591</w:t>
            </w:r>
          </w:p>
        </w:tc>
        <w:tc>
          <w:tcPr>
            <w:tcW w:w="1320" w:type="dxa"/>
          </w:tcPr>
          <w:p w:rsidR="00C92107" w:rsidRPr="00404FED" w:rsidRDefault="00C92107" w:rsidP="00C92107">
            <w:pPr>
              <w:widowControl w:val="0"/>
              <w:tabs>
                <w:tab w:val="right" w:pos="7200"/>
              </w:tabs>
              <w:jc w:val="right"/>
              <w:rPr>
                <w:rFonts w:ascii="Arial" w:hAnsi="Arial" w:cs="Arial"/>
                <w:snapToGrid w:val="0"/>
                <w:color w:val="000000"/>
              </w:rPr>
            </w:pPr>
            <w:r w:rsidRPr="00404FED">
              <w:rPr>
                <w:rFonts w:ascii="Arial" w:hAnsi="Arial" w:cs="Arial"/>
                <w:snapToGrid w:val="0"/>
                <w:color w:val="000000"/>
              </w:rPr>
              <w:t>0.0</w:t>
            </w:r>
          </w:p>
        </w:tc>
        <w:tc>
          <w:tcPr>
            <w:tcW w:w="1200" w:type="dxa"/>
          </w:tcPr>
          <w:p w:rsidR="00C92107" w:rsidRPr="00404FED" w:rsidRDefault="00B46374" w:rsidP="00C92107">
            <w:pPr>
              <w:widowControl w:val="0"/>
              <w:tabs>
                <w:tab w:val="right" w:pos="7200"/>
              </w:tabs>
              <w:jc w:val="right"/>
              <w:rPr>
                <w:rFonts w:ascii="Arial" w:hAnsi="Arial" w:cs="Arial"/>
                <w:snapToGrid w:val="0"/>
                <w:color w:val="000000"/>
              </w:rPr>
            </w:pPr>
            <w:r>
              <w:rPr>
                <w:rFonts w:ascii="Arial" w:hAnsi="Arial" w:cs="Arial"/>
                <w:snapToGrid w:val="0"/>
                <w:color w:val="000000"/>
              </w:rPr>
              <w:t xml:space="preserve">      5,591</w:t>
            </w:r>
          </w:p>
        </w:tc>
        <w:tc>
          <w:tcPr>
            <w:tcW w:w="1149" w:type="dxa"/>
          </w:tcPr>
          <w:p w:rsidR="00C92107" w:rsidRPr="00404FED" w:rsidRDefault="00B46374" w:rsidP="00C92107">
            <w:pPr>
              <w:widowControl w:val="0"/>
              <w:tabs>
                <w:tab w:val="right" w:pos="7200"/>
              </w:tabs>
              <w:jc w:val="right"/>
              <w:rPr>
                <w:rFonts w:ascii="Arial" w:hAnsi="Arial" w:cs="Arial"/>
                <w:snapToGrid w:val="0"/>
                <w:color w:val="000000"/>
              </w:rPr>
            </w:pPr>
            <w:r>
              <w:rPr>
                <w:rFonts w:ascii="Arial" w:hAnsi="Arial" w:cs="Arial"/>
                <w:snapToGrid w:val="0"/>
                <w:color w:val="000000"/>
              </w:rPr>
              <w:t>5,591</w:t>
            </w:r>
          </w:p>
        </w:tc>
      </w:tr>
      <w:tr w:rsidR="00C92107" w:rsidRPr="003D2F7A" w:rsidTr="005C73D7">
        <w:trPr>
          <w:trHeight w:val="466"/>
        </w:trPr>
        <w:tc>
          <w:tcPr>
            <w:tcW w:w="2520" w:type="dxa"/>
          </w:tcPr>
          <w:p w:rsidR="00C92107" w:rsidRPr="006E50AA" w:rsidRDefault="00C92107" w:rsidP="005C73D7">
            <w:pPr>
              <w:widowControl w:val="0"/>
              <w:tabs>
                <w:tab w:val="right" w:pos="7200"/>
              </w:tabs>
              <w:rPr>
                <w:rFonts w:ascii="Arial" w:hAnsi="Arial" w:cs="Arial"/>
                <w:b/>
                <w:snapToGrid w:val="0"/>
                <w:color w:val="000000"/>
              </w:rPr>
            </w:pPr>
            <w:r w:rsidRPr="006E50AA">
              <w:rPr>
                <w:rFonts w:ascii="Arial" w:hAnsi="Arial" w:cs="Arial"/>
                <w:b/>
                <w:snapToGrid w:val="0"/>
                <w:color w:val="000000"/>
              </w:rPr>
              <w:t>Investment portfolio assets:</w:t>
            </w:r>
          </w:p>
          <w:p w:rsidR="00C92107" w:rsidRPr="006E50AA" w:rsidRDefault="00C92107" w:rsidP="005C73D7">
            <w:pPr>
              <w:widowControl w:val="0"/>
              <w:tabs>
                <w:tab w:val="right" w:pos="7200"/>
              </w:tabs>
              <w:rPr>
                <w:rFonts w:ascii="Arial" w:hAnsi="Arial" w:cs="Arial"/>
                <w:snapToGrid w:val="0"/>
                <w:color w:val="000000"/>
              </w:rPr>
            </w:pPr>
          </w:p>
        </w:tc>
        <w:tc>
          <w:tcPr>
            <w:tcW w:w="1200" w:type="dxa"/>
          </w:tcPr>
          <w:p w:rsidR="00C92107" w:rsidRPr="003D2F7A" w:rsidRDefault="00C92107" w:rsidP="005C73D7">
            <w:pPr>
              <w:widowControl w:val="0"/>
              <w:tabs>
                <w:tab w:val="right" w:pos="7200"/>
              </w:tabs>
              <w:jc w:val="right"/>
              <w:rPr>
                <w:rFonts w:ascii="Arial" w:hAnsi="Arial" w:cs="Arial"/>
                <w:snapToGrid w:val="0"/>
                <w:color w:val="000000"/>
                <w:highlight w:val="yellow"/>
              </w:rPr>
            </w:pPr>
          </w:p>
        </w:tc>
        <w:tc>
          <w:tcPr>
            <w:tcW w:w="1320" w:type="dxa"/>
          </w:tcPr>
          <w:p w:rsidR="00C92107" w:rsidRPr="003D2F7A" w:rsidRDefault="00C92107" w:rsidP="005C73D7">
            <w:pPr>
              <w:widowControl w:val="0"/>
              <w:tabs>
                <w:tab w:val="right" w:pos="7200"/>
              </w:tabs>
              <w:jc w:val="right"/>
              <w:rPr>
                <w:rFonts w:ascii="Arial" w:hAnsi="Arial" w:cs="Arial"/>
                <w:snapToGrid w:val="0"/>
                <w:color w:val="000000"/>
                <w:highlight w:val="yellow"/>
              </w:rPr>
            </w:pPr>
          </w:p>
        </w:tc>
        <w:tc>
          <w:tcPr>
            <w:tcW w:w="1200" w:type="dxa"/>
          </w:tcPr>
          <w:p w:rsidR="00C92107" w:rsidRPr="003D2F7A" w:rsidRDefault="00C92107" w:rsidP="00B678E4">
            <w:pPr>
              <w:widowControl w:val="0"/>
              <w:tabs>
                <w:tab w:val="right" w:pos="7200"/>
              </w:tabs>
              <w:jc w:val="right"/>
              <w:rPr>
                <w:rFonts w:ascii="Arial" w:hAnsi="Arial" w:cs="Arial"/>
                <w:snapToGrid w:val="0"/>
                <w:color w:val="000000"/>
                <w:highlight w:val="yellow"/>
              </w:rPr>
            </w:pPr>
          </w:p>
        </w:tc>
        <w:tc>
          <w:tcPr>
            <w:tcW w:w="1149" w:type="dxa"/>
          </w:tcPr>
          <w:p w:rsidR="00C92107" w:rsidRPr="003D2F7A" w:rsidRDefault="00C92107" w:rsidP="00504AFC">
            <w:pPr>
              <w:widowControl w:val="0"/>
              <w:tabs>
                <w:tab w:val="right" w:pos="7200"/>
              </w:tabs>
              <w:jc w:val="right"/>
              <w:rPr>
                <w:rFonts w:ascii="Arial" w:hAnsi="Arial" w:cs="Arial"/>
                <w:snapToGrid w:val="0"/>
                <w:color w:val="000000"/>
                <w:highlight w:val="yellow"/>
              </w:rPr>
            </w:pPr>
          </w:p>
        </w:tc>
      </w:tr>
      <w:tr w:rsidR="00504AFC" w:rsidRPr="003D2F7A" w:rsidTr="005C73D7">
        <w:trPr>
          <w:trHeight w:val="466"/>
        </w:trPr>
        <w:tc>
          <w:tcPr>
            <w:tcW w:w="2520" w:type="dxa"/>
          </w:tcPr>
          <w:p w:rsidR="00504AFC" w:rsidRPr="006E50AA" w:rsidRDefault="00A61312" w:rsidP="005C73D7">
            <w:pPr>
              <w:widowControl w:val="0"/>
              <w:tabs>
                <w:tab w:val="right" w:pos="7200"/>
              </w:tabs>
              <w:rPr>
                <w:rFonts w:ascii="Arial" w:hAnsi="Arial" w:cs="Arial"/>
                <w:snapToGrid w:val="0"/>
                <w:color w:val="000000"/>
              </w:rPr>
            </w:pPr>
            <w:r w:rsidRPr="006E50AA">
              <w:rPr>
                <w:rFonts w:ascii="Arial" w:hAnsi="Arial" w:cs="Arial"/>
                <w:snapToGrid w:val="0"/>
                <w:color w:val="000000"/>
              </w:rPr>
              <w:t>Fixed interest</w:t>
            </w:r>
          </w:p>
        </w:tc>
        <w:tc>
          <w:tcPr>
            <w:tcW w:w="1200" w:type="dxa"/>
          </w:tcPr>
          <w:p w:rsidR="00504AFC" w:rsidRPr="00507F4F" w:rsidRDefault="00090676" w:rsidP="005C73D7">
            <w:pPr>
              <w:widowControl w:val="0"/>
              <w:tabs>
                <w:tab w:val="right" w:pos="7200"/>
              </w:tabs>
              <w:jc w:val="right"/>
              <w:rPr>
                <w:rFonts w:ascii="Arial" w:hAnsi="Arial" w:cs="Arial"/>
                <w:snapToGrid w:val="0"/>
                <w:color w:val="000000"/>
              </w:rPr>
            </w:pPr>
            <w:r w:rsidRPr="00507F4F">
              <w:rPr>
                <w:rFonts w:ascii="Arial" w:hAnsi="Arial" w:cs="Arial"/>
                <w:snapToGrid w:val="0"/>
                <w:color w:val="000000"/>
              </w:rPr>
              <w:t>77,040</w:t>
            </w:r>
          </w:p>
        </w:tc>
        <w:tc>
          <w:tcPr>
            <w:tcW w:w="1320" w:type="dxa"/>
          </w:tcPr>
          <w:p w:rsidR="00504AFC" w:rsidRPr="007F6709" w:rsidRDefault="007F6709" w:rsidP="005C73D7">
            <w:pPr>
              <w:widowControl w:val="0"/>
              <w:tabs>
                <w:tab w:val="right" w:pos="7200"/>
              </w:tabs>
              <w:jc w:val="right"/>
              <w:rPr>
                <w:rFonts w:ascii="Arial" w:hAnsi="Arial" w:cs="Arial"/>
                <w:snapToGrid w:val="0"/>
                <w:color w:val="000000"/>
              </w:rPr>
            </w:pPr>
            <w:r w:rsidRPr="007F6709">
              <w:rPr>
                <w:rFonts w:ascii="Arial" w:hAnsi="Arial" w:cs="Arial"/>
                <w:snapToGrid w:val="0"/>
                <w:color w:val="000000"/>
              </w:rPr>
              <w:t>3.8</w:t>
            </w:r>
          </w:p>
        </w:tc>
        <w:tc>
          <w:tcPr>
            <w:tcW w:w="1200" w:type="dxa"/>
          </w:tcPr>
          <w:p w:rsidR="00504AFC" w:rsidRPr="00E25E11" w:rsidRDefault="00607155" w:rsidP="00B678E4">
            <w:pPr>
              <w:widowControl w:val="0"/>
              <w:tabs>
                <w:tab w:val="right" w:pos="7200"/>
              </w:tabs>
              <w:jc w:val="right"/>
              <w:rPr>
                <w:rFonts w:ascii="Arial" w:hAnsi="Arial" w:cs="Arial"/>
                <w:snapToGrid w:val="0"/>
                <w:color w:val="000000"/>
              </w:rPr>
            </w:pPr>
            <w:r w:rsidRPr="00E25E11">
              <w:rPr>
                <w:rFonts w:ascii="Arial" w:hAnsi="Arial" w:cs="Arial"/>
                <w:snapToGrid w:val="0"/>
                <w:color w:val="000000"/>
              </w:rPr>
              <w:t xml:space="preserve">    </w:t>
            </w:r>
            <w:r w:rsidR="009F7744" w:rsidRPr="00E25E11">
              <w:rPr>
                <w:rFonts w:ascii="Arial" w:hAnsi="Arial" w:cs="Arial"/>
                <w:snapToGrid w:val="0"/>
                <w:color w:val="000000"/>
              </w:rPr>
              <w:t>79,968</w:t>
            </w:r>
          </w:p>
        </w:tc>
        <w:tc>
          <w:tcPr>
            <w:tcW w:w="1149" w:type="dxa"/>
          </w:tcPr>
          <w:p w:rsidR="00504AFC" w:rsidRPr="00E25E11" w:rsidRDefault="009F7744" w:rsidP="00504AFC">
            <w:pPr>
              <w:widowControl w:val="0"/>
              <w:tabs>
                <w:tab w:val="right" w:pos="7200"/>
              </w:tabs>
              <w:jc w:val="right"/>
              <w:rPr>
                <w:rFonts w:ascii="Arial" w:hAnsi="Arial" w:cs="Arial"/>
                <w:snapToGrid w:val="0"/>
                <w:color w:val="000000"/>
              </w:rPr>
            </w:pPr>
            <w:r w:rsidRPr="00E25E11">
              <w:rPr>
                <w:rFonts w:ascii="Arial" w:hAnsi="Arial" w:cs="Arial"/>
                <w:snapToGrid w:val="0"/>
                <w:color w:val="000000"/>
              </w:rPr>
              <w:t>74,112</w:t>
            </w:r>
          </w:p>
        </w:tc>
      </w:tr>
      <w:tr w:rsidR="00504AFC" w:rsidRPr="003D2F7A" w:rsidTr="005C73D7">
        <w:trPr>
          <w:trHeight w:val="466"/>
        </w:trPr>
        <w:tc>
          <w:tcPr>
            <w:tcW w:w="2520" w:type="dxa"/>
          </w:tcPr>
          <w:p w:rsidR="00504AFC" w:rsidRPr="006E50AA" w:rsidRDefault="00504AFC" w:rsidP="005C73D7">
            <w:pPr>
              <w:widowControl w:val="0"/>
              <w:tabs>
                <w:tab w:val="right" w:pos="7200"/>
              </w:tabs>
              <w:rPr>
                <w:rFonts w:ascii="Arial" w:hAnsi="Arial" w:cs="Arial"/>
                <w:snapToGrid w:val="0"/>
                <w:color w:val="000000"/>
              </w:rPr>
            </w:pPr>
            <w:r w:rsidRPr="006E50AA">
              <w:rPr>
                <w:rFonts w:ascii="Arial" w:hAnsi="Arial" w:cs="Arial"/>
                <w:snapToGrid w:val="0"/>
                <w:color w:val="000000"/>
              </w:rPr>
              <w:t>UK equities</w:t>
            </w:r>
          </w:p>
        </w:tc>
        <w:tc>
          <w:tcPr>
            <w:tcW w:w="1200" w:type="dxa"/>
          </w:tcPr>
          <w:p w:rsidR="00504AFC" w:rsidRPr="00507F4F" w:rsidRDefault="00090676" w:rsidP="005C73D7">
            <w:pPr>
              <w:widowControl w:val="0"/>
              <w:tabs>
                <w:tab w:val="right" w:pos="7200"/>
              </w:tabs>
              <w:jc w:val="right"/>
              <w:rPr>
                <w:rFonts w:ascii="Arial" w:hAnsi="Arial" w:cs="Arial"/>
                <w:snapToGrid w:val="0"/>
                <w:color w:val="000000"/>
              </w:rPr>
            </w:pPr>
            <w:r w:rsidRPr="00507F4F">
              <w:rPr>
                <w:rFonts w:ascii="Arial" w:hAnsi="Arial" w:cs="Arial"/>
                <w:snapToGrid w:val="0"/>
                <w:color w:val="000000"/>
              </w:rPr>
              <w:t>103,015</w:t>
            </w:r>
          </w:p>
        </w:tc>
        <w:tc>
          <w:tcPr>
            <w:tcW w:w="1320" w:type="dxa"/>
          </w:tcPr>
          <w:p w:rsidR="00504AFC" w:rsidRPr="007F6709" w:rsidRDefault="007F6709" w:rsidP="005C73D7">
            <w:pPr>
              <w:widowControl w:val="0"/>
              <w:tabs>
                <w:tab w:val="right" w:pos="7200"/>
              </w:tabs>
              <w:jc w:val="right"/>
              <w:rPr>
                <w:rFonts w:ascii="Arial" w:hAnsi="Arial" w:cs="Arial"/>
                <w:snapToGrid w:val="0"/>
                <w:color w:val="000000"/>
              </w:rPr>
            </w:pPr>
            <w:r w:rsidRPr="007F6709">
              <w:rPr>
                <w:rFonts w:ascii="Arial" w:hAnsi="Arial" w:cs="Arial"/>
                <w:snapToGrid w:val="0"/>
                <w:color w:val="000000"/>
              </w:rPr>
              <w:t>12.7</w:t>
            </w:r>
          </w:p>
        </w:tc>
        <w:tc>
          <w:tcPr>
            <w:tcW w:w="1200" w:type="dxa"/>
          </w:tcPr>
          <w:p w:rsidR="00504AFC" w:rsidRPr="00E25E11" w:rsidRDefault="00B678E4" w:rsidP="00B678E4">
            <w:pPr>
              <w:widowControl w:val="0"/>
              <w:tabs>
                <w:tab w:val="right" w:pos="7200"/>
              </w:tabs>
              <w:jc w:val="right"/>
              <w:rPr>
                <w:rFonts w:ascii="Arial" w:hAnsi="Arial" w:cs="Arial"/>
                <w:snapToGrid w:val="0"/>
                <w:color w:val="000000"/>
              </w:rPr>
            </w:pPr>
            <w:r w:rsidRPr="00E25E11">
              <w:rPr>
                <w:rFonts w:ascii="Arial" w:hAnsi="Arial" w:cs="Arial"/>
                <w:snapToGrid w:val="0"/>
                <w:color w:val="000000"/>
              </w:rPr>
              <w:t xml:space="preserve"> </w:t>
            </w:r>
            <w:r w:rsidR="009F7744" w:rsidRPr="00E25E11">
              <w:rPr>
                <w:rFonts w:ascii="Arial" w:hAnsi="Arial" w:cs="Arial"/>
                <w:snapToGrid w:val="0"/>
                <w:color w:val="000000"/>
              </w:rPr>
              <w:t>116,098</w:t>
            </w:r>
          </w:p>
        </w:tc>
        <w:tc>
          <w:tcPr>
            <w:tcW w:w="1149" w:type="dxa"/>
          </w:tcPr>
          <w:p w:rsidR="00504AFC" w:rsidRPr="00E25E11" w:rsidRDefault="001B7C55" w:rsidP="00504AFC">
            <w:pPr>
              <w:widowControl w:val="0"/>
              <w:tabs>
                <w:tab w:val="right" w:pos="7200"/>
              </w:tabs>
              <w:jc w:val="right"/>
              <w:rPr>
                <w:rFonts w:ascii="Arial" w:hAnsi="Arial" w:cs="Arial"/>
                <w:snapToGrid w:val="0"/>
                <w:color w:val="000000"/>
              </w:rPr>
            </w:pPr>
            <w:r w:rsidRPr="00E25E11">
              <w:rPr>
                <w:rFonts w:ascii="Arial" w:hAnsi="Arial" w:cs="Arial"/>
                <w:snapToGrid w:val="0"/>
                <w:color w:val="000000"/>
              </w:rPr>
              <w:t>89,932</w:t>
            </w:r>
          </w:p>
        </w:tc>
      </w:tr>
      <w:tr w:rsidR="00504AFC" w:rsidRPr="003D2F7A" w:rsidTr="005C73D7">
        <w:trPr>
          <w:trHeight w:val="466"/>
        </w:trPr>
        <w:tc>
          <w:tcPr>
            <w:tcW w:w="2520" w:type="dxa"/>
          </w:tcPr>
          <w:p w:rsidR="00504AFC" w:rsidRPr="006E50AA" w:rsidRDefault="00504AFC" w:rsidP="005C73D7">
            <w:pPr>
              <w:widowControl w:val="0"/>
              <w:tabs>
                <w:tab w:val="right" w:pos="7200"/>
              </w:tabs>
              <w:rPr>
                <w:rFonts w:ascii="Arial" w:hAnsi="Arial" w:cs="Arial"/>
                <w:snapToGrid w:val="0"/>
                <w:color w:val="000000"/>
              </w:rPr>
            </w:pPr>
            <w:r w:rsidRPr="006E50AA">
              <w:rPr>
                <w:rFonts w:ascii="Arial" w:hAnsi="Arial" w:cs="Arial"/>
                <w:snapToGrid w:val="0"/>
                <w:color w:val="000000"/>
              </w:rPr>
              <w:t>Overseas equities</w:t>
            </w:r>
          </w:p>
        </w:tc>
        <w:tc>
          <w:tcPr>
            <w:tcW w:w="1200" w:type="dxa"/>
          </w:tcPr>
          <w:p w:rsidR="00504AFC" w:rsidRPr="00507F4F" w:rsidRDefault="00090676" w:rsidP="005C73D7">
            <w:pPr>
              <w:widowControl w:val="0"/>
              <w:tabs>
                <w:tab w:val="right" w:pos="7200"/>
              </w:tabs>
              <w:jc w:val="right"/>
              <w:rPr>
                <w:rFonts w:ascii="Arial" w:hAnsi="Arial" w:cs="Arial"/>
                <w:snapToGrid w:val="0"/>
                <w:color w:val="000000"/>
              </w:rPr>
            </w:pPr>
            <w:r w:rsidRPr="00507F4F">
              <w:rPr>
                <w:rFonts w:ascii="Arial" w:hAnsi="Arial" w:cs="Arial"/>
                <w:snapToGrid w:val="0"/>
                <w:color w:val="000000"/>
              </w:rPr>
              <w:t>148,807</w:t>
            </w:r>
          </w:p>
        </w:tc>
        <w:tc>
          <w:tcPr>
            <w:tcW w:w="1320" w:type="dxa"/>
          </w:tcPr>
          <w:p w:rsidR="00504AFC" w:rsidRPr="007F6709" w:rsidRDefault="007F6709" w:rsidP="005C73D7">
            <w:pPr>
              <w:widowControl w:val="0"/>
              <w:tabs>
                <w:tab w:val="right" w:pos="7200"/>
              </w:tabs>
              <w:jc w:val="right"/>
              <w:rPr>
                <w:rFonts w:ascii="Arial" w:hAnsi="Arial" w:cs="Arial"/>
                <w:snapToGrid w:val="0"/>
                <w:color w:val="000000"/>
              </w:rPr>
            </w:pPr>
            <w:r w:rsidRPr="007F6709">
              <w:rPr>
                <w:rFonts w:ascii="Arial" w:hAnsi="Arial" w:cs="Arial"/>
                <w:snapToGrid w:val="0"/>
                <w:color w:val="000000"/>
              </w:rPr>
              <w:t>13.9</w:t>
            </w:r>
          </w:p>
        </w:tc>
        <w:tc>
          <w:tcPr>
            <w:tcW w:w="1200" w:type="dxa"/>
          </w:tcPr>
          <w:p w:rsidR="00504AFC" w:rsidRPr="00E25E11" w:rsidRDefault="00B678E4" w:rsidP="00B678E4">
            <w:pPr>
              <w:widowControl w:val="0"/>
              <w:tabs>
                <w:tab w:val="right" w:pos="7200"/>
              </w:tabs>
              <w:jc w:val="right"/>
              <w:rPr>
                <w:rFonts w:ascii="Arial" w:hAnsi="Arial" w:cs="Arial"/>
                <w:snapToGrid w:val="0"/>
                <w:color w:val="000000"/>
              </w:rPr>
            </w:pPr>
            <w:r w:rsidRPr="00E25E11">
              <w:rPr>
                <w:rFonts w:ascii="Arial" w:hAnsi="Arial" w:cs="Arial"/>
                <w:snapToGrid w:val="0"/>
                <w:color w:val="000000"/>
              </w:rPr>
              <w:t xml:space="preserve"> </w:t>
            </w:r>
            <w:r w:rsidR="007B5204" w:rsidRPr="00E25E11">
              <w:rPr>
                <w:rFonts w:ascii="Arial" w:hAnsi="Arial" w:cs="Arial"/>
                <w:snapToGrid w:val="0"/>
                <w:color w:val="000000"/>
              </w:rPr>
              <w:t>169,491</w:t>
            </w:r>
          </w:p>
        </w:tc>
        <w:tc>
          <w:tcPr>
            <w:tcW w:w="1149" w:type="dxa"/>
          </w:tcPr>
          <w:p w:rsidR="00504AFC" w:rsidRPr="00E25E11" w:rsidRDefault="007B5204" w:rsidP="00504AFC">
            <w:pPr>
              <w:widowControl w:val="0"/>
              <w:tabs>
                <w:tab w:val="right" w:pos="7200"/>
              </w:tabs>
              <w:jc w:val="right"/>
              <w:rPr>
                <w:rFonts w:ascii="Arial" w:hAnsi="Arial" w:cs="Arial"/>
                <w:snapToGrid w:val="0"/>
                <w:color w:val="000000"/>
              </w:rPr>
            </w:pPr>
            <w:r w:rsidRPr="00E25E11">
              <w:rPr>
                <w:rFonts w:ascii="Arial" w:hAnsi="Arial" w:cs="Arial"/>
                <w:snapToGrid w:val="0"/>
                <w:color w:val="000000"/>
              </w:rPr>
              <w:t>128,123</w:t>
            </w:r>
          </w:p>
        </w:tc>
      </w:tr>
      <w:tr w:rsidR="00504AFC" w:rsidRPr="003D2F7A" w:rsidTr="005C73D7">
        <w:trPr>
          <w:trHeight w:val="466"/>
        </w:trPr>
        <w:tc>
          <w:tcPr>
            <w:tcW w:w="2520" w:type="dxa"/>
          </w:tcPr>
          <w:p w:rsidR="00504AFC" w:rsidRPr="006E50AA" w:rsidRDefault="00504AFC" w:rsidP="005C73D7">
            <w:pPr>
              <w:widowControl w:val="0"/>
              <w:tabs>
                <w:tab w:val="right" w:pos="7200"/>
              </w:tabs>
              <w:rPr>
                <w:rFonts w:ascii="Arial" w:hAnsi="Arial" w:cs="Arial"/>
                <w:snapToGrid w:val="0"/>
                <w:color w:val="000000"/>
              </w:rPr>
            </w:pPr>
            <w:r w:rsidRPr="006E50AA">
              <w:rPr>
                <w:rFonts w:ascii="Arial" w:hAnsi="Arial" w:cs="Arial"/>
                <w:snapToGrid w:val="0"/>
                <w:color w:val="000000"/>
              </w:rPr>
              <w:t>Property</w:t>
            </w:r>
          </w:p>
        </w:tc>
        <w:tc>
          <w:tcPr>
            <w:tcW w:w="1200" w:type="dxa"/>
          </w:tcPr>
          <w:p w:rsidR="00504AFC" w:rsidRPr="00507F4F" w:rsidRDefault="00090676" w:rsidP="005C73D7">
            <w:pPr>
              <w:widowControl w:val="0"/>
              <w:tabs>
                <w:tab w:val="right" w:pos="7200"/>
              </w:tabs>
              <w:jc w:val="right"/>
              <w:rPr>
                <w:rFonts w:ascii="Arial" w:hAnsi="Arial" w:cs="Arial"/>
                <w:snapToGrid w:val="0"/>
                <w:color w:val="000000"/>
              </w:rPr>
            </w:pPr>
            <w:r w:rsidRPr="00507F4F">
              <w:rPr>
                <w:rFonts w:ascii="Arial" w:hAnsi="Arial" w:cs="Arial"/>
                <w:snapToGrid w:val="0"/>
                <w:color w:val="000000"/>
              </w:rPr>
              <w:t>34,739</w:t>
            </w:r>
          </w:p>
        </w:tc>
        <w:tc>
          <w:tcPr>
            <w:tcW w:w="1320" w:type="dxa"/>
          </w:tcPr>
          <w:p w:rsidR="00504AFC" w:rsidRPr="007F6709" w:rsidRDefault="007F6709" w:rsidP="005C73D7">
            <w:pPr>
              <w:widowControl w:val="0"/>
              <w:tabs>
                <w:tab w:val="right" w:pos="7200"/>
              </w:tabs>
              <w:jc w:val="right"/>
              <w:rPr>
                <w:rFonts w:ascii="Arial" w:hAnsi="Arial" w:cs="Arial"/>
                <w:snapToGrid w:val="0"/>
                <w:color w:val="000000"/>
              </w:rPr>
            </w:pPr>
            <w:r w:rsidRPr="007F6709">
              <w:rPr>
                <w:rFonts w:ascii="Arial" w:hAnsi="Arial" w:cs="Arial"/>
                <w:snapToGrid w:val="0"/>
                <w:color w:val="000000"/>
              </w:rPr>
              <w:t>2.5</w:t>
            </w:r>
          </w:p>
        </w:tc>
        <w:tc>
          <w:tcPr>
            <w:tcW w:w="1200" w:type="dxa"/>
          </w:tcPr>
          <w:p w:rsidR="00504AFC" w:rsidRPr="00E25E11" w:rsidRDefault="00B678E4" w:rsidP="00B678E4">
            <w:pPr>
              <w:widowControl w:val="0"/>
              <w:tabs>
                <w:tab w:val="right" w:pos="7200"/>
              </w:tabs>
              <w:jc w:val="right"/>
              <w:rPr>
                <w:rFonts w:ascii="Arial" w:hAnsi="Arial" w:cs="Arial"/>
                <w:snapToGrid w:val="0"/>
                <w:color w:val="000000"/>
              </w:rPr>
            </w:pPr>
            <w:r w:rsidRPr="00E25E11">
              <w:rPr>
                <w:rFonts w:ascii="Arial" w:hAnsi="Arial" w:cs="Arial"/>
                <w:snapToGrid w:val="0"/>
                <w:color w:val="000000"/>
              </w:rPr>
              <w:t xml:space="preserve">    </w:t>
            </w:r>
            <w:r w:rsidR="007B5204" w:rsidRPr="00E25E11">
              <w:rPr>
                <w:rFonts w:ascii="Arial" w:hAnsi="Arial" w:cs="Arial"/>
                <w:snapToGrid w:val="0"/>
                <w:color w:val="000000"/>
              </w:rPr>
              <w:t>35,607</w:t>
            </w:r>
          </w:p>
        </w:tc>
        <w:tc>
          <w:tcPr>
            <w:tcW w:w="1149" w:type="dxa"/>
          </w:tcPr>
          <w:p w:rsidR="00504AFC" w:rsidRPr="00E25E11" w:rsidRDefault="005B6822" w:rsidP="00504AFC">
            <w:pPr>
              <w:widowControl w:val="0"/>
              <w:tabs>
                <w:tab w:val="right" w:pos="7200"/>
              </w:tabs>
              <w:jc w:val="right"/>
              <w:rPr>
                <w:rFonts w:ascii="Arial" w:hAnsi="Arial" w:cs="Arial"/>
                <w:snapToGrid w:val="0"/>
                <w:color w:val="000000"/>
              </w:rPr>
            </w:pPr>
            <w:r w:rsidRPr="00E25E11">
              <w:rPr>
                <w:rFonts w:ascii="Arial" w:hAnsi="Arial" w:cs="Arial"/>
                <w:snapToGrid w:val="0"/>
                <w:color w:val="000000"/>
              </w:rPr>
              <w:t>33,871</w:t>
            </w:r>
          </w:p>
        </w:tc>
      </w:tr>
      <w:tr w:rsidR="00504AFC" w:rsidRPr="003D2F7A" w:rsidTr="005C73D7">
        <w:trPr>
          <w:trHeight w:val="466"/>
        </w:trPr>
        <w:tc>
          <w:tcPr>
            <w:tcW w:w="2520" w:type="dxa"/>
          </w:tcPr>
          <w:p w:rsidR="00504AFC" w:rsidRPr="006E50AA" w:rsidRDefault="00504AFC" w:rsidP="005C73D7">
            <w:pPr>
              <w:widowControl w:val="0"/>
              <w:tabs>
                <w:tab w:val="right" w:pos="7200"/>
              </w:tabs>
              <w:rPr>
                <w:rFonts w:ascii="Arial" w:hAnsi="Arial" w:cs="Arial"/>
                <w:snapToGrid w:val="0"/>
                <w:color w:val="000000"/>
              </w:rPr>
            </w:pPr>
            <w:r w:rsidRPr="006E50AA">
              <w:rPr>
                <w:rFonts w:ascii="Arial" w:hAnsi="Arial" w:cs="Arial"/>
                <w:snapToGrid w:val="0"/>
                <w:color w:val="000000"/>
              </w:rPr>
              <w:t>Alternative investments</w:t>
            </w:r>
          </w:p>
        </w:tc>
        <w:tc>
          <w:tcPr>
            <w:tcW w:w="1200" w:type="dxa"/>
          </w:tcPr>
          <w:p w:rsidR="00504AFC" w:rsidRPr="00507F4F" w:rsidRDefault="00090676" w:rsidP="005C73D7">
            <w:pPr>
              <w:widowControl w:val="0"/>
              <w:tabs>
                <w:tab w:val="right" w:pos="7200"/>
              </w:tabs>
              <w:jc w:val="right"/>
              <w:rPr>
                <w:rFonts w:ascii="Arial" w:hAnsi="Arial" w:cs="Arial"/>
                <w:snapToGrid w:val="0"/>
                <w:color w:val="000000"/>
              </w:rPr>
            </w:pPr>
            <w:r w:rsidRPr="00507F4F">
              <w:rPr>
                <w:rFonts w:ascii="Arial" w:hAnsi="Arial" w:cs="Arial"/>
                <w:snapToGrid w:val="0"/>
                <w:color w:val="000000"/>
              </w:rPr>
              <w:t>121,223</w:t>
            </w:r>
          </w:p>
        </w:tc>
        <w:tc>
          <w:tcPr>
            <w:tcW w:w="1320" w:type="dxa"/>
          </w:tcPr>
          <w:p w:rsidR="00504AFC" w:rsidRPr="007F6709" w:rsidRDefault="007F6709" w:rsidP="005C73D7">
            <w:pPr>
              <w:widowControl w:val="0"/>
              <w:tabs>
                <w:tab w:val="right" w:pos="7200"/>
              </w:tabs>
              <w:jc w:val="right"/>
              <w:rPr>
                <w:rFonts w:ascii="Arial" w:hAnsi="Arial" w:cs="Arial"/>
                <w:snapToGrid w:val="0"/>
                <w:color w:val="000000"/>
              </w:rPr>
            </w:pPr>
            <w:r w:rsidRPr="007F6709">
              <w:rPr>
                <w:rFonts w:ascii="Arial" w:hAnsi="Arial" w:cs="Arial"/>
                <w:snapToGrid w:val="0"/>
                <w:color w:val="000000"/>
              </w:rPr>
              <w:t>5.3</w:t>
            </w:r>
          </w:p>
        </w:tc>
        <w:tc>
          <w:tcPr>
            <w:tcW w:w="1200" w:type="dxa"/>
          </w:tcPr>
          <w:p w:rsidR="00504AFC" w:rsidRPr="00E25E11" w:rsidRDefault="00B678E4" w:rsidP="00B678E4">
            <w:pPr>
              <w:widowControl w:val="0"/>
              <w:tabs>
                <w:tab w:val="right" w:pos="7200"/>
              </w:tabs>
              <w:jc w:val="right"/>
              <w:rPr>
                <w:rFonts w:ascii="Arial" w:hAnsi="Arial" w:cs="Arial"/>
                <w:snapToGrid w:val="0"/>
                <w:color w:val="000000"/>
              </w:rPr>
            </w:pPr>
            <w:r w:rsidRPr="00E25E11">
              <w:rPr>
                <w:rFonts w:ascii="Arial" w:hAnsi="Arial" w:cs="Arial"/>
                <w:snapToGrid w:val="0"/>
                <w:color w:val="000000"/>
              </w:rPr>
              <w:t xml:space="preserve">    </w:t>
            </w:r>
            <w:r w:rsidR="005B6822" w:rsidRPr="00E25E11">
              <w:rPr>
                <w:rFonts w:ascii="Arial" w:hAnsi="Arial" w:cs="Arial"/>
                <w:snapToGrid w:val="0"/>
                <w:color w:val="000000"/>
              </w:rPr>
              <w:t>127,648</w:t>
            </w:r>
          </w:p>
        </w:tc>
        <w:tc>
          <w:tcPr>
            <w:tcW w:w="1149" w:type="dxa"/>
          </w:tcPr>
          <w:p w:rsidR="00504AFC" w:rsidRPr="00E25E11" w:rsidRDefault="005B6822" w:rsidP="00504AFC">
            <w:pPr>
              <w:widowControl w:val="0"/>
              <w:tabs>
                <w:tab w:val="right" w:pos="7200"/>
              </w:tabs>
              <w:jc w:val="right"/>
              <w:rPr>
                <w:rFonts w:ascii="Arial" w:hAnsi="Arial" w:cs="Arial"/>
                <w:snapToGrid w:val="0"/>
                <w:color w:val="000000"/>
              </w:rPr>
            </w:pPr>
            <w:r w:rsidRPr="00E25E11">
              <w:rPr>
                <w:rFonts w:ascii="Arial" w:hAnsi="Arial" w:cs="Arial"/>
                <w:snapToGrid w:val="0"/>
                <w:color w:val="000000"/>
              </w:rPr>
              <w:t>114,798</w:t>
            </w:r>
          </w:p>
        </w:tc>
      </w:tr>
      <w:tr w:rsidR="00504AFC" w:rsidRPr="003D2F7A" w:rsidTr="005C73D7">
        <w:trPr>
          <w:trHeight w:val="272"/>
        </w:trPr>
        <w:tc>
          <w:tcPr>
            <w:tcW w:w="2520" w:type="dxa"/>
          </w:tcPr>
          <w:p w:rsidR="00504AFC" w:rsidRPr="006E50AA" w:rsidRDefault="006E50AA" w:rsidP="005C73D7">
            <w:pPr>
              <w:widowControl w:val="0"/>
              <w:tabs>
                <w:tab w:val="right" w:pos="7200"/>
              </w:tabs>
              <w:rPr>
                <w:rFonts w:ascii="Arial" w:hAnsi="Arial" w:cs="Arial"/>
                <w:b/>
                <w:snapToGrid w:val="0"/>
                <w:color w:val="000000"/>
              </w:rPr>
            </w:pPr>
            <w:r>
              <w:rPr>
                <w:rFonts w:ascii="Arial" w:hAnsi="Arial" w:cs="Arial"/>
                <w:b/>
                <w:snapToGrid w:val="0"/>
                <w:color w:val="000000"/>
              </w:rPr>
              <w:t>Total</w:t>
            </w:r>
          </w:p>
        </w:tc>
        <w:tc>
          <w:tcPr>
            <w:tcW w:w="1200" w:type="dxa"/>
            <w:tcBorders>
              <w:top w:val="single" w:sz="4" w:space="0" w:color="auto"/>
              <w:bottom w:val="single" w:sz="4" w:space="0" w:color="auto"/>
            </w:tcBorders>
          </w:tcPr>
          <w:p w:rsidR="00504AFC" w:rsidRPr="00507F4F" w:rsidRDefault="00090676" w:rsidP="005C73D7">
            <w:pPr>
              <w:widowControl w:val="0"/>
              <w:tabs>
                <w:tab w:val="right" w:pos="7200"/>
              </w:tabs>
              <w:jc w:val="right"/>
              <w:rPr>
                <w:rFonts w:ascii="Arial" w:hAnsi="Arial" w:cs="Arial"/>
                <w:b/>
                <w:snapToGrid w:val="0"/>
                <w:color w:val="000000"/>
              </w:rPr>
            </w:pPr>
            <w:r w:rsidRPr="00507F4F">
              <w:rPr>
                <w:rFonts w:ascii="Arial" w:hAnsi="Arial" w:cs="Arial"/>
                <w:b/>
                <w:snapToGrid w:val="0"/>
                <w:color w:val="000000"/>
              </w:rPr>
              <w:t>4</w:t>
            </w:r>
            <w:r w:rsidR="00507F4F" w:rsidRPr="00507F4F">
              <w:rPr>
                <w:rFonts w:ascii="Arial" w:hAnsi="Arial" w:cs="Arial"/>
                <w:b/>
                <w:snapToGrid w:val="0"/>
                <w:color w:val="000000"/>
              </w:rPr>
              <w:t>90,41</w:t>
            </w:r>
            <w:r w:rsidR="007D7C93">
              <w:rPr>
                <w:rFonts w:ascii="Arial" w:hAnsi="Arial" w:cs="Arial"/>
                <w:b/>
                <w:snapToGrid w:val="0"/>
                <w:color w:val="000000"/>
              </w:rPr>
              <w:t>5</w:t>
            </w:r>
          </w:p>
        </w:tc>
        <w:tc>
          <w:tcPr>
            <w:tcW w:w="1320" w:type="dxa"/>
          </w:tcPr>
          <w:p w:rsidR="00504AFC" w:rsidRPr="003D2F7A" w:rsidRDefault="00504AFC" w:rsidP="005C73D7">
            <w:pPr>
              <w:widowControl w:val="0"/>
              <w:tabs>
                <w:tab w:val="right" w:pos="7200"/>
              </w:tabs>
              <w:jc w:val="right"/>
              <w:rPr>
                <w:rFonts w:ascii="Arial" w:hAnsi="Arial" w:cs="Arial"/>
                <w:b/>
                <w:snapToGrid w:val="0"/>
                <w:color w:val="000000"/>
                <w:highlight w:val="yellow"/>
              </w:rPr>
            </w:pPr>
          </w:p>
        </w:tc>
        <w:tc>
          <w:tcPr>
            <w:tcW w:w="1200" w:type="dxa"/>
            <w:tcBorders>
              <w:top w:val="single" w:sz="4" w:space="0" w:color="auto"/>
              <w:bottom w:val="single" w:sz="4" w:space="0" w:color="auto"/>
            </w:tcBorders>
          </w:tcPr>
          <w:p w:rsidR="00504AFC" w:rsidRPr="00E25E11" w:rsidRDefault="00DC5C5A" w:rsidP="00504AFC">
            <w:pPr>
              <w:widowControl w:val="0"/>
              <w:tabs>
                <w:tab w:val="right" w:pos="7200"/>
              </w:tabs>
              <w:jc w:val="right"/>
              <w:rPr>
                <w:rFonts w:ascii="Arial" w:hAnsi="Arial" w:cs="Arial"/>
                <w:b/>
                <w:snapToGrid w:val="0"/>
                <w:color w:val="000000"/>
              </w:rPr>
            </w:pPr>
            <w:r w:rsidRPr="00E25E11">
              <w:rPr>
                <w:rFonts w:ascii="Arial" w:hAnsi="Arial" w:cs="Arial"/>
                <w:b/>
                <w:snapToGrid w:val="0"/>
                <w:color w:val="000000"/>
              </w:rPr>
              <w:t>534,40</w:t>
            </w:r>
            <w:r w:rsidR="007D7C93">
              <w:rPr>
                <w:rFonts w:ascii="Arial" w:hAnsi="Arial" w:cs="Arial"/>
                <w:b/>
                <w:snapToGrid w:val="0"/>
                <w:color w:val="000000"/>
              </w:rPr>
              <w:t>3</w:t>
            </w:r>
          </w:p>
        </w:tc>
        <w:tc>
          <w:tcPr>
            <w:tcW w:w="1149" w:type="dxa"/>
            <w:tcBorders>
              <w:top w:val="single" w:sz="4" w:space="0" w:color="auto"/>
              <w:bottom w:val="single" w:sz="4" w:space="0" w:color="auto"/>
            </w:tcBorders>
          </w:tcPr>
          <w:p w:rsidR="00504AFC" w:rsidRPr="00E25E11" w:rsidRDefault="00DC5C5A" w:rsidP="00504AFC">
            <w:pPr>
              <w:widowControl w:val="0"/>
              <w:tabs>
                <w:tab w:val="right" w:pos="7200"/>
              </w:tabs>
              <w:jc w:val="right"/>
              <w:rPr>
                <w:rFonts w:ascii="Arial" w:hAnsi="Arial" w:cs="Arial"/>
                <w:b/>
                <w:snapToGrid w:val="0"/>
                <w:color w:val="000000"/>
              </w:rPr>
            </w:pPr>
            <w:r w:rsidRPr="00E25E11">
              <w:rPr>
                <w:rFonts w:ascii="Arial" w:hAnsi="Arial" w:cs="Arial"/>
                <w:b/>
                <w:snapToGrid w:val="0"/>
                <w:color w:val="000000"/>
              </w:rPr>
              <w:t>446,42</w:t>
            </w:r>
            <w:r w:rsidR="007D7C93">
              <w:rPr>
                <w:rFonts w:ascii="Arial" w:hAnsi="Arial" w:cs="Arial"/>
                <w:b/>
                <w:snapToGrid w:val="0"/>
                <w:color w:val="000000"/>
              </w:rPr>
              <w:t>7</w:t>
            </w:r>
          </w:p>
        </w:tc>
      </w:tr>
    </w:tbl>
    <w:p w:rsidR="00852EAF" w:rsidRPr="003D2F7A" w:rsidRDefault="00852EAF" w:rsidP="005A653B">
      <w:pPr>
        <w:widowControl w:val="0"/>
        <w:tabs>
          <w:tab w:val="right" w:pos="7200"/>
        </w:tabs>
        <w:rPr>
          <w:rFonts w:ascii="Arial" w:hAnsi="Arial" w:cs="Arial"/>
          <w:snapToGrid w:val="0"/>
          <w:color w:val="000000"/>
          <w:sz w:val="24"/>
          <w:highlight w:val="yellow"/>
        </w:rPr>
      </w:pPr>
    </w:p>
    <w:p w:rsidR="00DB4227" w:rsidRDefault="00DB4227">
      <w:pPr>
        <w:rPr>
          <w:rFonts w:ascii="Arial" w:hAnsi="Arial" w:cs="Arial"/>
          <w:b/>
          <w:snapToGrid w:val="0"/>
          <w:color w:val="000000"/>
          <w:sz w:val="24"/>
          <w:highlight w:val="yellow"/>
        </w:rPr>
      </w:pPr>
      <w:r>
        <w:rPr>
          <w:rFonts w:ascii="Arial" w:hAnsi="Arial" w:cs="Arial"/>
          <w:b/>
          <w:snapToGrid w:val="0"/>
          <w:color w:val="000000"/>
          <w:sz w:val="24"/>
          <w:highlight w:val="yellow"/>
        </w:rPr>
        <w:br w:type="page"/>
      </w:r>
    </w:p>
    <w:p w:rsidR="00DA5632" w:rsidRPr="00CD6D19" w:rsidRDefault="00DA5632" w:rsidP="00DA5632">
      <w:pPr>
        <w:widowControl w:val="0"/>
        <w:tabs>
          <w:tab w:val="left" w:pos="600"/>
          <w:tab w:val="right" w:pos="3060"/>
          <w:tab w:val="right" w:pos="4150"/>
        </w:tabs>
        <w:rPr>
          <w:rFonts w:ascii="Arial" w:hAnsi="Arial" w:cs="Arial"/>
          <w:sz w:val="24"/>
          <w:szCs w:val="24"/>
        </w:rPr>
      </w:pPr>
      <w:r w:rsidRPr="00CD6D19">
        <w:rPr>
          <w:rFonts w:ascii="Arial" w:hAnsi="Arial" w:cs="Arial"/>
          <w:b/>
          <w:snapToGrid w:val="0"/>
          <w:color w:val="000000"/>
          <w:sz w:val="24"/>
        </w:rPr>
        <w:lastRenderedPageBreak/>
        <w:t>Interest rate risk</w:t>
      </w:r>
    </w:p>
    <w:p w:rsidR="00DA5632" w:rsidRPr="00CD6D19" w:rsidRDefault="00DA5632" w:rsidP="00DA5632">
      <w:pPr>
        <w:widowControl w:val="0"/>
        <w:tabs>
          <w:tab w:val="right" w:pos="7200"/>
        </w:tabs>
        <w:rPr>
          <w:rFonts w:ascii="Arial" w:hAnsi="Arial" w:cs="Arial"/>
          <w:snapToGrid w:val="0"/>
          <w:color w:val="000000"/>
          <w:sz w:val="24"/>
        </w:rPr>
      </w:pPr>
    </w:p>
    <w:p w:rsidR="00852EAF" w:rsidRPr="00CD6D19" w:rsidRDefault="00DA5632" w:rsidP="00DA5632">
      <w:pPr>
        <w:widowControl w:val="0"/>
        <w:tabs>
          <w:tab w:val="right" w:pos="7200"/>
        </w:tabs>
        <w:rPr>
          <w:rFonts w:ascii="Arial" w:hAnsi="Arial" w:cs="Arial"/>
          <w:snapToGrid w:val="0"/>
          <w:color w:val="000000"/>
          <w:sz w:val="24"/>
        </w:rPr>
      </w:pPr>
      <w:r w:rsidRPr="00CD6D19">
        <w:rPr>
          <w:rFonts w:ascii="Arial" w:hAnsi="Arial" w:cs="Arial"/>
          <w:snapToGrid w:val="0"/>
          <w:color w:val="000000"/>
          <w:sz w:val="24"/>
        </w:rPr>
        <w:t xml:space="preserve">The Fund invests </w:t>
      </w:r>
      <w:r w:rsidR="000B2D63" w:rsidRPr="00CD6D19">
        <w:rPr>
          <w:rFonts w:ascii="Arial" w:hAnsi="Arial" w:cs="Arial"/>
          <w:snapToGrid w:val="0"/>
          <w:color w:val="000000"/>
          <w:sz w:val="24"/>
        </w:rPr>
        <w:t>in financial assets for the primary purpose of obtaining a return on investments. These investments are subject to interest rate risks, which represent the risk that the fair value or future cash flows of a financial instrument will fluctuate because of changes in market interest rates.</w:t>
      </w:r>
    </w:p>
    <w:p w:rsidR="000B2D63" w:rsidRPr="00CD6D19" w:rsidRDefault="000B2D63" w:rsidP="00DA5632">
      <w:pPr>
        <w:widowControl w:val="0"/>
        <w:tabs>
          <w:tab w:val="right" w:pos="7200"/>
        </w:tabs>
        <w:rPr>
          <w:rFonts w:ascii="Arial" w:hAnsi="Arial" w:cs="Arial"/>
          <w:snapToGrid w:val="0"/>
          <w:color w:val="000000"/>
          <w:sz w:val="24"/>
        </w:rPr>
      </w:pPr>
    </w:p>
    <w:p w:rsidR="000B2D63" w:rsidRPr="00CD6D19" w:rsidRDefault="000B2D63" w:rsidP="00DA5632">
      <w:pPr>
        <w:widowControl w:val="0"/>
        <w:tabs>
          <w:tab w:val="right" w:pos="7200"/>
        </w:tabs>
        <w:rPr>
          <w:rFonts w:ascii="Arial" w:hAnsi="Arial" w:cs="Arial"/>
          <w:snapToGrid w:val="0"/>
          <w:color w:val="000000"/>
          <w:sz w:val="24"/>
        </w:rPr>
      </w:pPr>
      <w:r w:rsidRPr="00CD6D19">
        <w:rPr>
          <w:rFonts w:ascii="Arial" w:hAnsi="Arial" w:cs="Arial"/>
          <w:snapToGrid w:val="0"/>
          <w:color w:val="000000"/>
          <w:sz w:val="24"/>
        </w:rPr>
        <w:t xml:space="preserve">The Fund’s </w:t>
      </w:r>
      <w:r w:rsidR="00FB4A01" w:rsidRPr="00CD6D19">
        <w:rPr>
          <w:rFonts w:ascii="Arial" w:hAnsi="Arial" w:cs="Arial"/>
          <w:snapToGrid w:val="0"/>
          <w:color w:val="000000"/>
          <w:sz w:val="24"/>
        </w:rPr>
        <w:t xml:space="preserve">interest rate risk is routinely monitored by the </w:t>
      </w:r>
      <w:r w:rsidR="00C4216C" w:rsidRPr="00CD6D19">
        <w:rPr>
          <w:rFonts w:ascii="Arial" w:hAnsi="Arial" w:cs="Arial"/>
          <w:snapToGrid w:val="0"/>
          <w:color w:val="000000"/>
          <w:sz w:val="24"/>
        </w:rPr>
        <w:t>Pension Fund</w:t>
      </w:r>
      <w:r w:rsidR="00FB4A01" w:rsidRPr="00CD6D19">
        <w:rPr>
          <w:rFonts w:ascii="Arial" w:hAnsi="Arial" w:cs="Arial"/>
          <w:snapToGrid w:val="0"/>
          <w:color w:val="000000"/>
          <w:sz w:val="24"/>
        </w:rPr>
        <w:t xml:space="preserve"> in accordance with the Fund’s risk management strategy, including monitoring the exposure to interest rates and assessment of actual interest rates against the relevant benchmarks.</w:t>
      </w:r>
    </w:p>
    <w:p w:rsidR="00FB4A01" w:rsidRPr="00CD6D19" w:rsidRDefault="00FB4A01" w:rsidP="00DA5632">
      <w:pPr>
        <w:widowControl w:val="0"/>
        <w:tabs>
          <w:tab w:val="right" w:pos="7200"/>
        </w:tabs>
        <w:rPr>
          <w:rFonts w:ascii="Arial" w:hAnsi="Arial" w:cs="Arial"/>
          <w:snapToGrid w:val="0"/>
          <w:color w:val="000000"/>
          <w:sz w:val="24"/>
        </w:rPr>
      </w:pPr>
    </w:p>
    <w:p w:rsidR="00FB4A01" w:rsidRPr="00CD6D19" w:rsidRDefault="00FB4A01" w:rsidP="00DA5632">
      <w:pPr>
        <w:widowControl w:val="0"/>
        <w:tabs>
          <w:tab w:val="right" w:pos="7200"/>
        </w:tabs>
        <w:rPr>
          <w:rFonts w:ascii="Arial" w:hAnsi="Arial" w:cs="Arial"/>
          <w:snapToGrid w:val="0"/>
          <w:color w:val="000000"/>
          <w:sz w:val="24"/>
        </w:rPr>
      </w:pPr>
      <w:r w:rsidRPr="00CD6D19">
        <w:rPr>
          <w:rFonts w:ascii="Arial" w:hAnsi="Arial" w:cs="Arial"/>
          <w:snapToGrid w:val="0"/>
          <w:color w:val="000000"/>
          <w:sz w:val="24"/>
        </w:rPr>
        <w:t xml:space="preserve">The Fund’s direct exposure to interest rate movements as at </w:t>
      </w:r>
      <w:r w:rsidR="001D47EB" w:rsidRPr="00CD6D19">
        <w:rPr>
          <w:rFonts w:ascii="Arial" w:hAnsi="Arial" w:cs="Arial"/>
          <w:snapToGrid w:val="0"/>
          <w:color w:val="000000"/>
          <w:sz w:val="24"/>
        </w:rPr>
        <w:t xml:space="preserve">31 March 2013 and 31 March 2012 </w:t>
      </w:r>
      <w:r w:rsidRPr="00CD6D19">
        <w:rPr>
          <w:rFonts w:ascii="Arial" w:hAnsi="Arial" w:cs="Arial"/>
          <w:snapToGrid w:val="0"/>
          <w:color w:val="000000"/>
          <w:sz w:val="24"/>
        </w:rPr>
        <w:t>is set out below. These disclosures present interest rate risk based on the underlying financial assets at fair value:</w:t>
      </w:r>
    </w:p>
    <w:p w:rsidR="00FB4A01" w:rsidRPr="00CD6D19" w:rsidRDefault="00FB4A01" w:rsidP="00DA5632">
      <w:pPr>
        <w:widowControl w:val="0"/>
        <w:tabs>
          <w:tab w:val="right" w:pos="7200"/>
        </w:tabs>
        <w:rPr>
          <w:rFonts w:ascii="Arial" w:hAnsi="Arial" w:cs="Arial"/>
          <w:snapToGrid w:val="0"/>
          <w:color w:val="000000"/>
          <w:sz w:val="24"/>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gridCol w:w="3040"/>
        <w:gridCol w:w="1920"/>
      </w:tblGrid>
      <w:tr w:rsidR="00FB4A01" w:rsidRPr="003D2F7A" w:rsidTr="00FB4A01">
        <w:tc>
          <w:tcPr>
            <w:tcW w:w="1957" w:type="pct"/>
          </w:tcPr>
          <w:p w:rsidR="00FB4A01" w:rsidRPr="00CD6D19" w:rsidRDefault="00FB4A01" w:rsidP="005C73D7">
            <w:pPr>
              <w:widowControl w:val="0"/>
              <w:tabs>
                <w:tab w:val="right" w:pos="7200"/>
              </w:tabs>
              <w:ind w:left="132" w:hanging="132"/>
              <w:rPr>
                <w:rFonts w:ascii="Arial" w:hAnsi="Arial" w:cs="Arial"/>
                <w:snapToGrid w:val="0"/>
                <w:color w:val="000000"/>
                <w:sz w:val="24"/>
              </w:rPr>
            </w:pPr>
          </w:p>
        </w:tc>
        <w:tc>
          <w:tcPr>
            <w:tcW w:w="1865" w:type="pct"/>
          </w:tcPr>
          <w:p w:rsidR="00FB4A01" w:rsidRPr="00CD6D19" w:rsidRDefault="00FB4A01" w:rsidP="0033416D">
            <w:pPr>
              <w:widowControl w:val="0"/>
              <w:tabs>
                <w:tab w:val="right" w:pos="7200"/>
              </w:tabs>
              <w:ind w:left="132" w:hanging="132"/>
              <w:jc w:val="right"/>
              <w:rPr>
                <w:rFonts w:ascii="Arial" w:hAnsi="Arial" w:cs="Arial"/>
                <w:b/>
                <w:snapToGrid w:val="0"/>
                <w:color w:val="000000"/>
                <w:sz w:val="24"/>
              </w:rPr>
            </w:pPr>
            <w:r w:rsidRPr="00CD6D19">
              <w:rPr>
                <w:rFonts w:ascii="Arial" w:hAnsi="Arial" w:cs="Arial"/>
                <w:b/>
                <w:snapToGrid w:val="0"/>
                <w:color w:val="000000"/>
                <w:sz w:val="24"/>
              </w:rPr>
              <w:t>31 March 201</w:t>
            </w:r>
            <w:r w:rsidR="0033416D" w:rsidRPr="00CD6D19">
              <w:rPr>
                <w:rFonts w:ascii="Arial" w:hAnsi="Arial" w:cs="Arial"/>
                <w:b/>
                <w:snapToGrid w:val="0"/>
                <w:color w:val="000000"/>
                <w:sz w:val="24"/>
              </w:rPr>
              <w:t>2</w:t>
            </w:r>
          </w:p>
        </w:tc>
        <w:tc>
          <w:tcPr>
            <w:tcW w:w="1178" w:type="pct"/>
          </w:tcPr>
          <w:p w:rsidR="00FB4A01" w:rsidRPr="0033416D" w:rsidRDefault="00FB4A01" w:rsidP="0033416D">
            <w:pPr>
              <w:widowControl w:val="0"/>
              <w:tabs>
                <w:tab w:val="right" w:pos="7200"/>
              </w:tabs>
              <w:ind w:left="132" w:hanging="132"/>
              <w:jc w:val="right"/>
              <w:rPr>
                <w:rFonts w:ascii="Arial" w:hAnsi="Arial" w:cs="Arial"/>
                <w:b/>
                <w:snapToGrid w:val="0"/>
                <w:color w:val="000000"/>
                <w:sz w:val="24"/>
              </w:rPr>
            </w:pPr>
            <w:r w:rsidRPr="00CD6D19">
              <w:rPr>
                <w:rFonts w:ascii="Arial" w:hAnsi="Arial" w:cs="Arial"/>
                <w:b/>
                <w:snapToGrid w:val="0"/>
                <w:color w:val="000000"/>
                <w:sz w:val="24"/>
              </w:rPr>
              <w:t>31 March 201</w:t>
            </w:r>
            <w:r w:rsidR="0033416D" w:rsidRPr="00CD6D19">
              <w:rPr>
                <w:rFonts w:ascii="Arial" w:hAnsi="Arial" w:cs="Arial"/>
                <w:b/>
                <w:snapToGrid w:val="0"/>
                <w:color w:val="000000"/>
                <w:sz w:val="24"/>
              </w:rPr>
              <w:t>3</w:t>
            </w:r>
          </w:p>
        </w:tc>
      </w:tr>
      <w:tr w:rsidR="00FB4A01" w:rsidRPr="003D2F7A" w:rsidTr="00FB4A01">
        <w:tc>
          <w:tcPr>
            <w:tcW w:w="1957" w:type="pct"/>
          </w:tcPr>
          <w:p w:rsidR="00FB4A01" w:rsidRPr="003D2F7A" w:rsidRDefault="00FB4A01" w:rsidP="005C73D7">
            <w:pPr>
              <w:widowControl w:val="0"/>
              <w:tabs>
                <w:tab w:val="right" w:pos="7200"/>
              </w:tabs>
              <w:ind w:left="132" w:hanging="132"/>
              <w:rPr>
                <w:rFonts w:ascii="Arial" w:hAnsi="Arial" w:cs="Arial"/>
                <w:snapToGrid w:val="0"/>
                <w:color w:val="000000"/>
                <w:sz w:val="24"/>
                <w:highlight w:val="yellow"/>
              </w:rPr>
            </w:pPr>
          </w:p>
        </w:tc>
        <w:tc>
          <w:tcPr>
            <w:tcW w:w="1865" w:type="pct"/>
          </w:tcPr>
          <w:p w:rsidR="00FB4A01" w:rsidRPr="0033416D" w:rsidRDefault="00FB4A01" w:rsidP="005C73D7">
            <w:pPr>
              <w:widowControl w:val="0"/>
              <w:tabs>
                <w:tab w:val="right" w:pos="7200"/>
              </w:tabs>
              <w:ind w:left="132" w:hanging="132"/>
              <w:jc w:val="right"/>
              <w:rPr>
                <w:rFonts w:ascii="Arial" w:hAnsi="Arial" w:cs="Arial"/>
                <w:b/>
                <w:snapToGrid w:val="0"/>
                <w:color w:val="000000"/>
                <w:sz w:val="24"/>
              </w:rPr>
            </w:pPr>
            <w:r w:rsidRPr="0033416D">
              <w:rPr>
                <w:rFonts w:ascii="Arial" w:hAnsi="Arial" w:cs="Arial"/>
                <w:b/>
                <w:snapToGrid w:val="0"/>
                <w:color w:val="000000"/>
                <w:sz w:val="24"/>
              </w:rPr>
              <w:t>£’000</w:t>
            </w:r>
          </w:p>
        </w:tc>
        <w:tc>
          <w:tcPr>
            <w:tcW w:w="1178" w:type="pct"/>
          </w:tcPr>
          <w:p w:rsidR="00FB4A01" w:rsidRPr="0033416D" w:rsidRDefault="00FB4A01" w:rsidP="005C73D7">
            <w:pPr>
              <w:widowControl w:val="0"/>
              <w:tabs>
                <w:tab w:val="right" w:pos="7200"/>
              </w:tabs>
              <w:ind w:left="132" w:hanging="132"/>
              <w:jc w:val="right"/>
              <w:rPr>
                <w:rFonts w:ascii="Arial" w:hAnsi="Arial" w:cs="Arial"/>
                <w:b/>
                <w:snapToGrid w:val="0"/>
                <w:color w:val="000000"/>
                <w:sz w:val="24"/>
              </w:rPr>
            </w:pPr>
            <w:r w:rsidRPr="0033416D">
              <w:rPr>
                <w:rFonts w:ascii="Arial" w:hAnsi="Arial" w:cs="Arial"/>
                <w:b/>
                <w:snapToGrid w:val="0"/>
                <w:color w:val="000000"/>
                <w:sz w:val="24"/>
              </w:rPr>
              <w:t>£’000</w:t>
            </w:r>
          </w:p>
        </w:tc>
      </w:tr>
      <w:tr w:rsidR="00FB4A01" w:rsidRPr="003D2F7A" w:rsidTr="00FB4A01">
        <w:tc>
          <w:tcPr>
            <w:tcW w:w="1957" w:type="pct"/>
          </w:tcPr>
          <w:p w:rsidR="00FB4A01" w:rsidRPr="003D2F7A" w:rsidRDefault="00FB4A01" w:rsidP="005C73D7">
            <w:pPr>
              <w:widowControl w:val="0"/>
              <w:tabs>
                <w:tab w:val="right" w:pos="7200"/>
              </w:tabs>
              <w:ind w:left="132" w:hanging="132"/>
              <w:rPr>
                <w:rFonts w:ascii="Arial" w:hAnsi="Arial" w:cs="Arial"/>
                <w:snapToGrid w:val="0"/>
                <w:color w:val="000000"/>
                <w:highlight w:val="yellow"/>
              </w:rPr>
            </w:pPr>
          </w:p>
        </w:tc>
        <w:tc>
          <w:tcPr>
            <w:tcW w:w="1865" w:type="pct"/>
          </w:tcPr>
          <w:p w:rsidR="00FB4A01" w:rsidRPr="003D2F7A" w:rsidRDefault="00FB4A01" w:rsidP="005C73D7">
            <w:pPr>
              <w:widowControl w:val="0"/>
              <w:tabs>
                <w:tab w:val="right" w:pos="7200"/>
              </w:tabs>
              <w:ind w:left="132" w:hanging="132"/>
              <w:jc w:val="right"/>
              <w:rPr>
                <w:rFonts w:ascii="Arial" w:hAnsi="Arial" w:cs="Arial"/>
                <w:snapToGrid w:val="0"/>
                <w:color w:val="000000"/>
                <w:highlight w:val="yellow"/>
              </w:rPr>
            </w:pPr>
          </w:p>
        </w:tc>
        <w:tc>
          <w:tcPr>
            <w:tcW w:w="1178" w:type="pct"/>
          </w:tcPr>
          <w:p w:rsidR="00FB4A01" w:rsidRPr="003D2F7A" w:rsidRDefault="00FB4A01" w:rsidP="005C73D7">
            <w:pPr>
              <w:widowControl w:val="0"/>
              <w:tabs>
                <w:tab w:val="right" w:pos="7200"/>
              </w:tabs>
              <w:ind w:left="132" w:hanging="132"/>
              <w:jc w:val="right"/>
              <w:rPr>
                <w:rFonts w:ascii="Arial" w:hAnsi="Arial" w:cs="Arial"/>
                <w:snapToGrid w:val="0"/>
                <w:color w:val="000000"/>
                <w:highlight w:val="yellow"/>
              </w:rPr>
            </w:pPr>
          </w:p>
        </w:tc>
      </w:tr>
      <w:tr w:rsidR="00FB4A01" w:rsidRPr="003D2F7A" w:rsidTr="00FB4A01">
        <w:tc>
          <w:tcPr>
            <w:tcW w:w="1957" w:type="pct"/>
          </w:tcPr>
          <w:p w:rsidR="00FB4A01" w:rsidRPr="00D13DD5" w:rsidRDefault="00654A1C" w:rsidP="005C73D7">
            <w:pPr>
              <w:widowControl w:val="0"/>
              <w:tabs>
                <w:tab w:val="right" w:pos="7200"/>
              </w:tabs>
              <w:ind w:left="132" w:hanging="132"/>
              <w:rPr>
                <w:rFonts w:ascii="Arial" w:hAnsi="Arial" w:cs="Arial"/>
                <w:snapToGrid w:val="0"/>
                <w:color w:val="000000"/>
                <w:sz w:val="24"/>
              </w:rPr>
            </w:pPr>
            <w:r w:rsidRPr="00D13DD5">
              <w:rPr>
                <w:rFonts w:ascii="Arial" w:hAnsi="Arial" w:cs="Arial"/>
                <w:snapToGrid w:val="0"/>
                <w:color w:val="000000"/>
                <w:sz w:val="24"/>
              </w:rPr>
              <w:t>Cash balances</w:t>
            </w:r>
            <w:r w:rsidR="00FB4A01" w:rsidRPr="00D13DD5">
              <w:rPr>
                <w:rFonts w:ascii="Arial" w:hAnsi="Arial" w:cs="Arial"/>
                <w:snapToGrid w:val="0"/>
                <w:color w:val="000000"/>
                <w:sz w:val="24"/>
              </w:rPr>
              <w:t xml:space="preserve">                                          </w:t>
            </w:r>
          </w:p>
        </w:tc>
        <w:tc>
          <w:tcPr>
            <w:tcW w:w="1865" w:type="pct"/>
          </w:tcPr>
          <w:p w:rsidR="00FB4A01" w:rsidRPr="003D2F7A" w:rsidRDefault="00654A1C" w:rsidP="005C73D7">
            <w:pPr>
              <w:widowControl w:val="0"/>
              <w:tabs>
                <w:tab w:val="right" w:pos="7200"/>
              </w:tabs>
              <w:ind w:left="132" w:hanging="132"/>
              <w:jc w:val="right"/>
              <w:rPr>
                <w:rFonts w:ascii="Arial" w:hAnsi="Arial" w:cs="Arial"/>
                <w:snapToGrid w:val="0"/>
                <w:color w:val="000000"/>
                <w:sz w:val="24"/>
                <w:highlight w:val="yellow"/>
              </w:rPr>
            </w:pPr>
            <w:r w:rsidRPr="005F04C2">
              <w:rPr>
                <w:rFonts w:ascii="Arial" w:hAnsi="Arial" w:cs="Arial"/>
                <w:snapToGrid w:val="0"/>
                <w:color w:val="000000"/>
                <w:sz w:val="24"/>
              </w:rPr>
              <w:t>5,59</w:t>
            </w:r>
            <w:r w:rsidR="007D7C93">
              <w:rPr>
                <w:rFonts w:ascii="Arial" w:hAnsi="Arial" w:cs="Arial"/>
                <w:snapToGrid w:val="0"/>
                <w:color w:val="000000"/>
                <w:sz w:val="24"/>
              </w:rPr>
              <w:t>1</w:t>
            </w:r>
          </w:p>
        </w:tc>
        <w:tc>
          <w:tcPr>
            <w:tcW w:w="1178" w:type="pct"/>
          </w:tcPr>
          <w:p w:rsidR="00FB4A01" w:rsidRPr="00316AD8" w:rsidRDefault="002330C2" w:rsidP="005C73D7">
            <w:pPr>
              <w:widowControl w:val="0"/>
              <w:tabs>
                <w:tab w:val="right" w:pos="7200"/>
              </w:tabs>
              <w:ind w:left="132" w:hanging="132"/>
              <w:jc w:val="right"/>
              <w:rPr>
                <w:rFonts w:ascii="Arial" w:hAnsi="Arial" w:cs="Arial"/>
                <w:snapToGrid w:val="0"/>
                <w:color w:val="000000"/>
                <w:sz w:val="24"/>
              </w:rPr>
            </w:pPr>
            <w:r w:rsidRPr="00316AD8">
              <w:rPr>
                <w:rFonts w:ascii="Arial" w:hAnsi="Arial" w:cs="Arial"/>
                <w:snapToGrid w:val="0"/>
                <w:color w:val="000000"/>
                <w:sz w:val="24"/>
              </w:rPr>
              <w:t>5,534</w:t>
            </w:r>
          </w:p>
        </w:tc>
      </w:tr>
      <w:tr w:rsidR="00FB4A01" w:rsidRPr="003D2F7A" w:rsidTr="00FB4A01">
        <w:tc>
          <w:tcPr>
            <w:tcW w:w="1957" w:type="pct"/>
          </w:tcPr>
          <w:p w:rsidR="00FB4A01" w:rsidRPr="00D13DD5" w:rsidRDefault="00FB4A01" w:rsidP="005C73D7">
            <w:pPr>
              <w:widowControl w:val="0"/>
              <w:tabs>
                <w:tab w:val="right" w:pos="7200"/>
              </w:tabs>
              <w:ind w:left="132" w:hanging="132"/>
              <w:rPr>
                <w:rFonts w:ascii="Arial" w:hAnsi="Arial" w:cs="Arial"/>
                <w:snapToGrid w:val="0"/>
                <w:color w:val="000000"/>
                <w:sz w:val="24"/>
              </w:rPr>
            </w:pPr>
            <w:r w:rsidRPr="00D13DD5">
              <w:rPr>
                <w:rFonts w:ascii="Arial" w:hAnsi="Arial" w:cs="Arial"/>
                <w:snapToGrid w:val="0"/>
                <w:color w:val="000000"/>
                <w:sz w:val="24"/>
              </w:rPr>
              <w:t xml:space="preserve">Fixed interest securities                             </w:t>
            </w:r>
          </w:p>
        </w:tc>
        <w:tc>
          <w:tcPr>
            <w:tcW w:w="1865" w:type="pct"/>
          </w:tcPr>
          <w:p w:rsidR="00FB4A01" w:rsidRPr="00D13DD5" w:rsidRDefault="00D13DD5" w:rsidP="005C73D7">
            <w:pPr>
              <w:widowControl w:val="0"/>
              <w:tabs>
                <w:tab w:val="right" w:pos="7200"/>
              </w:tabs>
              <w:ind w:left="132" w:hanging="132"/>
              <w:jc w:val="right"/>
              <w:rPr>
                <w:rFonts w:ascii="Arial" w:hAnsi="Arial" w:cs="Arial"/>
                <w:snapToGrid w:val="0"/>
                <w:color w:val="000000"/>
                <w:sz w:val="24"/>
              </w:rPr>
            </w:pPr>
            <w:r w:rsidRPr="00D13DD5">
              <w:rPr>
                <w:rFonts w:ascii="Arial" w:hAnsi="Arial" w:cs="Arial"/>
                <w:snapToGrid w:val="0"/>
                <w:color w:val="000000"/>
                <w:sz w:val="24"/>
              </w:rPr>
              <w:t>77,040</w:t>
            </w:r>
          </w:p>
        </w:tc>
        <w:tc>
          <w:tcPr>
            <w:tcW w:w="1178" w:type="pct"/>
          </w:tcPr>
          <w:p w:rsidR="00FB4A01" w:rsidRPr="00316AD8" w:rsidRDefault="00D13DD5" w:rsidP="005C73D7">
            <w:pPr>
              <w:widowControl w:val="0"/>
              <w:tabs>
                <w:tab w:val="right" w:pos="7200"/>
              </w:tabs>
              <w:ind w:left="132" w:hanging="132"/>
              <w:jc w:val="right"/>
              <w:rPr>
                <w:rFonts w:ascii="Arial" w:hAnsi="Arial" w:cs="Arial"/>
                <w:snapToGrid w:val="0"/>
                <w:color w:val="000000"/>
                <w:sz w:val="24"/>
              </w:rPr>
            </w:pPr>
            <w:r w:rsidRPr="00316AD8">
              <w:rPr>
                <w:rFonts w:ascii="Arial" w:hAnsi="Arial" w:cs="Arial"/>
                <w:snapToGrid w:val="0"/>
                <w:color w:val="000000"/>
                <w:sz w:val="24"/>
              </w:rPr>
              <w:t>82,898</w:t>
            </w:r>
          </w:p>
        </w:tc>
      </w:tr>
      <w:tr w:rsidR="00FB4A01" w:rsidRPr="003D2F7A" w:rsidTr="00FB4A01">
        <w:tc>
          <w:tcPr>
            <w:tcW w:w="1957" w:type="pct"/>
          </w:tcPr>
          <w:p w:rsidR="00FB4A01" w:rsidRPr="003D2F7A" w:rsidRDefault="00FB4A01" w:rsidP="005C73D7">
            <w:pPr>
              <w:widowControl w:val="0"/>
              <w:tabs>
                <w:tab w:val="right" w:pos="7200"/>
              </w:tabs>
              <w:ind w:left="132" w:hanging="132"/>
              <w:rPr>
                <w:rFonts w:ascii="Arial" w:hAnsi="Arial" w:cs="Arial"/>
                <w:snapToGrid w:val="0"/>
                <w:color w:val="000000"/>
                <w:highlight w:val="yellow"/>
              </w:rPr>
            </w:pPr>
          </w:p>
        </w:tc>
        <w:tc>
          <w:tcPr>
            <w:tcW w:w="1865" w:type="pct"/>
            <w:tcBorders>
              <w:bottom w:val="single" w:sz="4" w:space="0" w:color="auto"/>
            </w:tcBorders>
          </w:tcPr>
          <w:p w:rsidR="00FB4A01" w:rsidRPr="003D2F7A" w:rsidRDefault="00FB4A01" w:rsidP="005C73D7">
            <w:pPr>
              <w:widowControl w:val="0"/>
              <w:tabs>
                <w:tab w:val="right" w:pos="7200"/>
              </w:tabs>
              <w:ind w:left="132" w:hanging="132"/>
              <w:jc w:val="right"/>
              <w:rPr>
                <w:rFonts w:ascii="Arial" w:hAnsi="Arial" w:cs="Arial"/>
                <w:snapToGrid w:val="0"/>
                <w:color w:val="000000"/>
                <w:highlight w:val="yellow"/>
              </w:rPr>
            </w:pPr>
          </w:p>
        </w:tc>
        <w:tc>
          <w:tcPr>
            <w:tcW w:w="1178" w:type="pct"/>
            <w:tcBorders>
              <w:bottom w:val="single" w:sz="4" w:space="0" w:color="auto"/>
            </w:tcBorders>
          </w:tcPr>
          <w:p w:rsidR="00FB4A01" w:rsidRPr="00316AD8" w:rsidRDefault="00FB4A01" w:rsidP="005C73D7">
            <w:pPr>
              <w:widowControl w:val="0"/>
              <w:tabs>
                <w:tab w:val="right" w:pos="7200"/>
              </w:tabs>
              <w:ind w:left="132" w:hanging="132"/>
              <w:jc w:val="right"/>
              <w:rPr>
                <w:rFonts w:ascii="Arial" w:hAnsi="Arial" w:cs="Arial"/>
                <w:snapToGrid w:val="0"/>
                <w:color w:val="000000"/>
              </w:rPr>
            </w:pPr>
          </w:p>
        </w:tc>
      </w:tr>
      <w:tr w:rsidR="00FB4A01" w:rsidRPr="003D2F7A" w:rsidTr="00FB4A01">
        <w:tc>
          <w:tcPr>
            <w:tcW w:w="1957" w:type="pct"/>
          </w:tcPr>
          <w:p w:rsidR="00FB4A01" w:rsidRPr="00D13DD5" w:rsidRDefault="00FB4A01" w:rsidP="005C73D7">
            <w:pPr>
              <w:widowControl w:val="0"/>
              <w:tabs>
                <w:tab w:val="right" w:pos="7200"/>
              </w:tabs>
              <w:ind w:left="132" w:hanging="132"/>
              <w:rPr>
                <w:rFonts w:ascii="Arial" w:hAnsi="Arial" w:cs="Arial"/>
                <w:b/>
                <w:snapToGrid w:val="0"/>
                <w:color w:val="000000"/>
                <w:sz w:val="24"/>
              </w:rPr>
            </w:pPr>
            <w:r w:rsidRPr="00D13DD5">
              <w:rPr>
                <w:rFonts w:ascii="Arial" w:hAnsi="Arial" w:cs="Arial"/>
                <w:b/>
                <w:snapToGrid w:val="0"/>
                <w:color w:val="000000"/>
                <w:sz w:val="24"/>
              </w:rPr>
              <w:t>Total</w:t>
            </w:r>
          </w:p>
        </w:tc>
        <w:tc>
          <w:tcPr>
            <w:tcW w:w="1865" w:type="pct"/>
            <w:tcBorders>
              <w:top w:val="single" w:sz="4" w:space="0" w:color="auto"/>
            </w:tcBorders>
          </w:tcPr>
          <w:p w:rsidR="00FB4A01" w:rsidRPr="00D13DD5" w:rsidRDefault="00D13DD5" w:rsidP="005C73D7">
            <w:pPr>
              <w:widowControl w:val="0"/>
              <w:tabs>
                <w:tab w:val="right" w:pos="7200"/>
              </w:tabs>
              <w:ind w:left="132" w:hanging="132"/>
              <w:jc w:val="right"/>
              <w:rPr>
                <w:rFonts w:ascii="Arial" w:hAnsi="Arial" w:cs="Arial"/>
                <w:b/>
                <w:snapToGrid w:val="0"/>
                <w:color w:val="000000"/>
                <w:sz w:val="24"/>
              </w:rPr>
            </w:pPr>
            <w:r w:rsidRPr="00D13DD5">
              <w:rPr>
                <w:rFonts w:ascii="Arial" w:hAnsi="Arial" w:cs="Arial"/>
                <w:b/>
                <w:snapToGrid w:val="0"/>
                <w:color w:val="000000"/>
                <w:sz w:val="24"/>
              </w:rPr>
              <w:t>82,63</w:t>
            </w:r>
            <w:r w:rsidR="007D7C93">
              <w:rPr>
                <w:rFonts w:ascii="Arial" w:hAnsi="Arial" w:cs="Arial"/>
                <w:b/>
                <w:snapToGrid w:val="0"/>
                <w:color w:val="000000"/>
                <w:sz w:val="24"/>
              </w:rPr>
              <w:t>1</w:t>
            </w:r>
          </w:p>
        </w:tc>
        <w:tc>
          <w:tcPr>
            <w:tcW w:w="1178" w:type="pct"/>
            <w:tcBorders>
              <w:top w:val="single" w:sz="4" w:space="0" w:color="auto"/>
            </w:tcBorders>
          </w:tcPr>
          <w:p w:rsidR="00FB4A01" w:rsidRPr="00316AD8" w:rsidRDefault="00316AD8" w:rsidP="005C73D7">
            <w:pPr>
              <w:widowControl w:val="0"/>
              <w:tabs>
                <w:tab w:val="right" w:pos="7200"/>
              </w:tabs>
              <w:ind w:left="132" w:hanging="132"/>
              <w:jc w:val="right"/>
              <w:rPr>
                <w:rFonts w:ascii="Arial" w:hAnsi="Arial" w:cs="Arial"/>
                <w:b/>
                <w:snapToGrid w:val="0"/>
                <w:color w:val="000000"/>
                <w:sz w:val="24"/>
              </w:rPr>
            </w:pPr>
            <w:r w:rsidRPr="00316AD8">
              <w:rPr>
                <w:rFonts w:ascii="Arial" w:hAnsi="Arial" w:cs="Arial"/>
                <w:b/>
                <w:snapToGrid w:val="0"/>
                <w:color w:val="000000"/>
                <w:sz w:val="24"/>
              </w:rPr>
              <w:t>88,432</w:t>
            </w:r>
          </w:p>
        </w:tc>
      </w:tr>
    </w:tbl>
    <w:p w:rsidR="00FB4A01" w:rsidRPr="0048061D" w:rsidRDefault="00FB4A01" w:rsidP="00DA5632">
      <w:pPr>
        <w:widowControl w:val="0"/>
        <w:tabs>
          <w:tab w:val="right" w:pos="7200"/>
        </w:tabs>
        <w:rPr>
          <w:rFonts w:ascii="Arial" w:hAnsi="Arial" w:cs="Arial"/>
          <w:snapToGrid w:val="0"/>
          <w:color w:val="000000"/>
          <w:sz w:val="24"/>
        </w:rPr>
      </w:pPr>
    </w:p>
    <w:p w:rsidR="00976203" w:rsidRDefault="00976203" w:rsidP="00654596">
      <w:pPr>
        <w:widowControl w:val="0"/>
        <w:tabs>
          <w:tab w:val="left" w:pos="600"/>
          <w:tab w:val="right" w:pos="3060"/>
          <w:tab w:val="right" w:pos="4150"/>
        </w:tabs>
        <w:rPr>
          <w:rFonts w:ascii="Arial" w:hAnsi="Arial" w:cs="Arial"/>
          <w:b/>
          <w:snapToGrid w:val="0"/>
          <w:color w:val="000000"/>
          <w:sz w:val="24"/>
        </w:rPr>
      </w:pPr>
    </w:p>
    <w:p w:rsidR="00654596" w:rsidRPr="0048061D" w:rsidRDefault="00654596" w:rsidP="00654596">
      <w:pPr>
        <w:widowControl w:val="0"/>
        <w:tabs>
          <w:tab w:val="left" w:pos="600"/>
          <w:tab w:val="right" w:pos="3060"/>
          <w:tab w:val="right" w:pos="4150"/>
        </w:tabs>
        <w:rPr>
          <w:rFonts w:ascii="Arial" w:hAnsi="Arial" w:cs="Arial"/>
          <w:sz w:val="24"/>
          <w:szCs w:val="24"/>
        </w:rPr>
      </w:pPr>
      <w:r w:rsidRPr="0048061D">
        <w:rPr>
          <w:rFonts w:ascii="Arial" w:hAnsi="Arial" w:cs="Arial"/>
          <w:b/>
          <w:snapToGrid w:val="0"/>
          <w:color w:val="000000"/>
          <w:sz w:val="24"/>
        </w:rPr>
        <w:t>Interest rate risk</w:t>
      </w:r>
      <w:r w:rsidR="009500C4" w:rsidRPr="0048061D">
        <w:rPr>
          <w:rFonts w:ascii="Arial" w:hAnsi="Arial" w:cs="Arial"/>
          <w:b/>
          <w:snapToGrid w:val="0"/>
          <w:color w:val="000000"/>
          <w:sz w:val="24"/>
        </w:rPr>
        <w:t xml:space="preserve"> sensitivity analysis</w:t>
      </w:r>
    </w:p>
    <w:p w:rsidR="00654596" w:rsidRPr="0048061D" w:rsidRDefault="00654596" w:rsidP="00654596">
      <w:pPr>
        <w:widowControl w:val="0"/>
        <w:tabs>
          <w:tab w:val="right" w:pos="7200"/>
        </w:tabs>
        <w:rPr>
          <w:rFonts w:ascii="Arial" w:hAnsi="Arial" w:cs="Arial"/>
          <w:snapToGrid w:val="0"/>
          <w:color w:val="000000"/>
          <w:sz w:val="24"/>
        </w:rPr>
      </w:pPr>
    </w:p>
    <w:p w:rsidR="00DA5632" w:rsidRPr="0048061D" w:rsidRDefault="00654596" w:rsidP="00654596">
      <w:pPr>
        <w:widowControl w:val="0"/>
        <w:tabs>
          <w:tab w:val="right" w:pos="7200"/>
        </w:tabs>
        <w:rPr>
          <w:rFonts w:ascii="Arial" w:hAnsi="Arial" w:cs="Arial"/>
          <w:snapToGrid w:val="0"/>
          <w:color w:val="000000"/>
          <w:sz w:val="24"/>
        </w:rPr>
      </w:pPr>
      <w:r w:rsidRPr="0048061D">
        <w:rPr>
          <w:rFonts w:ascii="Arial" w:hAnsi="Arial" w:cs="Arial"/>
          <w:snapToGrid w:val="0"/>
          <w:color w:val="000000"/>
          <w:sz w:val="24"/>
        </w:rPr>
        <w:t>The</w:t>
      </w:r>
      <w:r w:rsidR="009500C4" w:rsidRPr="0048061D">
        <w:rPr>
          <w:rFonts w:ascii="Arial" w:hAnsi="Arial" w:cs="Arial"/>
          <w:snapToGrid w:val="0"/>
          <w:color w:val="000000"/>
          <w:sz w:val="24"/>
        </w:rPr>
        <w:t xml:space="preserve"> </w:t>
      </w:r>
      <w:r w:rsidR="00C4216C" w:rsidRPr="0048061D">
        <w:rPr>
          <w:rFonts w:ascii="Arial" w:hAnsi="Arial" w:cs="Arial"/>
          <w:snapToGrid w:val="0"/>
          <w:color w:val="000000"/>
          <w:sz w:val="24"/>
        </w:rPr>
        <w:t>Pension Fund</w:t>
      </w:r>
      <w:r w:rsidR="009500C4" w:rsidRPr="0048061D">
        <w:rPr>
          <w:rFonts w:ascii="Arial" w:hAnsi="Arial" w:cs="Arial"/>
          <w:snapToGrid w:val="0"/>
          <w:color w:val="000000"/>
          <w:sz w:val="24"/>
        </w:rPr>
        <w:t xml:space="preserve"> recognises that interest rates can vary and can affect both income to the Fund and the value of the net assets available to pay benefits.</w:t>
      </w:r>
      <w:r w:rsidR="00DD7F4B" w:rsidRPr="0048061D">
        <w:rPr>
          <w:rFonts w:ascii="Arial" w:hAnsi="Arial" w:cs="Arial"/>
          <w:snapToGrid w:val="0"/>
          <w:color w:val="000000"/>
          <w:sz w:val="24"/>
        </w:rPr>
        <w:t xml:space="preserve"> A 1</w:t>
      </w:r>
      <w:r w:rsidR="008B33C1" w:rsidRPr="0048061D">
        <w:rPr>
          <w:rFonts w:ascii="Arial" w:hAnsi="Arial" w:cs="Arial"/>
          <w:snapToGrid w:val="0"/>
          <w:color w:val="000000"/>
          <w:sz w:val="24"/>
        </w:rPr>
        <w:t>00 basis point (BPS)</w:t>
      </w:r>
      <w:r w:rsidR="00DD7F4B" w:rsidRPr="0048061D">
        <w:rPr>
          <w:rFonts w:ascii="Arial" w:hAnsi="Arial" w:cs="Arial"/>
          <w:snapToGrid w:val="0"/>
          <w:color w:val="000000"/>
          <w:sz w:val="24"/>
        </w:rPr>
        <w:t xml:space="preserve"> movement in interest rates is consistent with the level of sensitivity applied as part of the Fund’s risk management strategy.</w:t>
      </w:r>
      <w:r w:rsidR="00D24FCA" w:rsidRPr="0048061D">
        <w:rPr>
          <w:rFonts w:ascii="Arial" w:hAnsi="Arial" w:cs="Arial"/>
          <w:snapToGrid w:val="0"/>
          <w:color w:val="000000"/>
          <w:sz w:val="24"/>
        </w:rPr>
        <w:t xml:space="preserve"> Experience suggests that long-term average rates are </w:t>
      </w:r>
      <w:r w:rsidR="00796830" w:rsidRPr="0048061D">
        <w:rPr>
          <w:rFonts w:ascii="Arial" w:hAnsi="Arial" w:cs="Arial"/>
          <w:snapToGrid w:val="0"/>
          <w:color w:val="000000"/>
          <w:sz w:val="24"/>
        </w:rPr>
        <w:t>expected to move less than 100 basis points from one year to the next.</w:t>
      </w:r>
    </w:p>
    <w:p w:rsidR="00DD7F4B" w:rsidRPr="003D2F7A" w:rsidRDefault="00DD7F4B" w:rsidP="00654596">
      <w:pPr>
        <w:widowControl w:val="0"/>
        <w:tabs>
          <w:tab w:val="right" w:pos="7200"/>
        </w:tabs>
        <w:rPr>
          <w:rFonts w:ascii="Arial" w:hAnsi="Arial" w:cs="Arial"/>
          <w:snapToGrid w:val="0"/>
          <w:color w:val="000000"/>
          <w:sz w:val="24"/>
          <w:highlight w:val="yellow"/>
        </w:rPr>
      </w:pPr>
    </w:p>
    <w:p w:rsidR="00DD7F4B" w:rsidRPr="00BC2ECA" w:rsidRDefault="00DD7F4B" w:rsidP="00654596">
      <w:pPr>
        <w:widowControl w:val="0"/>
        <w:tabs>
          <w:tab w:val="right" w:pos="7200"/>
        </w:tabs>
        <w:rPr>
          <w:rFonts w:ascii="Arial" w:hAnsi="Arial" w:cs="Arial"/>
          <w:snapToGrid w:val="0"/>
          <w:color w:val="000000"/>
          <w:sz w:val="24"/>
        </w:rPr>
      </w:pPr>
      <w:r w:rsidRPr="00BC2ECA">
        <w:rPr>
          <w:rFonts w:ascii="Arial" w:hAnsi="Arial" w:cs="Arial"/>
          <w:snapToGrid w:val="0"/>
          <w:color w:val="000000"/>
          <w:sz w:val="24"/>
        </w:rPr>
        <w:t xml:space="preserve">The analysis that follows assumes that all other variables, in particular exchange rates, remain constant, and shows the effect in the year on the net assets available to pay benefits of a </w:t>
      </w:r>
      <w:r w:rsidR="00BC2ECA" w:rsidRPr="00BC2ECA">
        <w:rPr>
          <w:rFonts w:ascii="Arial" w:hAnsi="Arial" w:cs="Arial"/>
          <w:snapToGrid w:val="0"/>
          <w:color w:val="000000"/>
          <w:sz w:val="24"/>
        </w:rPr>
        <w:t>+/- 100 BPS</w:t>
      </w:r>
      <w:r w:rsidRPr="00BC2ECA">
        <w:rPr>
          <w:rFonts w:ascii="Arial" w:hAnsi="Arial" w:cs="Arial"/>
          <w:snapToGrid w:val="0"/>
          <w:color w:val="000000"/>
          <w:sz w:val="24"/>
        </w:rPr>
        <w:t xml:space="preserve"> change in interest rates:</w:t>
      </w:r>
    </w:p>
    <w:p w:rsidR="00DD7F4B" w:rsidRPr="00BC2ECA" w:rsidRDefault="00DD7F4B" w:rsidP="00654596">
      <w:pPr>
        <w:widowControl w:val="0"/>
        <w:tabs>
          <w:tab w:val="right" w:pos="7200"/>
        </w:tabs>
        <w:rPr>
          <w:rFonts w:ascii="Arial" w:hAnsi="Arial" w:cs="Arial"/>
          <w:snapToGrid w:val="0"/>
          <w:color w:val="000000"/>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2"/>
        <w:gridCol w:w="2462"/>
        <w:gridCol w:w="1554"/>
        <w:gridCol w:w="1554"/>
      </w:tblGrid>
      <w:tr w:rsidR="00DD7F4B" w:rsidRPr="003D2F7A" w:rsidTr="00DD7F4B">
        <w:tc>
          <w:tcPr>
            <w:tcW w:w="1584" w:type="pct"/>
          </w:tcPr>
          <w:p w:rsidR="00DD7F4B" w:rsidRPr="00556CDF" w:rsidRDefault="00DD7F4B" w:rsidP="005C73D7">
            <w:pPr>
              <w:widowControl w:val="0"/>
              <w:tabs>
                <w:tab w:val="right" w:pos="7200"/>
              </w:tabs>
              <w:ind w:left="132" w:hanging="132"/>
              <w:rPr>
                <w:rFonts w:ascii="Arial" w:hAnsi="Arial" w:cs="Arial"/>
                <w:b/>
                <w:snapToGrid w:val="0"/>
                <w:color w:val="000000"/>
                <w:sz w:val="24"/>
              </w:rPr>
            </w:pPr>
            <w:r w:rsidRPr="00556CDF">
              <w:rPr>
                <w:rFonts w:ascii="Arial" w:hAnsi="Arial" w:cs="Arial"/>
                <w:b/>
                <w:snapToGrid w:val="0"/>
                <w:color w:val="000000"/>
                <w:sz w:val="24"/>
              </w:rPr>
              <w:t>Asset type</w:t>
            </w:r>
          </w:p>
        </w:tc>
        <w:tc>
          <w:tcPr>
            <w:tcW w:w="1510" w:type="pct"/>
          </w:tcPr>
          <w:p w:rsidR="00DD7F4B" w:rsidRPr="00556CDF" w:rsidRDefault="00DD7F4B" w:rsidP="00556CDF">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Car</w:t>
            </w:r>
            <w:r w:rsidR="00CD223B" w:rsidRPr="00556CDF">
              <w:rPr>
                <w:rFonts w:ascii="Arial" w:hAnsi="Arial" w:cs="Arial"/>
                <w:b/>
                <w:snapToGrid w:val="0"/>
                <w:color w:val="000000"/>
                <w:sz w:val="24"/>
              </w:rPr>
              <w:t>r</w:t>
            </w:r>
            <w:r w:rsidRPr="00556CDF">
              <w:rPr>
                <w:rFonts w:ascii="Arial" w:hAnsi="Arial" w:cs="Arial"/>
                <w:b/>
                <w:snapToGrid w:val="0"/>
                <w:color w:val="000000"/>
                <w:sz w:val="24"/>
              </w:rPr>
              <w:t>ying amount as at 31 March 201</w:t>
            </w:r>
            <w:r w:rsidR="00556CDF" w:rsidRPr="00556CDF">
              <w:rPr>
                <w:rFonts w:ascii="Arial" w:hAnsi="Arial" w:cs="Arial"/>
                <w:b/>
                <w:snapToGrid w:val="0"/>
                <w:color w:val="000000"/>
                <w:sz w:val="24"/>
              </w:rPr>
              <w:t>3</w:t>
            </w:r>
          </w:p>
        </w:tc>
        <w:tc>
          <w:tcPr>
            <w:tcW w:w="1906" w:type="pct"/>
            <w:gridSpan w:val="2"/>
          </w:tcPr>
          <w:p w:rsidR="00DD7F4B" w:rsidRPr="00556CDF" w:rsidRDefault="00DD7F4B" w:rsidP="005C73D7">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Change in year in the net assets available to pay benefits</w:t>
            </w:r>
          </w:p>
        </w:tc>
      </w:tr>
      <w:tr w:rsidR="00DD7F4B" w:rsidRPr="003D2F7A" w:rsidTr="00DD7F4B">
        <w:tc>
          <w:tcPr>
            <w:tcW w:w="1584" w:type="pct"/>
          </w:tcPr>
          <w:p w:rsidR="00DD7F4B" w:rsidRPr="00556CDF" w:rsidRDefault="00DD7F4B" w:rsidP="005C73D7">
            <w:pPr>
              <w:widowControl w:val="0"/>
              <w:tabs>
                <w:tab w:val="right" w:pos="7200"/>
              </w:tabs>
              <w:ind w:left="132" w:hanging="132"/>
              <w:rPr>
                <w:rFonts w:ascii="Arial" w:hAnsi="Arial" w:cs="Arial"/>
                <w:snapToGrid w:val="0"/>
                <w:color w:val="000000"/>
                <w:sz w:val="24"/>
              </w:rPr>
            </w:pPr>
          </w:p>
        </w:tc>
        <w:tc>
          <w:tcPr>
            <w:tcW w:w="1510" w:type="pct"/>
          </w:tcPr>
          <w:p w:rsidR="00DD7F4B" w:rsidRPr="00556CDF" w:rsidRDefault="00DD7F4B" w:rsidP="005C73D7">
            <w:pPr>
              <w:widowControl w:val="0"/>
              <w:tabs>
                <w:tab w:val="right" w:pos="7200"/>
              </w:tabs>
              <w:ind w:left="132" w:hanging="132"/>
              <w:jc w:val="right"/>
              <w:rPr>
                <w:rFonts w:ascii="Arial" w:hAnsi="Arial" w:cs="Arial"/>
                <w:b/>
                <w:snapToGrid w:val="0"/>
                <w:color w:val="000000"/>
                <w:sz w:val="24"/>
              </w:rPr>
            </w:pPr>
          </w:p>
        </w:tc>
        <w:tc>
          <w:tcPr>
            <w:tcW w:w="953" w:type="pct"/>
          </w:tcPr>
          <w:p w:rsidR="00DD7F4B" w:rsidRPr="00556CDF" w:rsidRDefault="00DD7F4B" w:rsidP="002C5F25">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+1</w:t>
            </w:r>
            <w:r w:rsidR="002C5F25">
              <w:rPr>
                <w:rFonts w:ascii="Arial" w:hAnsi="Arial" w:cs="Arial"/>
                <w:b/>
                <w:snapToGrid w:val="0"/>
                <w:color w:val="000000"/>
                <w:sz w:val="24"/>
              </w:rPr>
              <w:t>00 BPS</w:t>
            </w:r>
          </w:p>
        </w:tc>
        <w:tc>
          <w:tcPr>
            <w:tcW w:w="953" w:type="pct"/>
          </w:tcPr>
          <w:p w:rsidR="00DD7F4B" w:rsidRPr="00556CDF" w:rsidRDefault="00DD7F4B" w:rsidP="002C5F25">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-1</w:t>
            </w:r>
            <w:r w:rsidR="002C5F25">
              <w:rPr>
                <w:rFonts w:ascii="Arial" w:hAnsi="Arial" w:cs="Arial"/>
                <w:b/>
                <w:snapToGrid w:val="0"/>
                <w:color w:val="000000"/>
                <w:sz w:val="24"/>
              </w:rPr>
              <w:t>00 BPS</w:t>
            </w:r>
          </w:p>
        </w:tc>
      </w:tr>
      <w:tr w:rsidR="00DD7F4B" w:rsidRPr="003D2F7A" w:rsidTr="00DD7F4B">
        <w:tc>
          <w:tcPr>
            <w:tcW w:w="1584" w:type="pct"/>
          </w:tcPr>
          <w:p w:rsidR="00DD7F4B" w:rsidRPr="00556CDF" w:rsidRDefault="00DD7F4B" w:rsidP="005C73D7">
            <w:pPr>
              <w:widowControl w:val="0"/>
              <w:tabs>
                <w:tab w:val="right" w:pos="7200"/>
              </w:tabs>
              <w:ind w:left="132" w:hanging="132"/>
              <w:rPr>
                <w:rFonts w:ascii="Arial" w:hAnsi="Arial" w:cs="Arial"/>
                <w:snapToGrid w:val="0"/>
                <w:color w:val="000000"/>
                <w:sz w:val="24"/>
              </w:rPr>
            </w:pPr>
          </w:p>
        </w:tc>
        <w:tc>
          <w:tcPr>
            <w:tcW w:w="1510" w:type="pct"/>
          </w:tcPr>
          <w:p w:rsidR="00DD7F4B" w:rsidRPr="00556CDF" w:rsidRDefault="00DD7F4B" w:rsidP="005C73D7">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£’000</w:t>
            </w:r>
          </w:p>
        </w:tc>
        <w:tc>
          <w:tcPr>
            <w:tcW w:w="953" w:type="pct"/>
          </w:tcPr>
          <w:p w:rsidR="00DD7F4B" w:rsidRPr="00556CDF" w:rsidRDefault="00DD7F4B" w:rsidP="005C73D7">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£’000</w:t>
            </w:r>
          </w:p>
        </w:tc>
        <w:tc>
          <w:tcPr>
            <w:tcW w:w="953" w:type="pct"/>
          </w:tcPr>
          <w:p w:rsidR="00DD7F4B" w:rsidRPr="00556CDF" w:rsidRDefault="00DD7F4B" w:rsidP="005C73D7">
            <w:pPr>
              <w:widowControl w:val="0"/>
              <w:tabs>
                <w:tab w:val="right" w:pos="7200"/>
              </w:tabs>
              <w:ind w:left="132" w:hanging="132"/>
              <w:jc w:val="right"/>
              <w:rPr>
                <w:rFonts w:ascii="Arial" w:hAnsi="Arial" w:cs="Arial"/>
                <w:b/>
                <w:snapToGrid w:val="0"/>
                <w:color w:val="000000"/>
                <w:sz w:val="24"/>
              </w:rPr>
            </w:pPr>
            <w:r w:rsidRPr="00556CDF">
              <w:rPr>
                <w:rFonts w:ascii="Arial" w:hAnsi="Arial" w:cs="Arial"/>
                <w:b/>
                <w:snapToGrid w:val="0"/>
                <w:color w:val="000000"/>
                <w:sz w:val="24"/>
              </w:rPr>
              <w:t>£’000</w:t>
            </w:r>
          </w:p>
        </w:tc>
      </w:tr>
      <w:tr w:rsidR="00DD7F4B" w:rsidRPr="009F4F70" w:rsidTr="00DD7F4B">
        <w:tc>
          <w:tcPr>
            <w:tcW w:w="1584" w:type="pct"/>
          </w:tcPr>
          <w:p w:rsidR="00DD7F4B" w:rsidRPr="009F4F70" w:rsidRDefault="00DD7F4B" w:rsidP="005C73D7">
            <w:pPr>
              <w:widowControl w:val="0"/>
              <w:tabs>
                <w:tab w:val="right" w:pos="7200"/>
              </w:tabs>
              <w:ind w:left="132" w:hanging="132"/>
              <w:rPr>
                <w:rFonts w:ascii="Arial" w:hAnsi="Arial" w:cs="Arial"/>
                <w:snapToGrid w:val="0"/>
                <w:color w:val="000000"/>
                <w:sz w:val="8"/>
                <w:szCs w:val="8"/>
              </w:rPr>
            </w:pPr>
          </w:p>
        </w:tc>
        <w:tc>
          <w:tcPr>
            <w:tcW w:w="1510" w:type="pct"/>
          </w:tcPr>
          <w:p w:rsidR="00DD7F4B" w:rsidRPr="009F4F70" w:rsidRDefault="00DD7F4B" w:rsidP="005C73D7">
            <w:pPr>
              <w:widowControl w:val="0"/>
              <w:tabs>
                <w:tab w:val="right" w:pos="7200"/>
              </w:tabs>
              <w:ind w:left="132" w:hanging="132"/>
              <w:jc w:val="right"/>
              <w:rPr>
                <w:rFonts w:ascii="Arial" w:hAnsi="Arial" w:cs="Arial"/>
                <w:snapToGrid w:val="0"/>
                <w:color w:val="000000"/>
                <w:sz w:val="8"/>
                <w:szCs w:val="8"/>
              </w:rPr>
            </w:pPr>
          </w:p>
        </w:tc>
        <w:tc>
          <w:tcPr>
            <w:tcW w:w="953" w:type="pct"/>
          </w:tcPr>
          <w:p w:rsidR="00DD7F4B" w:rsidRPr="009F4F70" w:rsidRDefault="00DD7F4B" w:rsidP="005C73D7">
            <w:pPr>
              <w:widowControl w:val="0"/>
              <w:tabs>
                <w:tab w:val="right" w:pos="7200"/>
              </w:tabs>
              <w:ind w:left="132" w:hanging="132"/>
              <w:jc w:val="right"/>
              <w:rPr>
                <w:rFonts w:ascii="Arial" w:hAnsi="Arial" w:cs="Arial"/>
                <w:snapToGrid w:val="0"/>
                <w:color w:val="000000"/>
                <w:sz w:val="8"/>
                <w:szCs w:val="8"/>
              </w:rPr>
            </w:pPr>
          </w:p>
        </w:tc>
        <w:tc>
          <w:tcPr>
            <w:tcW w:w="953" w:type="pct"/>
          </w:tcPr>
          <w:p w:rsidR="00DD7F4B" w:rsidRPr="009F4F70" w:rsidRDefault="00DD7F4B" w:rsidP="005C73D7">
            <w:pPr>
              <w:widowControl w:val="0"/>
              <w:tabs>
                <w:tab w:val="right" w:pos="7200"/>
              </w:tabs>
              <w:ind w:left="132" w:hanging="132"/>
              <w:jc w:val="right"/>
              <w:rPr>
                <w:rFonts w:ascii="Arial" w:hAnsi="Arial" w:cs="Arial"/>
                <w:snapToGrid w:val="0"/>
                <w:color w:val="000000"/>
                <w:sz w:val="8"/>
                <w:szCs w:val="8"/>
              </w:rPr>
            </w:pPr>
          </w:p>
        </w:tc>
      </w:tr>
      <w:tr w:rsidR="00DD7F4B" w:rsidRPr="003D2F7A" w:rsidTr="00DD7F4B">
        <w:tc>
          <w:tcPr>
            <w:tcW w:w="1584" w:type="pct"/>
          </w:tcPr>
          <w:p w:rsidR="00DD7F4B" w:rsidRPr="00976203" w:rsidRDefault="007B3126" w:rsidP="005C73D7">
            <w:pPr>
              <w:widowControl w:val="0"/>
              <w:tabs>
                <w:tab w:val="right" w:pos="7200"/>
              </w:tabs>
              <w:ind w:left="132" w:hanging="132"/>
              <w:rPr>
                <w:rFonts w:ascii="Arial" w:hAnsi="Arial" w:cs="Arial"/>
                <w:snapToGrid w:val="0"/>
                <w:color w:val="000000"/>
                <w:sz w:val="24"/>
              </w:rPr>
            </w:pPr>
            <w:r w:rsidRPr="00976203">
              <w:rPr>
                <w:rFonts w:ascii="Arial" w:hAnsi="Arial" w:cs="Arial"/>
                <w:snapToGrid w:val="0"/>
                <w:color w:val="000000"/>
                <w:sz w:val="24"/>
              </w:rPr>
              <w:t>Cash balance</w:t>
            </w:r>
            <w:r w:rsidR="00DD7F4B" w:rsidRPr="00976203">
              <w:rPr>
                <w:rFonts w:ascii="Arial" w:hAnsi="Arial" w:cs="Arial"/>
                <w:snapToGrid w:val="0"/>
                <w:color w:val="000000"/>
                <w:sz w:val="24"/>
              </w:rPr>
              <w:t xml:space="preserve">s                                          </w:t>
            </w:r>
          </w:p>
        </w:tc>
        <w:tc>
          <w:tcPr>
            <w:tcW w:w="1510" w:type="pct"/>
          </w:tcPr>
          <w:p w:rsidR="00DD7F4B" w:rsidRPr="00F96DC7" w:rsidRDefault="00316AD8" w:rsidP="005C73D7">
            <w:pPr>
              <w:widowControl w:val="0"/>
              <w:tabs>
                <w:tab w:val="right" w:pos="7200"/>
              </w:tabs>
              <w:ind w:left="132" w:hanging="132"/>
              <w:jc w:val="right"/>
              <w:rPr>
                <w:rFonts w:ascii="Arial" w:hAnsi="Arial" w:cs="Arial"/>
                <w:snapToGrid w:val="0"/>
                <w:color w:val="000000"/>
                <w:sz w:val="24"/>
              </w:rPr>
            </w:pPr>
            <w:r w:rsidRPr="00F96DC7">
              <w:rPr>
                <w:rFonts w:ascii="Arial" w:hAnsi="Arial" w:cs="Arial"/>
                <w:snapToGrid w:val="0"/>
                <w:color w:val="000000"/>
                <w:sz w:val="24"/>
              </w:rPr>
              <w:t>5,534</w:t>
            </w:r>
          </w:p>
        </w:tc>
        <w:tc>
          <w:tcPr>
            <w:tcW w:w="953" w:type="pct"/>
          </w:tcPr>
          <w:p w:rsidR="00DD7F4B" w:rsidRPr="00F96DC7" w:rsidRDefault="00316AD8" w:rsidP="005C73D7">
            <w:pPr>
              <w:widowControl w:val="0"/>
              <w:tabs>
                <w:tab w:val="right" w:pos="7200"/>
              </w:tabs>
              <w:ind w:left="132" w:hanging="132"/>
              <w:jc w:val="right"/>
              <w:rPr>
                <w:rFonts w:ascii="Arial" w:hAnsi="Arial" w:cs="Arial"/>
                <w:snapToGrid w:val="0"/>
                <w:color w:val="000000"/>
                <w:sz w:val="24"/>
              </w:rPr>
            </w:pPr>
            <w:r w:rsidRPr="00F96DC7">
              <w:rPr>
                <w:rFonts w:ascii="Arial" w:hAnsi="Arial" w:cs="Arial"/>
                <w:snapToGrid w:val="0"/>
                <w:color w:val="000000"/>
                <w:sz w:val="24"/>
              </w:rPr>
              <w:t>55</w:t>
            </w:r>
          </w:p>
        </w:tc>
        <w:tc>
          <w:tcPr>
            <w:tcW w:w="953" w:type="pct"/>
          </w:tcPr>
          <w:p w:rsidR="00DD7F4B" w:rsidRPr="00F96DC7" w:rsidRDefault="00316AD8" w:rsidP="005C73D7">
            <w:pPr>
              <w:widowControl w:val="0"/>
              <w:tabs>
                <w:tab w:val="right" w:pos="7200"/>
              </w:tabs>
              <w:ind w:left="132" w:hanging="132"/>
              <w:jc w:val="right"/>
              <w:rPr>
                <w:rFonts w:ascii="Arial" w:hAnsi="Arial" w:cs="Arial"/>
                <w:snapToGrid w:val="0"/>
                <w:color w:val="000000"/>
                <w:sz w:val="24"/>
              </w:rPr>
            </w:pPr>
            <w:r w:rsidRPr="00F96DC7">
              <w:rPr>
                <w:rFonts w:ascii="Arial" w:hAnsi="Arial" w:cs="Arial"/>
                <w:snapToGrid w:val="0"/>
                <w:color w:val="000000"/>
                <w:sz w:val="24"/>
              </w:rPr>
              <w:t>-55</w:t>
            </w:r>
          </w:p>
        </w:tc>
      </w:tr>
      <w:tr w:rsidR="00DD7F4B" w:rsidRPr="003D2F7A" w:rsidTr="00DD7F4B">
        <w:tc>
          <w:tcPr>
            <w:tcW w:w="1584" w:type="pct"/>
          </w:tcPr>
          <w:p w:rsidR="00DD7F4B" w:rsidRPr="00976203" w:rsidRDefault="00DD7F4B" w:rsidP="005C73D7">
            <w:pPr>
              <w:widowControl w:val="0"/>
              <w:tabs>
                <w:tab w:val="right" w:pos="7200"/>
              </w:tabs>
              <w:ind w:left="132" w:hanging="132"/>
              <w:rPr>
                <w:rFonts w:ascii="Arial" w:hAnsi="Arial" w:cs="Arial"/>
                <w:snapToGrid w:val="0"/>
                <w:color w:val="000000"/>
                <w:sz w:val="24"/>
              </w:rPr>
            </w:pPr>
            <w:r w:rsidRPr="00976203">
              <w:rPr>
                <w:rFonts w:ascii="Arial" w:hAnsi="Arial" w:cs="Arial"/>
                <w:snapToGrid w:val="0"/>
                <w:color w:val="000000"/>
                <w:sz w:val="24"/>
              </w:rPr>
              <w:t xml:space="preserve">Fixed interest securities                             </w:t>
            </w:r>
          </w:p>
        </w:tc>
        <w:tc>
          <w:tcPr>
            <w:tcW w:w="1510" w:type="pct"/>
          </w:tcPr>
          <w:p w:rsidR="00DD7F4B" w:rsidRPr="00F96DC7" w:rsidRDefault="0034670D" w:rsidP="005C73D7">
            <w:pPr>
              <w:widowControl w:val="0"/>
              <w:tabs>
                <w:tab w:val="right" w:pos="7200"/>
              </w:tabs>
              <w:ind w:left="132" w:hanging="132"/>
              <w:jc w:val="right"/>
              <w:rPr>
                <w:rFonts w:ascii="Arial" w:hAnsi="Arial" w:cs="Arial"/>
                <w:snapToGrid w:val="0"/>
                <w:color w:val="000000"/>
                <w:sz w:val="24"/>
              </w:rPr>
            </w:pPr>
            <w:r w:rsidRPr="00F96DC7">
              <w:rPr>
                <w:rFonts w:ascii="Arial" w:hAnsi="Arial" w:cs="Arial"/>
                <w:snapToGrid w:val="0"/>
                <w:color w:val="000000"/>
                <w:sz w:val="24"/>
              </w:rPr>
              <w:t>82,898</w:t>
            </w:r>
          </w:p>
        </w:tc>
        <w:tc>
          <w:tcPr>
            <w:tcW w:w="953" w:type="pct"/>
          </w:tcPr>
          <w:p w:rsidR="00DD7F4B" w:rsidRPr="00F96DC7" w:rsidRDefault="0034670D" w:rsidP="005C73D7">
            <w:pPr>
              <w:widowControl w:val="0"/>
              <w:tabs>
                <w:tab w:val="right" w:pos="7200"/>
              </w:tabs>
              <w:ind w:left="132" w:hanging="132"/>
              <w:jc w:val="right"/>
              <w:rPr>
                <w:rFonts w:ascii="Arial" w:hAnsi="Arial" w:cs="Arial"/>
                <w:snapToGrid w:val="0"/>
                <w:color w:val="000000"/>
                <w:sz w:val="24"/>
              </w:rPr>
            </w:pPr>
            <w:r w:rsidRPr="00F96DC7">
              <w:rPr>
                <w:rFonts w:ascii="Arial" w:hAnsi="Arial" w:cs="Arial"/>
                <w:snapToGrid w:val="0"/>
                <w:color w:val="000000"/>
                <w:sz w:val="24"/>
              </w:rPr>
              <w:t>829</w:t>
            </w:r>
          </w:p>
        </w:tc>
        <w:tc>
          <w:tcPr>
            <w:tcW w:w="953" w:type="pct"/>
          </w:tcPr>
          <w:p w:rsidR="00DD7F4B" w:rsidRPr="00F96DC7" w:rsidRDefault="00DD7F4B" w:rsidP="005C73D7">
            <w:pPr>
              <w:widowControl w:val="0"/>
              <w:tabs>
                <w:tab w:val="right" w:pos="7200"/>
              </w:tabs>
              <w:ind w:left="132" w:hanging="132"/>
              <w:jc w:val="right"/>
              <w:rPr>
                <w:rFonts w:ascii="Arial" w:hAnsi="Arial" w:cs="Arial"/>
                <w:snapToGrid w:val="0"/>
                <w:color w:val="000000"/>
                <w:sz w:val="24"/>
              </w:rPr>
            </w:pPr>
            <w:r w:rsidRPr="00F96DC7">
              <w:rPr>
                <w:rFonts w:ascii="Arial" w:hAnsi="Arial" w:cs="Arial"/>
                <w:snapToGrid w:val="0"/>
                <w:color w:val="000000"/>
                <w:sz w:val="24"/>
              </w:rPr>
              <w:t>-</w:t>
            </w:r>
            <w:r w:rsidR="0034670D" w:rsidRPr="00F96DC7">
              <w:rPr>
                <w:rFonts w:ascii="Arial" w:hAnsi="Arial" w:cs="Arial"/>
                <w:snapToGrid w:val="0"/>
                <w:color w:val="000000"/>
                <w:sz w:val="24"/>
              </w:rPr>
              <w:t>829</w:t>
            </w:r>
          </w:p>
        </w:tc>
      </w:tr>
      <w:tr w:rsidR="00DD7F4B" w:rsidRPr="001542C4" w:rsidTr="00DD7F4B">
        <w:tc>
          <w:tcPr>
            <w:tcW w:w="1584" w:type="pct"/>
          </w:tcPr>
          <w:p w:rsidR="00DD7F4B" w:rsidRPr="001542C4" w:rsidRDefault="00DD7F4B" w:rsidP="001542C4">
            <w:pPr>
              <w:widowControl w:val="0"/>
              <w:tabs>
                <w:tab w:val="right" w:pos="7200"/>
              </w:tabs>
              <w:rPr>
                <w:rFonts w:ascii="Arial" w:hAnsi="Arial" w:cs="Arial"/>
                <w:snapToGrid w:val="0"/>
                <w:color w:val="000000"/>
                <w:sz w:val="8"/>
                <w:szCs w:val="8"/>
              </w:rPr>
            </w:pPr>
          </w:p>
        </w:tc>
        <w:tc>
          <w:tcPr>
            <w:tcW w:w="1510" w:type="pct"/>
            <w:tcBorders>
              <w:bottom w:val="single" w:sz="4" w:space="0" w:color="auto"/>
            </w:tcBorders>
          </w:tcPr>
          <w:p w:rsidR="00DD7F4B" w:rsidRPr="00F96DC7" w:rsidRDefault="00DD7F4B" w:rsidP="001542C4">
            <w:pPr>
              <w:widowControl w:val="0"/>
              <w:tabs>
                <w:tab w:val="right" w:pos="7200"/>
              </w:tabs>
              <w:rPr>
                <w:rFonts w:ascii="Arial" w:hAnsi="Arial" w:cs="Arial"/>
                <w:snapToGrid w:val="0"/>
                <w:color w:val="000000"/>
                <w:sz w:val="8"/>
                <w:szCs w:val="8"/>
              </w:rPr>
            </w:pPr>
          </w:p>
        </w:tc>
        <w:tc>
          <w:tcPr>
            <w:tcW w:w="953" w:type="pct"/>
            <w:tcBorders>
              <w:bottom w:val="single" w:sz="4" w:space="0" w:color="auto"/>
            </w:tcBorders>
          </w:tcPr>
          <w:p w:rsidR="00DD7F4B" w:rsidRPr="00F96DC7" w:rsidRDefault="00DD7F4B" w:rsidP="002C5F25">
            <w:pPr>
              <w:widowControl w:val="0"/>
              <w:tabs>
                <w:tab w:val="right" w:pos="7200"/>
              </w:tabs>
              <w:rPr>
                <w:rFonts w:ascii="Arial" w:hAnsi="Arial" w:cs="Arial"/>
                <w:snapToGrid w:val="0"/>
                <w:color w:val="000000"/>
                <w:sz w:val="8"/>
                <w:szCs w:val="8"/>
              </w:rPr>
            </w:pPr>
          </w:p>
        </w:tc>
        <w:tc>
          <w:tcPr>
            <w:tcW w:w="953" w:type="pct"/>
            <w:tcBorders>
              <w:bottom w:val="single" w:sz="4" w:space="0" w:color="auto"/>
            </w:tcBorders>
          </w:tcPr>
          <w:p w:rsidR="00DD7F4B" w:rsidRPr="00F96DC7" w:rsidRDefault="00DD7F4B" w:rsidP="002C5F25">
            <w:pPr>
              <w:widowControl w:val="0"/>
              <w:tabs>
                <w:tab w:val="right" w:pos="7200"/>
              </w:tabs>
              <w:rPr>
                <w:rFonts w:ascii="Arial" w:hAnsi="Arial" w:cs="Arial"/>
                <w:snapToGrid w:val="0"/>
                <w:color w:val="000000"/>
                <w:sz w:val="8"/>
                <w:szCs w:val="8"/>
              </w:rPr>
            </w:pPr>
          </w:p>
        </w:tc>
      </w:tr>
      <w:tr w:rsidR="00DD7F4B" w:rsidRPr="003D2F7A" w:rsidTr="00DD7F4B">
        <w:tc>
          <w:tcPr>
            <w:tcW w:w="1584" w:type="pct"/>
          </w:tcPr>
          <w:p w:rsidR="00DD7F4B" w:rsidRPr="00976203" w:rsidRDefault="00DD7F4B" w:rsidP="005C73D7">
            <w:pPr>
              <w:widowControl w:val="0"/>
              <w:tabs>
                <w:tab w:val="right" w:pos="7200"/>
              </w:tabs>
              <w:ind w:left="132" w:hanging="132"/>
              <w:rPr>
                <w:rFonts w:ascii="Arial" w:hAnsi="Arial" w:cs="Arial"/>
                <w:b/>
                <w:snapToGrid w:val="0"/>
                <w:color w:val="000000"/>
                <w:sz w:val="24"/>
              </w:rPr>
            </w:pPr>
            <w:r w:rsidRPr="00976203">
              <w:rPr>
                <w:rFonts w:ascii="Arial" w:hAnsi="Arial" w:cs="Arial"/>
                <w:b/>
                <w:snapToGrid w:val="0"/>
                <w:color w:val="000000"/>
                <w:sz w:val="24"/>
              </w:rPr>
              <w:t>Total</w:t>
            </w:r>
            <w:r w:rsidR="00A33B3C" w:rsidRPr="00976203">
              <w:rPr>
                <w:rFonts w:ascii="Arial" w:hAnsi="Arial" w:cs="Arial"/>
                <w:b/>
                <w:snapToGrid w:val="0"/>
                <w:color w:val="000000"/>
                <w:sz w:val="24"/>
              </w:rPr>
              <w:t xml:space="preserve"> change in assets available</w:t>
            </w:r>
          </w:p>
        </w:tc>
        <w:tc>
          <w:tcPr>
            <w:tcW w:w="1510" w:type="pct"/>
            <w:tcBorders>
              <w:top w:val="single" w:sz="4" w:space="0" w:color="auto"/>
            </w:tcBorders>
          </w:tcPr>
          <w:p w:rsidR="00DD7F4B" w:rsidRPr="00F96DC7" w:rsidRDefault="00F96DC7" w:rsidP="005C73D7">
            <w:pPr>
              <w:widowControl w:val="0"/>
              <w:tabs>
                <w:tab w:val="right" w:pos="7200"/>
              </w:tabs>
              <w:ind w:left="132" w:hanging="132"/>
              <w:jc w:val="right"/>
              <w:rPr>
                <w:rFonts w:ascii="Arial" w:hAnsi="Arial" w:cs="Arial"/>
                <w:b/>
                <w:snapToGrid w:val="0"/>
                <w:color w:val="000000"/>
                <w:sz w:val="24"/>
              </w:rPr>
            </w:pPr>
            <w:r w:rsidRPr="00F96DC7">
              <w:rPr>
                <w:rFonts w:ascii="Arial" w:hAnsi="Arial" w:cs="Arial"/>
                <w:b/>
                <w:snapToGrid w:val="0"/>
                <w:color w:val="000000"/>
                <w:sz w:val="24"/>
              </w:rPr>
              <w:t>88,432</w:t>
            </w:r>
          </w:p>
        </w:tc>
        <w:tc>
          <w:tcPr>
            <w:tcW w:w="953" w:type="pct"/>
            <w:tcBorders>
              <w:top w:val="single" w:sz="4" w:space="0" w:color="auto"/>
            </w:tcBorders>
          </w:tcPr>
          <w:p w:rsidR="00DD7F4B" w:rsidRPr="00F96DC7" w:rsidRDefault="00F96DC7" w:rsidP="005C73D7">
            <w:pPr>
              <w:widowControl w:val="0"/>
              <w:tabs>
                <w:tab w:val="right" w:pos="7200"/>
              </w:tabs>
              <w:ind w:left="132" w:hanging="132"/>
              <w:jc w:val="right"/>
              <w:rPr>
                <w:rFonts w:ascii="Arial" w:hAnsi="Arial" w:cs="Arial"/>
                <w:b/>
                <w:snapToGrid w:val="0"/>
                <w:color w:val="000000"/>
                <w:sz w:val="24"/>
              </w:rPr>
            </w:pPr>
            <w:r w:rsidRPr="00F96DC7">
              <w:rPr>
                <w:rFonts w:ascii="Arial" w:hAnsi="Arial" w:cs="Arial"/>
                <w:b/>
                <w:snapToGrid w:val="0"/>
                <w:color w:val="000000"/>
                <w:sz w:val="24"/>
              </w:rPr>
              <w:t>884</w:t>
            </w:r>
          </w:p>
        </w:tc>
        <w:tc>
          <w:tcPr>
            <w:tcW w:w="953" w:type="pct"/>
            <w:tcBorders>
              <w:top w:val="single" w:sz="4" w:space="0" w:color="auto"/>
            </w:tcBorders>
          </w:tcPr>
          <w:p w:rsidR="00DD7F4B" w:rsidRPr="00F96DC7" w:rsidRDefault="002565D8" w:rsidP="005C73D7">
            <w:pPr>
              <w:widowControl w:val="0"/>
              <w:tabs>
                <w:tab w:val="right" w:pos="7200"/>
              </w:tabs>
              <w:ind w:left="132" w:hanging="132"/>
              <w:jc w:val="right"/>
              <w:rPr>
                <w:rFonts w:ascii="Arial" w:hAnsi="Arial" w:cs="Arial"/>
                <w:b/>
                <w:snapToGrid w:val="0"/>
                <w:color w:val="000000"/>
                <w:sz w:val="24"/>
              </w:rPr>
            </w:pPr>
            <w:r w:rsidRPr="00F96DC7">
              <w:rPr>
                <w:rFonts w:ascii="Arial" w:hAnsi="Arial" w:cs="Arial"/>
                <w:b/>
                <w:snapToGrid w:val="0"/>
                <w:color w:val="000000"/>
                <w:sz w:val="24"/>
              </w:rPr>
              <w:t>-</w:t>
            </w:r>
            <w:r w:rsidR="00F96DC7" w:rsidRPr="00F96DC7">
              <w:rPr>
                <w:rFonts w:ascii="Arial" w:hAnsi="Arial" w:cs="Arial"/>
                <w:b/>
                <w:snapToGrid w:val="0"/>
                <w:color w:val="000000"/>
                <w:sz w:val="24"/>
              </w:rPr>
              <w:t>884</w:t>
            </w:r>
          </w:p>
        </w:tc>
      </w:tr>
      <w:tr w:rsidR="00A33B3C" w:rsidRPr="003D2F7A" w:rsidTr="005C73D7">
        <w:tc>
          <w:tcPr>
            <w:tcW w:w="1584" w:type="pct"/>
          </w:tcPr>
          <w:p w:rsidR="00A33B3C" w:rsidRPr="00A22855" w:rsidRDefault="00A33B3C" w:rsidP="005C73D7">
            <w:pPr>
              <w:widowControl w:val="0"/>
              <w:tabs>
                <w:tab w:val="right" w:pos="7200"/>
              </w:tabs>
              <w:ind w:left="132" w:hanging="132"/>
              <w:rPr>
                <w:rFonts w:ascii="Arial" w:hAnsi="Arial" w:cs="Arial"/>
                <w:b/>
                <w:snapToGrid w:val="0"/>
                <w:color w:val="000000"/>
                <w:sz w:val="24"/>
              </w:rPr>
            </w:pPr>
            <w:r w:rsidRPr="00A22855">
              <w:rPr>
                <w:rFonts w:ascii="Arial" w:hAnsi="Arial" w:cs="Arial"/>
                <w:b/>
                <w:snapToGrid w:val="0"/>
                <w:color w:val="000000"/>
                <w:sz w:val="24"/>
              </w:rPr>
              <w:lastRenderedPageBreak/>
              <w:t>Asset type</w:t>
            </w:r>
          </w:p>
        </w:tc>
        <w:tc>
          <w:tcPr>
            <w:tcW w:w="1510" w:type="pct"/>
          </w:tcPr>
          <w:p w:rsidR="00A33B3C" w:rsidRPr="00A22855" w:rsidRDefault="00A33B3C" w:rsidP="00A22855">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Car</w:t>
            </w:r>
            <w:r w:rsidR="008E3680" w:rsidRPr="00A22855">
              <w:rPr>
                <w:rFonts w:ascii="Arial" w:hAnsi="Arial" w:cs="Arial"/>
                <w:b/>
                <w:snapToGrid w:val="0"/>
                <w:color w:val="000000"/>
                <w:sz w:val="24"/>
              </w:rPr>
              <w:t>r</w:t>
            </w:r>
            <w:r w:rsidRPr="00A22855">
              <w:rPr>
                <w:rFonts w:ascii="Arial" w:hAnsi="Arial" w:cs="Arial"/>
                <w:b/>
                <w:snapToGrid w:val="0"/>
                <w:color w:val="000000"/>
                <w:sz w:val="24"/>
              </w:rPr>
              <w:t>ying amount as at 31 March 201</w:t>
            </w:r>
            <w:r w:rsidR="00A22855" w:rsidRPr="00A22855">
              <w:rPr>
                <w:rFonts w:ascii="Arial" w:hAnsi="Arial" w:cs="Arial"/>
                <w:b/>
                <w:snapToGrid w:val="0"/>
                <w:color w:val="000000"/>
                <w:sz w:val="24"/>
              </w:rPr>
              <w:t>2</w:t>
            </w:r>
          </w:p>
        </w:tc>
        <w:tc>
          <w:tcPr>
            <w:tcW w:w="1906" w:type="pct"/>
            <w:gridSpan w:val="2"/>
          </w:tcPr>
          <w:p w:rsidR="00A33B3C" w:rsidRPr="00A22855" w:rsidRDefault="00A33B3C"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Change in year in the net assets available to pay benefits</w:t>
            </w:r>
          </w:p>
        </w:tc>
      </w:tr>
      <w:tr w:rsidR="00A33B3C" w:rsidRPr="003D2F7A" w:rsidTr="005C73D7">
        <w:tc>
          <w:tcPr>
            <w:tcW w:w="1584" w:type="pct"/>
          </w:tcPr>
          <w:p w:rsidR="00A33B3C" w:rsidRPr="00A22855" w:rsidRDefault="00A33B3C" w:rsidP="005C73D7">
            <w:pPr>
              <w:widowControl w:val="0"/>
              <w:tabs>
                <w:tab w:val="right" w:pos="7200"/>
              </w:tabs>
              <w:ind w:left="132" w:hanging="132"/>
              <w:rPr>
                <w:rFonts w:ascii="Arial" w:hAnsi="Arial" w:cs="Arial"/>
                <w:snapToGrid w:val="0"/>
                <w:color w:val="000000"/>
                <w:sz w:val="24"/>
              </w:rPr>
            </w:pPr>
          </w:p>
        </w:tc>
        <w:tc>
          <w:tcPr>
            <w:tcW w:w="1510" w:type="pct"/>
          </w:tcPr>
          <w:p w:rsidR="00A33B3C" w:rsidRPr="00A22855" w:rsidRDefault="00A33B3C" w:rsidP="005C73D7">
            <w:pPr>
              <w:widowControl w:val="0"/>
              <w:tabs>
                <w:tab w:val="right" w:pos="7200"/>
              </w:tabs>
              <w:ind w:left="132" w:hanging="132"/>
              <w:jc w:val="right"/>
              <w:rPr>
                <w:rFonts w:ascii="Arial" w:hAnsi="Arial" w:cs="Arial"/>
                <w:b/>
                <w:snapToGrid w:val="0"/>
                <w:color w:val="000000"/>
                <w:sz w:val="24"/>
              </w:rPr>
            </w:pPr>
          </w:p>
        </w:tc>
        <w:tc>
          <w:tcPr>
            <w:tcW w:w="953" w:type="pct"/>
          </w:tcPr>
          <w:p w:rsidR="00A33B3C" w:rsidRPr="00A22855" w:rsidRDefault="009F4F70"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+100 BPS</w:t>
            </w:r>
          </w:p>
        </w:tc>
        <w:tc>
          <w:tcPr>
            <w:tcW w:w="953" w:type="pct"/>
          </w:tcPr>
          <w:p w:rsidR="00A33B3C" w:rsidRPr="00A22855" w:rsidRDefault="009F4F70"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-100 BPS</w:t>
            </w:r>
          </w:p>
        </w:tc>
      </w:tr>
      <w:tr w:rsidR="00A33B3C" w:rsidRPr="003D2F7A" w:rsidTr="005C73D7">
        <w:tc>
          <w:tcPr>
            <w:tcW w:w="1584" w:type="pct"/>
          </w:tcPr>
          <w:p w:rsidR="00A33B3C" w:rsidRPr="00A22855" w:rsidRDefault="00A33B3C" w:rsidP="005C73D7">
            <w:pPr>
              <w:widowControl w:val="0"/>
              <w:tabs>
                <w:tab w:val="right" w:pos="7200"/>
              </w:tabs>
              <w:ind w:left="132" w:hanging="132"/>
              <w:rPr>
                <w:rFonts w:ascii="Arial" w:hAnsi="Arial" w:cs="Arial"/>
                <w:snapToGrid w:val="0"/>
                <w:color w:val="000000"/>
                <w:sz w:val="24"/>
              </w:rPr>
            </w:pPr>
          </w:p>
        </w:tc>
        <w:tc>
          <w:tcPr>
            <w:tcW w:w="1510" w:type="pct"/>
          </w:tcPr>
          <w:p w:rsidR="00A33B3C" w:rsidRPr="00A22855" w:rsidRDefault="00A33B3C"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£’000</w:t>
            </w:r>
          </w:p>
        </w:tc>
        <w:tc>
          <w:tcPr>
            <w:tcW w:w="953" w:type="pct"/>
          </w:tcPr>
          <w:p w:rsidR="00A33B3C" w:rsidRPr="00A22855" w:rsidRDefault="00A33B3C"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£’000</w:t>
            </w:r>
          </w:p>
        </w:tc>
        <w:tc>
          <w:tcPr>
            <w:tcW w:w="953" w:type="pct"/>
          </w:tcPr>
          <w:p w:rsidR="00A33B3C" w:rsidRPr="00A22855" w:rsidRDefault="00A33B3C"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£’000</w:t>
            </w:r>
          </w:p>
        </w:tc>
      </w:tr>
      <w:tr w:rsidR="00A33B3C" w:rsidRPr="003D2F7A" w:rsidTr="005C73D7">
        <w:tc>
          <w:tcPr>
            <w:tcW w:w="1584" w:type="pct"/>
          </w:tcPr>
          <w:p w:rsidR="00A33B3C" w:rsidRPr="00A22855" w:rsidRDefault="00A33B3C" w:rsidP="005C73D7">
            <w:pPr>
              <w:widowControl w:val="0"/>
              <w:tabs>
                <w:tab w:val="right" w:pos="7200"/>
              </w:tabs>
              <w:ind w:left="132" w:hanging="132"/>
              <w:rPr>
                <w:rFonts w:ascii="Arial" w:hAnsi="Arial" w:cs="Arial"/>
                <w:snapToGrid w:val="0"/>
                <w:color w:val="000000"/>
              </w:rPr>
            </w:pPr>
          </w:p>
        </w:tc>
        <w:tc>
          <w:tcPr>
            <w:tcW w:w="1510" w:type="pct"/>
          </w:tcPr>
          <w:p w:rsidR="00A33B3C" w:rsidRPr="00A22855" w:rsidRDefault="00A33B3C" w:rsidP="005C73D7">
            <w:pPr>
              <w:widowControl w:val="0"/>
              <w:tabs>
                <w:tab w:val="right" w:pos="7200"/>
              </w:tabs>
              <w:ind w:left="132" w:hanging="132"/>
              <w:jc w:val="right"/>
              <w:rPr>
                <w:rFonts w:ascii="Arial" w:hAnsi="Arial" w:cs="Arial"/>
                <w:snapToGrid w:val="0"/>
                <w:color w:val="000000"/>
              </w:rPr>
            </w:pPr>
          </w:p>
        </w:tc>
        <w:tc>
          <w:tcPr>
            <w:tcW w:w="953" w:type="pct"/>
          </w:tcPr>
          <w:p w:rsidR="00A33B3C" w:rsidRPr="00A22855" w:rsidRDefault="00A33B3C" w:rsidP="005C73D7">
            <w:pPr>
              <w:widowControl w:val="0"/>
              <w:tabs>
                <w:tab w:val="right" w:pos="7200"/>
              </w:tabs>
              <w:ind w:left="132" w:hanging="132"/>
              <w:jc w:val="right"/>
              <w:rPr>
                <w:rFonts w:ascii="Arial" w:hAnsi="Arial" w:cs="Arial"/>
                <w:snapToGrid w:val="0"/>
                <w:color w:val="000000"/>
              </w:rPr>
            </w:pPr>
          </w:p>
        </w:tc>
        <w:tc>
          <w:tcPr>
            <w:tcW w:w="953" w:type="pct"/>
          </w:tcPr>
          <w:p w:rsidR="00A33B3C" w:rsidRPr="00A22855" w:rsidRDefault="00A33B3C" w:rsidP="005C73D7">
            <w:pPr>
              <w:widowControl w:val="0"/>
              <w:tabs>
                <w:tab w:val="right" w:pos="7200"/>
              </w:tabs>
              <w:ind w:left="132" w:hanging="132"/>
              <w:jc w:val="right"/>
              <w:rPr>
                <w:rFonts w:ascii="Arial" w:hAnsi="Arial" w:cs="Arial"/>
                <w:snapToGrid w:val="0"/>
                <w:color w:val="000000"/>
              </w:rPr>
            </w:pPr>
          </w:p>
        </w:tc>
      </w:tr>
      <w:tr w:rsidR="00A33B3C" w:rsidRPr="00007120" w:rsidTr="005C73D7">
        <w:tc>
          <w:tcPr>
            <w:tcW w:w="1584" w:type="pct"/>
          </w:tcPr>
          <w:p w:rsidR="00A33B3C" w:rsidRPr="00007120" w:rsidRDefault="005C7053" w:rsidP="005C73D7">
            <w:pPr>
              <w:widowControl w:val="0"/>
              <w:tabs>
                <w:tab w:val="right" w:pos="7200"/>
              </w:tabs>
              <w:ind w:left="132" w:hanging="132"/>
              <w:rPr>
                <w:rFonts w:ascii="Arial" w:hAnsi="Arial" w:cs="Arial"/>
                <w:snapToGrid w:val="0"/>
                <w:color w:val="000000"/>
                <w:sz w:val="24"/>
              </w:rPr>
            </w:pPr>
            <w:r w:rsidRPr="00007120">
              <w:rPr>
                <w:rFonts w:ascii="Arial" w:hAnsi="Arial" w:cs="Arial"/>
                <w:snapToGrid w:val="0"/>
                <w:color w:val="000000"/>
                <w:sz w:val="24"/>
              </w:rPr>
              <w:t>Cash balance</w:t>
            </w:r>
            <w:r w:rsidR="00A33B3C" w:rsidRPr="00007120">
              <w:rPr>
                <w:rFonts w:ascii="Arial" w:hAnsi="Arial" w:cs="Arial"/>
                <w:snapToGrid w:val="0"/>
                <w:color w:val="000000"/>
                <w:sz w:val="24"/>
              </w:rPr>
              <w:t xml:space="preserve">s                                          </w:t>
            </w:r>
          </w:p>
        </w:tc>
        <w:tc>
          <w:tcPr>
            <w:tcW w:w="1510" w:type="pct"/>
          </w:tcPr>
          <w:p w:rsidR="00A33B3C" w:rsidRPr="00007120" w:rsidRDefault="005C7053" w:rsidP="005C73D7">
            <w:pPr>
              <w:widowControl w:val="0"/>
              <w:tabs>
                <w:tab w:val="right" w:pos="7200"/>
              </w:tabs>
              <w:ind w:left="132" w:hanging="132"/>
              <w:jc w:val="right"/>
              <w:rPr>
                <w:rFonts w:ascii="Arial" w:hAnsi="Arial" w:cs="Arial"/>
                <w:snapToGrid w:val="0"/>
                <w:color w:val="000000"/>
                <w:sz w:val="24"/>
              </w:rPr>
            </w:pPr>
            <w:r w:rsidRPr="00007120">
              <w:rPr>
                <w:rFonts w:ascii="Arial" w:hAnsi="Arial" w:cs="Arial"/>
                <w:snapToGrid w:val="0"/>
                <w:color w:val="000000"/>
                <w:sz w:val="24"/>
              </w:rPr>
              <w:t>5,59</w:t>
            </w:r>
            <w:r w:rsidR="007D7C93">
              <w:rPr>
                <w:rFonts w:ascii="Arial" w:hAnsi="Arial" w:cs="Arial"/>
                <w:snapToGrid w:val="0"/>
                <w:color w:val="000000"/>
                <w:sz w:val="24"/>
              </w:rPr>
              <w:t>1</w:t>
            </w:r>
          </w:p>
        </w:tc>
        <w:tc>
          <w:tcPr>
            <w:tcW w:w="953" w:type="pct"/>
          </w:tcPr>
          <w:p w:rsidR="00A33B3C" w:rsidRPr="00007120" w:rsidRDefault="00364204" w:rsidP="005C73D7">
            <w:pPr>
              <w:widowControl w:val="0"/>
              <w:tabs>
                <w:tab w:val="right" w:pos="7200"/>
              </w:tabs>
              <w:ind w:left="132" w:hanging="132"/>
              <w:jc w:val="right"/>
              <w:rPr>
                <w:rFonts w:ascii="Arial" w:hAnsi="Arial" w:cs="Arial"/>
                <w:snapToGrid w:val="0"/>
                <w:color w:val="000000"/>
                <w:sz w:val="24"/>
              </w:rPr>
            </w:pPr>
            <w:r w:rsidRPr="00007120">
              <w:rPr>
                <w:rFonts w:ascii="Arial" w:hAnsi="Arial" w:cs="Arial"/>
                <w:snapToGrid w:val="0"/>
                <w:color w:val="000000"/>
                <w:sz w:val="24"/>
              </w:rPr>
              <w:t>56</w:t>
            </w:r>
          </w:p>
        </w:tc>
        <w:tc>
          <w:tcPr>
            <w:tcW w:w="953" w:type="pct"/>
          </w:tcPr>
          <w:p w:rsidR="00A33B3C" w:rsidRPr="00007120" w:rsidRDefault="00364204" w:rsidP="005C73D7">
            <w:pPr>
              <w:widowControl w:val="0"/>
              <w:tabs>
                <w:tab w:val="right" w:pos="7200"/>
              </w:tabs>
              <w:ind w:left="132" w:hanging="132"/>
              <w:jc w:val="right"/>
              <w:rPr>
                <w:rFonts w:ascii="Arial" w:hAnsi="Arial" w:cs="Arial"/>
                <w:snapToGrid w:val="0"/>
                <w:color w:val="000000"/>
                <w:sz w:val="24"/>
              </w:rPr>
            </w:pPr>
            <w:r w:rsidRPr="00007120">
              <w:rPr>
                <w:rFonts w:ascii="Arial" w:hAnsi="Arial" w:cs="Arial"/>
                <w:snapToGrid w:val="0"/>
                <w:color w:val="000000"/>
                <w:sz w:val="24"/>
              </w:rPr>
              <w:t>-56</w:t>
            </w:r>
          </w:p>
        </w:tc>
      </w:tr>
      <w:tr w:rsidR="00A33B3C" w:rsidRPr="00007120" w:rsidTr="005C73D7">
        <w:tc>
          <w:tcPr>
            <w:tcW w:w="1584" w:type="pct"/>
          </w:tcPr>
          <w:p w:rsidR="00A33B3C" w:rsidRPr="00007120" w:rsidRDefault="00A33B3C" w:rsidP="005C73D7">
            <w:pPr>
              <w:widowControl w:val="0"/>
              <w:tabs>
                <w:tab w:val="right" w:pos="7200"/>
              </w:tabs>
              <w:ind w:left="132" w:hanging="132"/>
              <w:rPr>
                <w:rFonts w:ascii="Arial" w:hAnsi="Arial" w:cs="Arial"/>
                <w:snapToGrid w:val="0"/>
                <w:color w:val="000000"/>
                <w:sz w:val="24"/>
              </w:rPr>
            </w:pPr>
            <w:r w:rsidRPr="00007120">
              <w:rPr>
                <w:rFonts w:ascii="Arial" w:hAnsi="Arial" w:cs="Arial"/>
                <w:snapToGrid w:val="0"/>
                <w:color w:val="000000"/>
                <w:sz w:val="24"/>
              </w:rPr>
              <w:t xml:space="preserve">Fixed interest securities                             </w:t>
            </w:r>
          </w:p>
        </w:tc>
        <w:tc>
          <w:tcPr>
            <w:tcW w:w="1510" w:type="pct"/>
          </w:tcPr>
          <w:p w:rsidR="00A33B3C" w:rsidRPr="00007120" w:rsidRDefault="005C7053" w:rsidP="005C73D7">
            <w:pPr>
              <w:widowControl w:val="0"/>
              <w:tabs>
                <w:tab w:val="right" w:pos="7200"/>
              </w:tabs>
              <w:ind w:left="132" w:hanging="132"/>
              <w:jc w:val="right"/>
              <w:rPr>
                <w:rFonts w:ascii="Arial" w:hAnsi="Arial" w:cs="Arial"/>
                <w:snapToGrid w:val="0"/>
                <w:color w:val="000000"/>
                <w:sz w:val="24"/>
              </w:rPr>
            </w:pPr>
            <w:r w:rsidRPr="00007120">
              <w:rPr>
                <w:rFonts w:ascii="Arial" w:hAnsi="Arial" w:cs="Arial"/>
                <w:snapToGrid w:val="0"/>
                <w:color w:val="000000"/>
                <w:sz w:val="24"/>
              </w:rPr>
              <w:t>77,040</w:t>
            </w:r>
          </w:p>
        </w:tc>
        <w:tc>
          <w:tcPr>
            <w:tcW w:w="953" w:type="pct"/>
          </w:tcPr>
          <w:p w:rsidR="00A33B3C" w:rsidRPr="00007120" w:rsidRDefault="00364204" w:rsidP="005C73D7">
            <w:pPr>
              <w:widowControl w:val="0"/>
              <w:tabs>
                <w:tab w:val="right" w:pos="7200"/>
              </w:tabs>
              <w:ind w:left="132" w:hanging="132"/>
              <w:jc w:val="right"/>
              <w:rPr>
                <w:rFonts w:ascii="Arial" w:hAnsi="Arial" w:cs="Arial"/>
                <w:snapToGrid w:val="0"/>
                <w:color w:val="000000"/>
                <w:sz w:val="24"/>
              </w:rPr>
            </w:pPr>
            <w:r w:rsidRPr="00007120">
              <w:rPr>
                <w:rFonts w:ascii="Arial" w:hAnsi="Arial" w:cs="Arial"/>
                <w:snapToGrid w:val="0"/>
                <w:color w:val="000000"/>
                <w:sz w:val="24"/>
              </w:rPr>
              <w:t>770</w:t>
            </w:r>
          </w:p>
        </w:tc>
        <w:tc>
          <w:tcPr>
            <w:tcW w:w="953" w:type="pct"/>
          </w:tcPr>
          <w:p w:rsidR="00A33B3C" w:rsidRPr="00007120" w:rsidRDefault="00A33B3C" w:rsidP="005C73D7">
            <w:pPr>
              <w:widowControl w:val="0"/>
              <w:tabs>
                <w:tab w:val="right" w:pos="7200"/>
              </w:tabs>
              <w:ind w:left="132" w:hanging="132"/>
              <w:jc w:val="right"/>
              <w:rPr>
                <w:rFonts w:ascii="Arial" w:hAnsi="Arial" w:cs="Arial"/>
                <w:snapToGrid w:val="0"/>
                <w:color w:val="000000"/>
                <w:sz w:val="24"/>
              </w:rPr>
            </w:pPr>
            <w:r w:rsidRPr="00007120">
              <w:rPr>
                <w:rFonts w:ascii="Arial" w:hAnsi="Arial" w:cs="Arial"/>
                <w:snapToGrid w:val="0"/>
                <w:color w:val="000000"/>
                <w:sz w:val="24"/>
              </w:rPr>
              <w:t>-</w:t>
            </w:r>
            <w:r w:rsidR="00364204" w:rsidRPr="00007120">
              <w:rPr>
                <w:rFonts w:ascii="Arial" w:hAnsi="Arial" w:cs="Arial"/>
                <w:snapToGrid w:val="0"/>
                <w:color w:val="000000"/>
                <w:sz w:val="24"/>
              </w:rPr>
              <w:t>770</w:t>
            </w:r>
          </w:p>
        </w:tc>
      </w:tr>
      <w:tr w:rsidR="00A33B3C" w:rsidRPr="00007120" w:rsidTr="005C73D7">
        <w:tc>
          <w:tcPr>
            <w:tcW w:w="1584" w:type="pct"/>
          </w:tcPr>
          <w:p w:rsidR="00A33B3C" w:rsidRPr="00007120" w:rsidRDefault="00A33B3C" w:rsidP="005C73D7">
            <w:pPr>
              <w:widowControl w:val="0"/>
              <w:tabs>
                <w:tab w:val="right" w:pos="7200"/>
              </w:tabs>
              <w:ind w:left="132" w:hanging="132"/>
              <w:rPr>
                <w:rFonts w:ascii="Arial" w:hAnsi="Arial" w:cs="Arial"/>
                <w:snapToGrid w:val="0"/>
                <w:color w:val="000000"/>
              </w:rPr>
            </w:pPr>
          </w:p>
        </w:tc>
        <w:tc>
          <w:tcPr>
            <w:tcW w:w="1510" w:type="pct"/>
            <w:tcBorders>
              <w:bottom w:val="single" w:sz="4" w:space="0" w:color="auto"/>
            </w:tcBorders>
          </w:tcPr>
          <w:p w:rsidR="00A33B3C" w:rsidRPr="00007120" w:rsidRDefault="00A33B3C" w:rsidP="005C73D7">
            <w:pPr>
              <w:widowControl w:val="0"/>
              <w:tabs>
                <w:tab w:val="right" w:pos="7200"/>
              </w:tabs>
              <w:ind w:left="132" w:hanging="132"/>
              <w:jc w:val="right"/>
              <w:rPr>
                <w:rFonts w:ascii="Arial" w:hAnsi="Arial" w:cs="Arial"/>
                <w:snapToGrid w:val="0"/>
                <w:color w:val="000000"/>
              </w:rPr>
            </w:pPr>
          </w:p>
        </w:tc>
        <w:tc>
          <w:tcPr>
            <w:tcW w:w="953" w:type="pct"/>
            <w:tcBorders>
              <w:bottom w:val="single" w:sz="4" w:space="0" w:color="auto"/>
            </w:tcBorders>
          </w:tcPr>
          <w:p w:rsidR="00A33B3C" w:rsidRPr="00007120" w:rsidRDefault="00A33B3C" w:rsidP="005C73D7">
            <w:pPr>
              <w:widowControl w:val="0"/>
              <w:tabs>
                <w:tab w:val="right" w:pos="7200"/>
              </w:tabs>
              <w:ind w:left="132" w:hanging="132"/>
              <w:jc w:val="right"/>
              <w:rPr>
                <w:rFonts w:ascii="Arial" w:hAnsi="Arial" w:cs="Arial"/>
                <w:snapToGrid w:val="0"/>
                <w:color w:val="000000"/>
              </w:rPr>
            </w:pPr>
          </w:p>
        </w:tc>
        <w:tc>
          <w:tcPr>
            <w:tcW w:w="953" w:type="pct"/>
            <w:tcBorders>
              <w:bottom w:val="single" w:sz="4" w:space="0" w:color="auto"/>
            </w:tcBorders>
          </w:tcPr>
          <w:p w:rsidR="00A33B3C" w:rsidRPr="00007120" w:rsidRDefault="00A33B3C" w:rsidP="005C73D7">
            <w:pPr>
              <w:widowControl w:val="0"/>
              <w:tabs>
                <w:tab w:val="right" w:pos="7200"/>
              </w:tabs>
              <w:ind w:left="132" w:hanging="132"/>
              <w:jc w:val="right"/>
              <w:rPr>
                <w:rFonts w:ascii="Arial" w:hAnsi="Arial" w:cs="Arial"/>
                <w:snapToGrid w:val="0"/>
                <w:color w:val="000000"/>
              </w:rPr>
            </w:pPr>
          </w:p>
        </w:tc>
      </w:tr>
      <w:tr w:rsidR="00A33B3C" w:rsidRPr="003D2F7A" w:rsidTr="005C73D7">
        <w:tc>
          <w:tcPr>
            <w:tcW w:w="1584" w:type="pct"/>
          </w:tcPr>
          <w:p w:rsidR="00A33B3C" w:rsidRPr="00007120" w:rsidRDefault="00A33B3C" w:rsidP="005C73D7">
            <w:pPr>
              <w:widowControl w:val="0"/>
              <w:tabs>
                <w:tab w:val="right" w:pos="7200"/>
              </w:tabs>
              <w:ind w:left="132" w:hanging="132"/>
              <w:rPr>
                <w:rFonts w:ascii="Arial" w:hAnsi="Arial" w:cs="Arial"/>
                <w:b/>
                <w:snapToGrid w:val="0"/>
                <w:color w:val="000000"/>
                <w:sz w:val="24"/>
              </w:rPr>
            </w:pPr>
            <w:r w:rsidRPr="00007120">
              <w:rPr>
                <w:rFonts w:ascii="Arial" w:hAnsi="Arial" w:cs="Arial"/>
                <w:b/>
                <w:snapToGrid w:val="0"/>
                <w:color w:val="000000"/>
                <w:sz w:val="24"/>
              </w:rPr>
              <w:t>Total change in assets available</w:t>
            </w:r>
          </w:p>
        </w:tc>
        <w:tc>
          <w:tcPr>
            <w:tcW w:w="1510" w:type="pct"/>
            <w:tcBorders>
              <w:top w:val="single" w:sz="4" w:space="0" w:color="auto"/>
            </w:tcBorders>
          </w:tcPr>
          <w:p w:rsidR="00A33B3C" w:rsidRPr="00007120" w:rsidRDefault="005C7053" w:rsidP="005C73D7">
            <w:pPr>
              <w:widowControl w:val="0"/>
              <w:tabs>
                <w:tab w:val="right" w:pos="7200"/>
              </w:tabs>
              <w:ind w:left="132" w:hanging="132"/>
              <w:jc w:val="right"/>
              <w:rPr>
                <w:rFonts w:ascii="Arial" w:hAnsi="Arial" w:cs="Arial"/>
                <w:b/>
                <w:snapToGrid w:val="0"/>
                <w:color w:val="000000"/>
                <w:sz w:val="24"/>
              </w:rPr>
            </w:pPr>
            <w:r w:rsidRPr="00007120">
              <w:rPr>
                <w:rFonts w:ascii="Arial" w:hAnsi="Arial" w:cs="Arial"/>
                <w:b/>
                <w:snapToGrid w:val="0"/>
                <w:color w:val="000000"/>
                <w:sz w:val="24"/>
              </w:rPr>
              <w:t>82,63</w:t>
            </w:r>
            <w:r w:rsidR="007D7C93">
              <w:rPr>
                <w:rFonts w:ascii="Arial" w:hAnsi="Arial" w:cs="Arial"/>
                <w:b/>
                <w:snapToGrid w:val="0"/>
                <w:color w:val="000000"/>
                <w:sz w:val="24"/>
              </w:rPr>
              <w:t>1</w:t>
            </w:r>
          </w:p>
        </w:tc>
        <w:tc>
          <w:tcPr>
            <w:tcW w:w="953" w:type="pct"/>
            <w:tcBorders>
              <w:top w:val="single" w:sz="4" w:space="0" w:color="auto"/>
            </w:tcBorders>
          </w:tcPr>
          <w:p w:rsidR="00A33B3C" w:rsidRPr="00007120" w:rsidRDefault="00007120" w:rsidP="005C73D7">
            <w:pPr>
              <w:widowControl w:val="0"/>
              <w:tabs>
                <w:tab w:val="right" w:pos="7200"/>
              </w:tabs>
              <w:ind w:left="132" w:hanging="132"/>
              <w:jc w:val="right"/>
              <w:rPr>
                <w:rFonts w:ascii="Arial" w:hAnsi="Arial" w:cs="Arial"/>
                <w:b/>
                <w:snapToGrid w:val="0"/>
                <w:color w:val="000000"/>
                <w:sz w:val="24"/>
              </w:rPr>
            </w:pPr>
            <w:r w:rsidRPr="00007120">
              <w:rPr>
                <w:rFonts w:ascii="Arial" w:hAnsi="Arial" w:cs="Arial"/>
                <w:b/>
                <w:snapToGrid w:val="0"/>
                <w:color w:val="000000"/>
                <w:sz w:val="24"/>
              </w:rPr>
              <w:t>826</w:t>
            </w:r>
          </w:p>
        </w:tc>
        <w:tc>
          <w:tcPr>
            <w:tcW w:w="953" w:type="pct"/>
            <w:tcBorders>
              <w:top w:val="single" w:sz="4" w:space="0" w:color="auto"/>
            </w:tcBorders>
          </w:tcPr>
          <w:p w:rsidR="00A33B3C" w:rsidRPr="00007120" w:rsidRDefault="00A33B3C" w:rsidP="005C73D7">
            <w:pPr>
              <w:widowControl w:val="0"/>
              <w:tabs>
                <w:tab w:val="right" w:pos="7200"/>
              </w:tabs>
              <w:ind w:left="132" w:hanging="132"/>
              <w:jc w:val="right"/>
              <w:rPr>
                <w:rFonts w:ascii="Arial" w:hAnsi="Arial" w:cs="Arial"/>
                <w:b/>
                <w:snapToGrid w:val="0"/>
                <w:color w:val="000000"/>
                <w:sz w:val="24"/>
              </w:rPr>
            </w:pPr>
            <w:r w:rsidRPr="00007120">
              <w:rPr>
                <w:rFonts w:ascii="Arial" w:hAnsi="Arial" w:cs="Arial"/>
                <w:b/>
                <w:snapToGrid w:val="0"/>
                <w:color w:val="000000"/>
                <w:sz w:val="24"/>
              </w:rPr>
              <w:t>-</w:t>
            </w:r>
            <w:r w:rsidR="00007120" w:rsidRPr="00007120">
              <w:rPr>
                <w:rFonts w:ascii="Arial" w:hAnsi="Arial" w:cs="Arial"/>
                <w:b/>
                <w:snapToGrid w:val="0"/>
                <w:color w:val="000000"/>
                <w:sz w:val="24"/>
              </w:rPr>
              <w:t>826</w:t>
            </w:r>
          </w:p>
        </w:tc>
      </w:tr>
    </w:tbl>
    <w:p w:rsidR="00E612C4" w:rsidRPr="003D2F7A" w:rsidRDefault="00E612C4" w:rsidP="005A653B">
      <w:pPr>
        <w:widowControl w:val="0"/>
        <w:tabs>
          <w:tab w:val="right" w:pos="7200"/>
        </w:tabs>
        <w:rPr>
          <w:rFonts w:ascii="Arial" w:hAnsi="Arial" w:cs="Arial"/>
          <w:snapToGrid w:val="0"/>
          <w:color w:val="000000"/>
          <w:sz w:val="24"/>
          <w:highlight w:val="yellow"/>
        </w:rPr>
      </w:pPr>
    </w:p>
    <w:p w:rsidR="00403691" w:rsidRPr="00AE6040" w:rsidRDefault="00403691" w:rsidP="00403691">
      <w:pPr>
        <w:widowControl w:val="0"/>
        <w:tabs>
          <w:tab w:val="left" w:pos="600"/>
          <w:tab w:val="right" w:pos="3060"/>
          <w:tab w:val="right" w:pos="4150"/>
        </w:tabs>
        <w:rPr>
          <w:rFonts w:ascii="Arial" w:hAnsi="Arial" w:cs="Arial"/>
          <w:sz w:val="24"/>
          <w:szCs w:val="24"/>
        </w:rPr>
      </w:pPr>
      <w:r w:rsidRPr="00AE6040">
        <w:rPr>
          <w:rFonts w:ascii="Arial" w:hAnsi="Arial" w:cs="Arial"/>
          <w:b/>
          <w:snapToGrid w:val="0"/>
          <w:color w:val="000000"/>
          <w:sz w:val="24"/>
        </w:rPr>
        <w:t>Currency risk</w:t>
      </w:r>
    </w:p>
    <w:p w:rsidR="00403691" w:rsidRPr="00AE6040" w:rsidRDefault="00403691" w:rsidP="00403691">
      <w:pPr>
        <w:widowControl w:val="0"/>
        <w:tabs>
          <w:tab w:val="right" w:pos="7200"/>
        </w:tabs>
        <w:rPr>
          <w:rFonts w:ascii="Arial" w:hAnsi="Arial" w:cs="Arial"/>
          <w:snapToGrid w:val="0"/>
          <w:color w:val="000000"/>
          <w:sz w:val="24"/>
        </w:rPr>
      </w:pPr>
    </w:p>
    <w:p w:rsidR="00403691" w:rsidRPr="00AE6040" w:rsidRDefault="00403691" w:rsidP="00403691">
      <w:pPr>
        <w:widowControl w:val="0"/>
        <w:tabs>
          <w:tab w:val="right" w:pos="7200"/>
        </w:tabs>
        <w:rPr>
          <w:rFonts w:ascii="Arial" w:hAnsi="Arial" w:cs="Arial"/>
          <w:snapToGrid w:val="0"/>
          <w:color w:val="000000"/>
          <w:sz w:val="24"/>
        </w:rPr>
      </w:pPr>
      <w:r w:rsidRPr="00AE6040">
        <w:rPr>
          <w:rFonts w:ascii="Arial" w:hAnsi="Arial" w:cs="Arial"/>
          <w:snapToGrid w:val="0"/>
          <w:color w:val="000000"/>
          <w:sz w:val="24"/>
        </w:rPr>
        <w:t xml:space="preserve">Currency risk represents the risk that the </w:t>
      </w:r>
      <w:r w:rsidR="00376D0A" w:rsidRPr="00AE6040">
        <w:rPr>
          <w:rFonts w:ascii="Arial" w:hAnsi="Arial" w:cs="Arial"/>
          <w:snapToGrid w:val="0"/>
          <w:color w:val="000000"/>
          <w:sz w:val="24"/>
        </w:rPr>
        <w:t>fair value of future cash flows of a financial instrument will fluctuate because of changes in foreign exchange rates. The Fund is exposed to currency risk on financial instruments that are denominated in any currency other than the functional currency of the Fund (</w:t>
      </w:r>
      <w:r w:rsidR="00D43CD4" w:rsidRPr="00AE6040">
        <w:rPr>
          <w:rFonts w:ascii="Arial" w:hAnsi="Arial" w:cs="Arial"/>
          <w:snapToGrid w:val="0"/>
          <w:color w:val="000000"/>
          <w:sz w:val="24"/>
        </w:rPr>
        <w:t>£UK</w:t>
      </w:r>
      <w:r w:rsidR="00376D0A" w:rsidRPr="00AE6040">
        <w:rPr>
          <w:rFonts w:ascii="Arial" w:hAnsi="Arial" w:cs="Arial"/>
          <w:snapToGrid w:val="0"/>
          <w:color w:val="000000"/>
          <w:sz w:val="24"/>
        </w:rPr>
        <w:t xml:space="preserve">). The Fund holds both monetary and non-monetary assets denominated in currencies other than </w:t>
      </w:r>
      <w:r w:rsidR="00D43CD4" w:rsidRPr="00AE6040">
        <w:rPr>
          <w:rFonts w:ascii="Arial" w:hAnsi="Arial" w:cs="Arial"/>
          <w:snapToGrid w:val="0"/>
          <w:color w:val="000000"/>
          <w:sz w:val="24"/>
        </w:rPr>
        <w:t>£UK</w:t>
      </w:r>
      <w:r w:rsidR="00376D0A" w:rsidRPr="00AE6040">
        <w:rPr>
          <w:rFonts w:ascii="Arial" w:hAnsi="Arial" w:cs="Arial"/>
          <w:snapToGrid w:val="0"/>
          <w:color w:val="000000"/>
          <w:sz w:val="24"/>
        </w:rPr>
        <w:t>.</w:t>
      </w:r>
    </w:p>
    <w:p w:rsidR="00376D0A" w:rsidRPr="00AE6040" w:rsidRDefault="00376D0A" w:rsidP="00403691">
      <w:pPr>
        <w:widowControl w:val="0"/>
        <w:tabs>
          <w:tab w:val="right" w:pos="7200"/>
        </w:tabs>
        <w:rPr>
          <w:rFonts w:ascii="Arial" w:hAnsi="Arial" w:cs="Arial"/>
          <w:snapToGrid w:val="0"/>
          <w:color w:val="000000"/>
          <w:sz w:val="24"/>
        </w:rPr>
      </w:pPr>
    </w:p>
    <w:p w:rsidR="00376D0A" w:rsidRPr="00AE6040" w:rsidRDefault="00376D0A" w:rsidP="00403691">
      <w:pPr>
        <w:widowControl w:val="0"/>
        <w:tabs>
          <w:tab w:val="right" w:pos="7200"/>
        </w:tabs>
        <w:rPr>
          <w:rFonts w:ascii="Arial" w:hAnsi="Arial" w:cs="Arial"/>
          <w:snapToGrid w:val="0"/>
          <w:color w:val="000000"/>
          <w:sz w:val="24"/>
        </w:rPr>
      </w:pPr>
      <w:r w:rsidRPr="00AE6040">
        <w:rPr>
          <w:rFonts w:ascii="Arial" w:hAnsi="Arial" w:cs="Arial"/>
          <w:snapToGrid w:val="0"/>
          <w:color w:val="000000"/>
          <w:sz w:val="24"/>
        </w:rPr>
        <w:t xml:space="preserve">The Fund’s currency rate risk is routinely monitored by the </w:t>
      </w:r>
      <w:r w:rsidR="00C4216C" w:rsidRPr="00AE6040">
        <w:rPr>
          <w:rFonts w:ascii="Arial" w:hAnsi="Arial" w:cs="Arial"/>
          <w:snapToGrid w:val="0"/>
          <w:color w:val="000000"/>
          <w:sz w:val="24"/>
        </w:rPr>
        <w:t>Pension Fund</w:t>
      </w:r>
      <w:r w:rsidRPr="00AE6040">
        <w:rPr>
          <w:rFonts w:ascii="Arial" w:hAnsi="Arial" w:cs="Arial"/>
          <w:snapToGrid w:val="0"/>
          <w:color w:val="000000"/>
          <w:sz w:val="24"/>
        </w:rPr>
        <w:t xml:space="preserve"> in accordance with the Fund’s risk management strategy, including monitoring the range of exposure to currency fluctuations.</w:t>
      </w:r>
    </w:p>
    <w:p w:rsidR="00376D0A" w:rsidRPr="00AE6040" w:rsidRDefault="00376D0A" w:rsidP="00403691">
      <w:pPr>
        <w:widowControl w:val="0"/>
        <w:tabs>
          <w:tab w:val="right" w:pos="7200"/>
        </w:tabs>
        <w:rPr>
          <w:rFonts w:ascii="Arial" w:hAnsi="Arial" w:cs="Arial"/>
          <w:snapToGrid w:val="0"/>
          <w:color w:val="000000"/>
          <w:sz w:val="24"/>
        </w:rPr>
      </w:pPr>
    </w:p>
    <w:p w:rsidR="00376D0A" w:rsidRPr="00AE6040" w:rsidRDefault="00376D0A" w:rsidP="00403691">
      <w:pPr>
        <w:widowControl w:val="0"/>
        <w:tabs>
          <w:tab w:val="right" w:pos="7200"/>
        </w:tabs>
        <w:rPr>
          <w:rFonts w:ascii="Arial" w:hAnsi="Arial" w:cs="Arial"/>
          <w:snapToGrid w:val="0"/>
          <w:color w:val="000000"/>
          <w:sz w:val="24"/>
        </w:rPr>
      </w:pPr>
      <w:r w:rsidRPr="00AE6040">
        <w:rPr>
          <w:rFonts w:ascii="Arial" w:hAnsi="Arial" w:cs="Arial"/>
          <w:snapToGrid w:val="0"/>
          <w:color w:val="000000"/>
          <w:sz w:val="24"/>
        </w:rPr>
        <w:t>The following table summarises the Fund’s curre</w:t>
      </w:r>
      <w:r w:rsidR="00D43CD4" w:rsidRPr="00AE6040">
        <w:rPr>
          <w:rFonts w:ascii="Arial" w:hAnsi="Arial" w:cs="Arial"/>
          <w:snapToGrid w:val="0"/>
          <w:color w:val="000000"/>
          <w:sz w:val="24"/>
        </w:rPr>
        <w:t>ncy exposure as at 31 March 2013</w:t>
      </w:r>
      <w:r w:rsidRPr="00AE6040">
        <w:rPr>
          <w:rFonts w:ascii="Arial" w:hAnsi="Arial" w:cs="Arial"/>
          <w:snapToGrid w:val="0"/>
          <w:color w:val="000000"/>
          <w:sz w:val="24"/>
        </w:rPr>
        <w:t xml:space="preserve"> and as at the previous period end:</w:t>
      </w:r>
    </w:p>
    <w:p w:rsidR="00376D0A" w:rsidRPr="00AE6040" w:rsidRDefault="00376D0A" w:rsidP="00403691">
      <w:pPr>
        <w:widowControl w:val="0"/>
        <w:tabs>
          <w:tab w:val="right" w:pos="7200"/>
        </w:tabs>
        <w:rPr>
          <w:rFonts w:ascii="Arial" w:hAnsi="Arial" w:cs="Arial"/>
          <w:snapToGrid w:val="0"/>
          <w:color w:val="000000"/>
          <w:sz w:val="24"/>
        </w:rPr>
      </w:pPr>
    </w:p>
    <w:tbl>
      <w:tblPr>
        <w:tblStyle w:val="TableGrid"/>
        <w:tblW w:w="8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81"/>
        <w:gridCol w:w="1885"/>
        <w:gridCol w:w="1885"/>
      </w:tblGrid>
      <w:tr w:rsidR="00376D0A" w:rsidRPr="003D2F7A" w:rsidTr="00526728">
        <w:tc>
          <w:tcPr>
            <w:tcW w:w="4381" w:type="dxa"/>
          </w:tcPr>
          <w:p w:rsidR="00376D0A" w:rsidRPr="00AE6040" w:rsidRDefault="00AE6040" w:rsidP="005C73D7">
            <w:pPr>
              <w:widowControl w:val="0"/>
              <w:tabs>
                <w:tab w:val="right" w:pos="7224"/>
              </w:tabs>
              <w:jc w:val="both"/>
              <w:rPr>
                <w:rFonts w:ascii="Arial" w:hAnsi="Arial" w:cs="Arial"/>
                <w:b/>
                <w:snapToGrid w:val="0"/>
                <w:color w:val="000000"/>
                <w:sz w:val="24"/>
                <w:highlight w:val="yellow"/>
              </w:rPr>
            </w:pPr>
            <w:r w:rsidRPr="00AE6040">
              <w:rPr>
                <w:rFonts w:ascii="Arial" w:hAnsi="Arial" w:cs="Arial"/>
                <w:b/>
                <w:snapToGrid w:val="0"/>
                <w:color w:val="000000"/>
                <w:sz w:val="24"/>
              </w:rPr>
              <w:t>Currency exposure – asset type</w:t>
            </w:r>
          </w:p>
        </w:tc>
        <w:tc>
          <w:tcPr>
            <w:tcW w:w="1885" w:type="dxa"/>
          </w:tcPr>
          <w:p w:rsidR="00376D0A" w:rsidRPr="00A22855" w:rsidRDefault="00376D0A" w:rsidP="00A22855">
            <w:pPr>
              <w:widowControl w:val="0"/>
              <w:tabs>
                <w:tab w:val="right" w:pos="7224"/>
              </w:tabs>
              <w:jc w:val="right"/>
              <w:rPr>
                <w:rFonts w:ascii="Arial" w:hAnsi="Arial" w:cs="Arial"/>
                <w:b/>
                <w:snapToGrid w:val="0"/>
                <w:color w:val="000000"/>
                <w:sz w:val="24"/>
              </w:rPr>
            </w:pPr>
            <w:r w:rsidRPr="00A22855">
              <w:rPr>
                <w:rFonts w:ascii="Arial" w:hAnsi="Arial" w:cs="Arial"/>
                <w:b/>
                <w:snapToGrid w:val="0"/>
                <w:color w:val="000000"/>
                <w:sz w:val="24"/>
              </w:rPr>
              <w:t>Asset value at 31 March 201</w:t>
            </w:r>
            <w:r w:rsidR="00A22855" w:rsidRPr="00A22855">
              <w:rPr>
                <w:rFonts w:ascii="Arial" w:hAnsi="Arial" w:cs="Arial"/>
                <w:b/>
                <w:snapToGrid w:val="0"/>
                <w:color w:val="000000"/>
                <w:sz w:val="24"/>
              </w:rPr>
              <w:t>2</w:t>
            </w:r>
          </w:p>
        </w:tc>
        <w:tc>
          <w:tcPr>
            <w:tcW w:w="1885" w:type="dxa"/>
          </w:tcPr>
          <w:p w:rsidR="00376D0A" w:rsidRPr="00A22855" w:rsidRDefault="00376D0A" w:rsidP="00A22855">
            <w:pPr>
              <w:widowControl w:val="0"/>
              <w:tabs>
                <w:tab w:val="right" w:pos="7224"/>
              </w:tabs>
              <w:jc w:val="right"/>
              <w:rPr>
                <w:rFonts w:ascii="Arial" w:hAnsi="Arial" w:cs="Arial"/>
                <w:b/>
                <w:snapToGrid w:val="0"/>
                <w:color w:val="000000"/>
                <w:sz w:val="24"/>
              </w:rPr>
            </w:pPr>
            <w:r w:rsidRPr="00A22855">
              <w:rPr>
                <w:rFonts w:ascii="Arial" w:hAnsi="Arial" w:cs="Arial"/>
                <w:b/>
                <w:snapToGrid w:val="0"/>
                <w:color w:val="000000"/>
                <w:sz w:val="24"/>
              </w:rPr>
              <w:t>Asset value at 31 March 201</w:t>
            </w:r>
            <w:r w:rsidR="00A22855" w:rsidRPr="00A22855">
              <w:rPr>
                <w:rFonts w:ascii="Arial" w:hAnsi="Arial" w:cs="Arial"/>
                <w:b/>
                <w:snapToGrid w:val="0"/>
                <w:color w:val="000000"/>
                <w:sz w:val="24"/>
              </w:rPr>
              <w:t>3</w:t>
            </w:r>
          </w:p>
        </w:tc>
      </w:tr>
      <w:tr w:rsidR="00376D0A" w:rsidRPr="003D2F7A" w:rsidTr="00526728">
        <w:tc>
          <w:tcPr>
            <w:tcW w:w="4381" w:type="dxa"/>
          </w:tcPr>
          <w:p w:rsidR="00376D0A" w:rsidRPr="003D2F7A" w:rsidRDefault="00376D0A" w:rsidP="005C73D7">
            <w:pPr>
              <w:widowControl w:val="0"/>
              <w:tabs>
                <w:tab w:val="right" w:pos="7224"/>
              </w:tabs>
              <w:jc w:val="both"/>
              <w:rPr>
                <w:rFonts w:ascii="Arial" w:hAnsi="Arial" w:cs="Arial"/>
                <w:snapToGrid w:val="0"/>
                <w:color w:val="000000"/>
                <w:sz w:val="24"/>
                <w:highlight w:val="yellow"/>
              </w:rPr>
            </w:pPr>
          </w:p>
        </w:tc>
        <w:tc>
          <w:tcPr>
            <w:tcW w:w="1885" w:type="dxa"/>
          </w:tcPr>
          <w:p w:rsidR="00376D0A" w:rsidRPr="00A22855" w:rsidRDefault="00376D0A" w:rsidP="005C73D7">
            <w:pPr>
              <w:widowControl w:val="0"/>
              <w:tabs>
                <w:tab w:val="right" w:pos="7224"/>
              </w:tabs>
              <w:jc w:val="right"/>
              <w:rPr>
                <w:rFonts w:ascii="Arial" w:hAnsi="Arial" w:cs="Arial"/>
                <w:b/>
                <w:snapToGrid w:val="0"/>
                <w:color w:val="000000"/>
                <w:sz w:val="24"/>
              </w:rPr>
            </w:pPr>
            <w:r w:rsidRPr="00A22855">
              <w:rPr>
                <w:rFonts w:ascii="Arial" w:hAnsi="Arial" w:cs="Arial"/>
                <w:b/>
                <w:snapToGrid w:val="0"/>
                <w:color w:val="000000"/>
                <w:sz w:val="24"/>
              </w:rPr>
              <w:t>£’000</w:t>
            </w:r>
          </w:p>
        </w:tc>
        <w:tc>
          <w:tcPr>
            <w:tcW w:w="1885" w:type="dxa"/>
          </w:tcPr>
          <w:p w:rsidR="00376D0A" w:rsidRPr="00A22855" w:rsidRDefault="00376D0A" w:rsidP="005C73D7">
            <w:pPr>
              <w:widowControl w:val="0"/>
              <w:tabs>
                <w:tab w:val="right" w:pos="7224"/>
              </w:tabs>
              <w:jc w:val="right"/>
              <w:rPr>
                <w:rFonts w:ascii="Arial" w:hAnsi="Arial" w:cs="Arial"/>
                <w:b/>
                <w:snapToGrid w:val="0"/>
                <w:color w:val="000000"/>
                <w:sz w:val="24"/>
              </w:rPr>
            </w:pPr>
            <w:r w:rsidRPr="00A22855">
              <w:rPr>
                <w:rFonts w:ascii="Arial" w:hAnsi="Arial" w:cs="Arial"/>
                <w:b/>
                <w:snapToGrid w:val="0"/>
                <w:color w:val="000000"/>
                <w:sz w:val="24"/>
              </w:rPr>
              <w:t>£’000</w:t>
            </w:r>
          </w:p>
        </w:tc>
      </w:tr>
      <w:tr w:rsidR="00526728" w:rsidRPr="003D2F7A" w:rsidTr="00526728">
        <w:tc>
          <w:tcPr>
            <w:tcW w:w="4381" w:type="dxa"/>
          </w:tcPr>
          <w:p w:rsidR="00526728" w:rsidRPr="003D2F7A" w:rsidRDefault="00526728" w:rsidP="005C73D7">
            <w:pPr>
              <w:widowControl w:val="0"/>
              <w:tabs>
                <w:tab w:val="right" w:pos="7224"/>
              </w:tabs>
              <w:rPr>
                <w:rFonts w:ascii="Arial" w:hAnsi="Arial" w:cs="Arial"/>
                <w:snapToGrid w:val="0"/>
                <w:color w:val="000000"/>
                <w:sz w:val="24"/>
                <w:highlight w:val="yellow"/>
              </w:rPr>
            </w:pPr>
          </w:p>
        </w:tc>
        <w:tc>
          <w:tcPr>
            <w:tcW w:w="1885" w:type="dxa"/>
          </w:tcPr>
          <w:p w:rsidR="00526728" w:rsidRPr="00A22855" w:rsidRDefault="00526728" w:rsidP="005C73D7">
            <w:pPr>
              <w:widowControl w:val="0"/>
              <w:tabs>
                <w:tab w:val="right" w:pos="7224"/>
              </w:tabs>
              <w:jc w:val="right"/>
              <w:rPr>
                <w:rFonts w:ascii="Arial" w:hAnsi="Arial" w:cs="Arial"/>
                <w:snapToGrid w:val="0"/>
                <w:color w:val="000000"/>
                <w:sz w:val="24"/>
              </w:rPr>
            </w:pPr>
          </w:p>
        </w:tc>
        <w:tc>
          <w:tcPr>
            <w:tcW w:w="1885" w:type="dxa"/>
          </w:tcPr>
          <w:p w:rsidR="00526728" w:rsidRPr="00A22855" w:rsidRDefault="00526728" w:rsidP="005C73D7">
            <w:pPr>
              <w:widowControl w:val="0"/>
              <w:tabs>
                <w:tab w:val="right" w:pos="7224"/>
              </w:tabs>
              <w:jc w:val="right"/>
              <w:rPr>
                <w:rFonts w:ascii="Arial" w:hAnsi="Arial" w:cs="Arial"/>
                <w:snapToGrid w:val="0"/>
                <w:color w:val="000000"/>
                <w:sz w:val="24"/>
              </w:rPr>
            </w:pPr>
          </w:p>
        </w:tc>
      </w:tr>
      <w:tr w:rsidR="00EB30C3" w:rsidRPr="00AC7C5A" w:rsidTr="00EB30C3">
        <w:tc>
          <w:tcPr>
            <w:tcW w:w="4381" w:type="dxa"/>
          </w:tcPr>
          <w:p w:rsidR="00EB30C3" w:rsidRPr="00AC7C5A" w:rsidRDefault="00EB30C3" w:rsidP="00EB30C3">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fixed income</w:t>
            </w:r>
          </w:p>
        </w:tc>
        <w:tc>
          <w:tcPr>
            <w:tcW w:w="1885" w:type="dxa"/>
          </w:tcPr>
          <w:p w:rsidR="00EB30C3" w:rsidRPr="00AC7C5A" w:rsidRDefault="00EB30C3" w:rsidP="00EB30C3">
            <w:pPr>
              <w:widowControl w:val="0"/>
              <w:tabs>
                <w:tab w:val="right" w:pos="7224"/>
              </w:tabs>
              <w:jc w:val="right"/>
              <w:rPr>
                <w:rFonts w:ascii="Arial" w:hAnsi="Arial" w:cs="Arial"/>
                <w:snapToGrid w:val="0"/>
                <w:color w:val="000000"/>
                <w:sz w:val="24"/>
              </w:rPr>
            </w:pPr>
            <w:r w:rsidRPr="00AC7C5A">
              <w:rPr>
                <w:rFonts w:ascii="Arial" w:hAnsi="Arial" w:cs="Arial"/>
                <w:snapToGrid w:val="0"/>
                <w:color w:val="000000"/>
                <w:sz w:val="24"/>
              </w:rPr>
              <w:t>9,805</w:t>
            </w:r>
          </w:p>
        </w:tc>
        <w:tc>
          <w:tcPr>
            <w:tcW w:w="1885" w:type="dxa"/>
          </w:tcPr>
          <w:p w:rsidR="00EB30C3" w:rsidRPr="00AC7C5A" w:rsidRDefault="00EB30C3" w:rsidP="00EB30C3">
            <w:pPr>
              <w:widowControl w:val="0"/>
              <w:tabs>
                <w:tab w:val="right" w:pos="7224"/>
              </w:tabs>
              <w:jc w:val="right"/>
              <w:rPr>
                <w:rFonts w:ascii="Arial" w:hAnsi="Arial" w:cs="Arial"/>
                <w:snapToGrid w:val="0"/>
                <w:color w:val="000000"/>
                <w:sz w:val="24"/>
              </w:rPr>
            </w:pPr>
            <w:r w:rsidRPr="00AC7C5A">
              <w:rPr>
                <w:rFonts w:ascii="Arial" w:hAnsi="Arial" w:cs="Arial"/>
                <w:snapToGrid w:val="0"/>
                <w:color w:val="000000"/>
                <w:sz w:val="24"/>
              </w:rPr>
              <w:t>0</w:t>
            </w:r>
          </w:p>
        </w:tc>
      </w:tr>
      <w:tr w:rsidR="00526728" w:rsidRPr="00AC7C5A" w:rsidTr="00526728">
        <w:tc>
          <w:tcPr>
            <w:tcW w:w="4381" w:type="dxa"/>
          </w:tcPr>
          <w:p w:rsidR="00526728" w:rsidRPr="00AC7C5A" w:rsidRDefault="00526728" w:rsidP="005C73D7">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unit trusts</w:t>
            </w:r>
          </w:p>
        </w:tc>
        <w:tc>
          <w:tcPr>
            <w:tcW w:w="1885" w:type="dxa"/>
          </w:tcPr>
          <w:p w:rsidR="00526728" w:rsidRPr="00AC7C5A" w:rsidRDefault="00D90F5B" w:rsidP="005C73D7">
            <w:pPr>
              <w:widowControl w:val="0"/>
              <w:tabs>
                <w:tab w:val="right" w:pos="7224"/>
              </w:tabs>
              <w:jc w:val="right"/>
              <w:rPr>
                <w:rFonts w:ascii="Arial" w:hAnsi="Arial" w:cs="Arial"/>
                <w:snapToGrid w:val="0"/>
                <w:color w:val="000000"/>
                <w:sz w:val="24"/>
              </w:rPr>
            </w:pPr>
            <w:r w:rsidRPr="00AC7C5A">
              <w:rPr>
                <w:rFonts w:ascii="Arial" w:hAnsi="Arial" w:cs="Arial"/>
                <w:snapToGrid w:val="0"/>
                <w:color w:val="000000"/>
                <w:sz w:val="24"/>
              </w:rPr>
              <w:t>148,807</w:t>
            </w:r>
          </w:p>
        </w:tc>
        <w:tc>
          <w:tcPr>
            <w:tcW w:w="1885" w:type="dxa"/>
          </w:tcPr>
          <w:p w:rsidR="00526728" w:rsidRPr="00AC7C5A" w:rsidRDefault="00AC7C5A" w:rsidP="005C73D7">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161,590</w:t>
            </w:r>
          </w:p>
        </w:tc>
      </w:tr>
      <w:tr w:rsidR="00526728" w:rsidRPr="00AC7C5A" w:rsidTr="005C73D7">
        <w:tc>
          <w:tcPr>
            <w:tcW w:w="4381" w:type="dxa"/>
          </w:tcPr>
          <w:p w:rsidR="00526728" w:rsidRPr="00AC7C5A" w:rsidRDefault="00526728" w:rsidP="005C73D7">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pooled property investments</w:t>
            </w:r>
          </w:p>
        </w:tc>
        <w:tc>
          <w:tcPr>
            <w:tcW w:w="1885" w:type="dxa"/>
          </w:tcPr>
          <w:p w:rsidR="00526728" w:rsidRPr="00AC7C5A" w:rsidRDefault="005E63DA" w:rsidP="005C73D7">
            <w:pPr>
              <w:widowControl w:val="0"/>
              <w:tabs>
                <w:tab w:val="right" w:pos="7224"/>
              </w:tabs>
              <w:jc w:val="right"/>
              <w:rPr>
                <w:rFonts w:ascii="Arial" w:hAnsi="Arial" w:cs="Arial"/>
                <w:snapToGrid w:val="0"/>
                <w:color w:val="000000"/>
                <w:sz w:val="24"/>
              </w:rPr>
            </w:pPr>
            <w:r w:rsidRPr="00AC7C5A">
              <w:rPr>
                <w:rFonts w:ascii="Arial" w:hAnsi="Arial" w:cs="Arial"/>
                <w:snapToGrid w:val="0"/>
                <w:color w:val="000000"/>
                <w:sz w:val="24"/>
              </w:rPr>
              <w:t>6,294</w:t>
            </w:r>
          </w:p>
        </w:tc>
        <w:tc>
          <w:tcPr>
            <w:tcW w:w="1885" w:type="dxa"/>
          </w:tcPr>
          <w:p w:rsidR="00526728" w:rsidRPr="00AC7C5A" w:rsidRDefault="00AC7C5A" w:rsidP="005C73D7">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5,487</w:t>
            </w:r>
          </w:p>
        </w:tc>
      </w:tr>
      <w:tr w:rsidR="00526728" w:rsidRPr="00AC7C5A" w:rsidTr="005C73D7">
        <w:tc>
          <w:tcPr>
            <w:tcW w:w="4381" w:type="dxa"/>
          </w:tcPr>
          <w:p w:rsidR="00526728" w:rsidRPr="00AC7C5A" w:rsidRDefault="00526728" w:rsidP="005E63DA">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p</w:t>
            </w:r>
            <w:r w:rsidR="005E63DA" w:rsidRPr="00AC7C5A">
              <w:rPr>
                <w:rFonts w:ascii="Arial" w:hAnsi="Arial" w:cs="Arial"/>
                <w:snapToGrid w:val="0"/>
                <w:color w:val="000000"/>
                <w:sz w:val="24"/>
              </w:rPr>
              <w:t>rivate equity/infrastructure</w:t>
            </w:r>
          </w:p>
        </w:tc>
        <w:tc>
          <w:tcPr>
            <w:tcW w:w="1885" w:type="dxa"/>
          </w:tcPr>
          <w:p w:rsidR="00526728" w:rsidRPr="00AC7C5A" w:rsidRDefault="005E63DA" w:rsidP="005C73D7">
            <w:pPr>
              <w:widowControl w:val="0"/>
              <w:tabs>
                <w:tab w:val="right" w:pos="7224"/>
              </w:tabs>
              <w:jc w:val="right"/>
              <w:rPr>
                <w:rFonts w:ascii="Arial" w:hAnsi="Arial" w:cs="Arial"/>
                <w:snapToGrid w:val="0"/>
                <w:color w:val="000000"/>
                <w:sz w:val="24"/>
              </w:rPr>
            </w:pPr>
            <w:r w:rsidRPr="00AC7C5A">
              <w:rPr>
                <w:rFonts w:ascii="Arial" w:hAnsi="Arial" w:cs="Arial"/>
                <w:snapToGrid w:val="0"/>
                <w:color w:val="000000"/>
                <w:sz w:val="24"/>
              </w:rPr>
              <w:t>80,729</w:t>
            </w:r>
          </w:p>
        </w:tc>
        <w:tc>
          <w:tcPr>
            <w:tcW w:w="1885" w:type="dxa"/>
          </w:tcPr>
          <w:p w:rsidR="00526728" w:rsidRPr="00AC7C5A" w:rsidRDefault="00AC7C5A" w:rsidP="005C73D7">
            <w:pPr>
              <w:widowControl w:val="0"/>
              <w:tabs>
                <w:tab w:val="right" w:pos="7224"/>
              </w:tabs>
              <w:jc w:val="right"/>
              <w:rPr>
                <w:rFonts w:ascii="Arial" w:hAnsi="Arial" w:cs="Arial"/>
                <w:snapToGrid w:val="0"/>
                <w:color w:val="000000"/>
                <w:sz w:val="24"/>
              </w:rPr>
            </w:pPr>
            <w:r>
              <w:rPr>
                <w:rFonts w:ascii="Arial" w:hAnsi="Arial" w:cs="Arial"/>
                <w:snapToGrid w:val="0"/>
                <w:color w:val="000000"/>
                <w:sz w:val="24"/>
              </w:rPr>
              <w:t>9</w:t>
            </w:r>
            <w:r w:rsidR="0070451B">
              <w:rPr>
                <w:rFonts w:ascii="Arial" w:hAnsi="Arial" w:cs="Arial"/>
                <w:snapToGrid w:val="0"/>
                <w:color w:val="000000"/>
                <w:sz w:val="24"/>
              </w:rPr>
              <w:t>9,913</w:t>
            </w:r>
          </w:p>
        </w:tc>
      </w:tr>
      <w:tr w:rsidR="00376D0A" w:rsidRPr="00AC7C5A" w:rsidTr="00526728">
        <w:tc>
          <w:tcPr>
            <w:tcW w:w="4381" w:type="dxa"/>
          </w:tcPr>
          <w:p w:rsidR="00376D0A" w:rsidRPr="00AC7C5A" w:rsidRDefault="00376D0A" w:rsidP="005C73D7">
            <w:pPr>
              <w:widowControl w:val="0"/>
              <w:tabs>
                <w:tab w:val="right" w:pos="7224"/>
              </w:tabs>
              <w:rPr>
                <w:rFonts w:ascii="Arial" w:hAnsi="Arial" w:cs="Arial"/>
                <w:snapToGrid w:val="0"/>
                <w:color w:val="000000"/>
                <w:sz w:val="24"/>
              </w:rPr>
            </w:pPr>
          </w:p>
        </w:tc>
        <w:tc>
          <w:tcPr>
            <w:tcW w:w="1885" w:type="dxa"/>
            <w:tcBorders>
              <w:bottom w:val="single" w:sz="4" w:space="0" w:color="auto"/>
            </w:tcBorders>
          </w:tcPr>
          <w:p w:rsidR="00376D0A" w:rsidRPr="00AC7C5A" w:rsidRDefault="00376D0A" w:rsidP="005C73D7">
            <w:pPr>
              <w:widowControl w:val="0"/>
              <w:tabs>
                <w:tab w:val="right" w:pos="7224"/>
              </w:tabs>
              <w:jc w:val="right"/>
              <w:rPr>
                <w:rFonts w:ascii="Arial" w:hAnsi="Arial" w:cs="Arial"/>
                <w:b/>
                <w:snapToGrid w:val="0"/>
                <w:color w:val="000000"/>
                <w:sz w:val="24"/>
              </w:rPr>
            </w:pPr>
          </w:p>
        </w:tc>
        <w:tc>
          <w:tcPr>
            <w:tcW w:w="1885" w:type="dxa"/>
            <w:tcBorders>
              <w:bottom w:val="single" w:sz="4" w:space="0" w:color="auto"/>
            </w:tcBorders>
          </w:tcPr>
          <w:p w:rsidR="00376D0A" w:rsidRPr="00AC7C5A" w:rsidRDefault="00376D0A" w:rsidP="005C73D7">
            <w:pPr>
              <w:widowControl w:val="0"/>
              <w:tabs>
                <w:tab w:val="right" w:pos="7224"/>
              </w:tabs>
              <w:jc w:val="right"/>
              <w:rPr>
                <w:rFonts w:ascii="Arial" w:hAnsi="Arial" w:cs="Arial"/>
                <w:b/>
                <w:snapToGrid w:val="0"/>
                <w:color w:val="000000"/>
                <w:sz w:val="24"/>
              </w:rPr>
            </w:pPr>
          </w:p>
        </w:tc>
      </w:tr>
      <w:tr w:rsidR="00376D0A" w:rsidRPr="00AC7C5A" w:rsidTr="00526728">
        <w:tc>
          <w:tcPr>
            <w:tcW w:w="4381" w:type="dxa"/>
          </w:tcPr>
          <w:p w:rsidR="00376D0A" w:rsidRPr="00AC7C5A" w:rsidRDefault="00376D0A" w:rsidP="005C73D7">
            <w:pPr>
              <w:widowControl w:val="0"/>
              <w:tabs>
                <w:tab w:val="right" w:pos="7224"/>
              </w:tabs>
              <w:rPr>
                <w:rFonts w:ascii="Arial" w:hAnsi="Arial" w:cs="Arial"/>
                <w:b/>
                <w:snapToGrid w:val="0"/>
                <w:color w:val="000000"/>
                <w:sz w:val="24"/>
              </w:rPr>
            </w:pPr>
            <w:r w:rsidRPr="00AC7C5A">
              <w:rPr>
                <w:rFonts w:ascii="Arial" w:hAnsi="Arial" w:cs="Arial"/>
                <w:b/>
                <w:snapToGrid w:val="0"/>
                <w:color w:val="000000"/>
                <w:sz w:val="24"/>
              </w:rPr>
              <w:t>Total overseas assets</w:t>
            </w:r>
          </w:p>
        </w:tc>
        <w:tc>
          <w:tcPr>
            <w:tcW w:w="1885" w:type="dxa"/>
            <w:tcBorders>
              <w:top w:val="single" w:sz="4" w:space="0" w:color="auto"/>
              <w:bottom w:val="single" w:sz="4" w:space="0" w:color="auto"/>
            </w:tcBorders>
          </w:tcPr>
          <w:p w:rsidR="00376D0A" w:rsidRPr="00AC7C5A" w:rsidRDefault="00513FE6" w:rsidP="005C73D7">
            <w:pPr>
              <w:widowControl w:val="0"/>
              <w:tabs>
                <w:tab w:val="right" w:pos="7224"/>
              </w:tabs>
              <w:jc w:val="right"/>
              <w:rPr>
                <w:rFonts w:ascii="Arial" w:hAnsi="Arial" w:cs="Arial"/>
                <w:b/>
                <w:snapToGrid w:val="0"/>
                <w:color w:val="000000"/>
                <w:sz w:val="24"/>
              </w:rPr>
            </w:pPr>
            <w:r w:rsidRPr="00AC7C5A">
              <w:rPr>
                <w:rFonts w:ascii="Arial" w:hAnsi="Arial" w:cs="Arial"/>
                <w:b/>
                <w:snapToGrid w:val="0"/>
                <w:color w:val="000000"/>
                <w:sz w:val="24"/>
              </w:rPr>
              <w:t>2</w:t>
            </w:r>
            <w:r w:rsidR="00033152">
              <w:rPr>
                <w:rFonts w:ascii="Arial" w:hAnsi="Arial" w:cs="Arial"/>
                <w:b/>
                <w:snapToGrid w:val="0"/>
                <w:color w:val="000000"/>
                <w:sz w:val="24"/>
              </w:rPr>
              <w:t>45,635</w:t>
            </w:r>
          </w:p>
        </w:tc>
        <w:tc>
          <w:tcPr>
            <w:tcW w:w="1885" w:type="dxa"/>
            <w:tcBorders>
              <w:top w:val="single" w:sz="4" w:space="0" w:color="auto"/>
              <w:bottom w:val="single" w:sz="4" w:space="0" w:color="auto"/>
            </w:tcBorders>
          </w:tcPr>
          <w:p w:rsidR="00376D0A" w:rsidRPr="00AC7C5A" w:rsidRDefault="00965E2E" w:rsidP="005C73D7">
            <w:pPr>
              <w:widowControl w:val="0"/>
              <w:tabs>
                <w:tab w:val="right" w:pos="7224"/>
              </w:tabs>
              <w:jc w:val="right"/>
              <w:rPr>
                <w:rFonts w:ascii="Arial" w:hAnsi="Arial" w:cs="Arial"/>
                <w:b/>
                <w:snapToGrid w:val="0"/>
                <w:color w:val="000000"/>
                <w:sz w:val="24"/>
              </w:rPr>
            </w:pPr>
            <w:r>
              <w:rPr>
                <w:rFonts w:ascii="Arial" w:hAnsi="Arial" w:cs="Arial"/>
                <w:b/>
                <w:snapToGrid w:val="0"/>
                <w:color w:val="000000"/>
                <w:sz w:val="24"/>
              </w:rPr>
              <w:t>2</w:t>
            </w:r>
            <w:r w:rsidR="00033152">
              <w:rPr>
                <w:rFonts w:ascii="Arial" w:hAnsi="Arial" w:cs="Arial"/>
                <w:b/>
                <w:snapToGrid w:val="0"/>
                <w:color w:val="000000"/>
                <w:sz w:val="24"/>
              </w:rPr>
              <w:t>6</w:t>
            </w:r>
            <w:r w:rsidR="0070451B">
              <w:rPr>
                <w:rFonts w:ascii="Arial" w:hAnsi="Arial" w:cs="Arial"/>
                <w:b/>
                <w:snapToGrid w:val="0"/>
                <w:color w:val="000000"/>
                <w:sz w:val="24"/>
              </w:rPr>
              <w:t>6,990</w:t>
            </w:r>
          </w:p>
        </w:tc>
      </w:tr>
    </w:tbl>
    <w:p w:rsidR="00376D0A" w:rsidRPr="00AC7C5A" w:rsidRDefault="00376D0A" w:rsidP="00403691">
      <w:pPr>
        <w:widowControl w:val="0"/>
        <w:tabs>
          <w:tab w:val="right" w:pos="7200"/>
        </w:tabs>
        <w:rPr>
          <w:rFonts w:ascii="Arial" w:hAnsi="Arial" w:cs="Arial"/>
          <w:snapToGrid w:val="0"/>
          <w:color w:val="000000"/>
          <w:sz w:val="24"/>
        </w:rPr>
      </w:pPr>
    </w:p>
    <w:p w:rsidR="00376D0A" w:rsidRDefault="00376D0A" w:rsidP="00403691">
      <w:pPr>
        <w:widowControl w:val="0"/>
        <w:tabs>
          <w:tab w:val="right" w:pos="7200"/>
        </w:tabs>
        <w:rPr>
          <w:rFonts w:ascii="Arial" w:hAnsi="Arial" w:cs="Arial"/>
          <w:snapToGrid w:val="0"/>
          <w:color w:val="000000"/>
          <w:sz w:val="24"/>
          <w:highlight w:val="yellow"/>
        </w:rPr>
      </w:pPr>
    </w:p>
    <w:p w:rsidR="00842885" w:rsidRPr="00AE6040" w:rsidRDefault="00842885" w:rsidP="00842885">
      <w:pPr>
        <w:widowControl w:val="0"/>
        <w:tabs>
          <w:tab w:val="left" w:pos="600"/>
          <w:tab w:val="right" w:pos="3060"/>
          <w:tab w:val="right" w:pos="4150"/>
        </w:tabs>
        <w:rPr>
          <w:rFonts w:ascii="Arial" w:hAnsi="Arial" w:cs="Arial"/>
          <w:sz w:val="24"/>
          <w:szCs w:val="24"/>
        </w:rPr>
      </w:pPr>
      <w:r w:rsidRPr="00AE6040">
        <w:rPr>
          <w:rFonts w:ascii="Arial" w:hAnsi="Arial" w:cs="Arial"/>
          <w:b/>
          <w:snapToGrid w:val="0"/>
          <w:color w:val="000000"/>
          <w:sz w:val="24"/>
        </w:rPr>
        <w:t>Currency risk</w:t>
      </w:r>
      <w:r>
        <w:rPr>
          <w:rFonts w:ascii="Arial" w:hAnsi="Arial" w:cs="Arial"/>
          <w:b/>
          <w:snapToGrid w:val="0"/>
          <w:color w:val="000000"/>
          <w:sz w:val="24"/>
        </w:rPr>
        <w:t xml:space="preserve"> – sensitivity analysis</w:t>
      </w:r>
    </w:p>
    <w:p w:rsidR="00842885" w:rsidRPr="00AE6040" w:rsidRDefault="00842885" w:rsidP="00842885">
      <w:pPr>
        <w:widowControl w:val="0"/>
        <w:tabs>
          <w:tab w:val="right" w:pos="7200"/>
        </w:tabs>
        <w:rPr>
          <w:rFonts w:ascii="Arial" w:hAnsi="Arial" w:cs="Arial"/>
          <w:snapToGrid w:val="0"/>
          <w:color w:val="000000"/>
          <w:sz w:val="24"/>
        </w:rPr>
      </w:pPr>
    </w:p>
    <w:p w:rsidR="00376D0A" w:rsidRPr="00B75D38" w:rsidRDefault="00842885" w:rsidP="00403691">
      <w:pPr>
        <w:widowControl w:val="0"/>
        <w:tabs>
          <w:tab w:val="right" w:pos="7200"/>
        </w:tabs>
        <w:rPr>
          <w:rFonts w:ascii="Arial" w:hAnsi="Arial" w:cs="Arial"/>
          <w:snapToGrid w:val="0"/>
          <w:color w:val="000000"/>
          <w:sz w:val="24"/>
        </w:rPr>
      </w:pPr>
      <w:r w:rsidRPr="00B75D38">
        <w:rPr>
          <w:rFonts w:ascii="Arial" w:hAnsi="Arial" w:cs="Arial"/>
          <w:snapToGrid w:val="0"/>
          <w:color w:val="000000"/>
          <w:sz w:val="24"/>
        </w:rPr>
        <w:t>Following analysis of historical data i</w:t>
      </w:r>
      <w:r w:rsidR="00B03FA6" w:rsidRPr="00B75D38">
        <w:rPr>
          <w:rFonts w:ascii="Arial" w:hAnsi="Arial" w:cs="Arial"/>
          <w:snapToGrid w:val="0"/>
          <w:color w:val="000000"/>
          <w:sz w:val="24"/>
        </w:rPr>
        <w:t xml:space="preserve">n consultation with WM Company plc, the </w:t>
      </w:r>
      <w:r w:rsidR="00C4216C" w:rsidRPr="00B75D38">
        <w:rPr>
          <w:rFonts w:ascii="Arial" w:hAnsi="Arial" w:cs="Arial"/>
          <w:snapToGrid w:val="0"/>
          <w:color w:val="000000"/>
          <w:sz w:val="24"/>
        </w:rPr>
        <w:t>Pension Fund</w:t>
      </w:r>
      <w:r w:rsidR="00B03FA6" w:rsidRPr="00B75D38">
        <w:rPr>
          <w:rFonts w:ascii="Arial" w:hAnsi="Arial" w:cs="Arial"/>
          <w:snapToGrid w:val="0"/>
          <w:color w:val="000000"/>
          <w:sz w:val="24"/>
        </w:rPr>
        <w:t xml:space="preserve"> considers the likely volatility associated with foreign exchange rate movements to be </w:t>
      </w:r>
      <w:r w:rsidR="005B3C0B" w:rsidRPr="00B75D38">
        <w:rPr>
          <w:rFonts w:ascii="Arial" w:hAnsi="Arial" w:cs="Arial"/>
          <w:snapToGrid w:val="0"/>
          <w:color w:val="000000"/>
          <w:sz w:val="24"/>
        </w:rPr>
        <w:t>9</w:t>
      </w:r>
      <w:r w:rsidR="00B03FA6" w:rsidRPr="00B75D38">
        <w:rPr>
          <w:rFonts w:ascii="Arial" w:hAnsi="Arial" w:cs="Arial"/>
          <w:snapToGrid w:val="0"/>
          <w:color w:val="000000"/>
          <w:sz w:val="24"/>
        </w:rPr>
        <w:t>%</w:t>
      </w:r>
      <w:r w:rsidR="00626E31" w:rsidRPr="00B75D38">
        <w:rPr>
          <w:rFonts w:ascii="Arial" w:hAnsi="Arial" w:cs="Arial"/>
          <w:snapToGrid w:val="0"/>
          <w:color w:val="000000"/>
          <w:sz w:val="24"/>
        </w:rPr>
        <w:t>.</w:t>
      </w:r>
    </w:p>
    <w:p w:rsidR="00626E31" w:rsidRPr="00B75D38" w:rsidRDefault="00626E31" w:rsidP="00403691">
      <w:pPr>
        <w:widowControl w:val="0"/>
        <w:tabs>
          <w:tab w:val="right" w:pos="7200"/>
        </w:tabs>
        <w:rPr>
          <w:rFonts w:ascii="Arial" w:hAnsi="Arial" w:cs="Arial"/>
          <w:snapToGrid w:val="0"/>
          <w:color w:val="000000"/>
          <w:sz w:val="24"/>
        </w:rPr>
      </w:pPr>
    </w:p>
    <w:p w:rsidR="00626E31" w:rsidRPr="00B75D38" w:rsidRDefault="00626E31" w:rsidP="00403691">
      <w:pPr>
        <w:widowControl w:val="0"/>
        <w:tabs>
          <w:tab w:val="right" w:pos="7200"/>
        </w:tabs>
        <w:rPr>
          <w:rFonts w:ascii="Arial" w:hAnsi="Arial" w:cs="Arial"/>
          <w:snapToGrid w:val="0"/>
          <w:color w:val="000000"/>
          <w:sz w:val="24"/>
        </w:rPr>
      </w:pPr>
      <w:r w:rsidRPr="00B75D38">
        <w:rPr>
          <w:rFonts w:ascii="Arial" w:hAnsi="Arial" w:cs="Arial"/>
          <w:snapToGrid w:val="0"/>
          <w:color w:val="000000"/>
          <w:sz w:val="24"/>
        </w:rPr>
        <w:t>This analysis assumes that all other variables, in particular interest rates, remain constant.</w:t>
      </w:r>
    </w:p>
    <w:p w:rsidR="00626E31" w:rsidRPr="003D2F7A" w:rsidRDefault="00626E31" w:rsidP="00403691">
      <w:pPr>
        <w:widowControl w:val="0"/>
        <w:tabs>
          <w:tab w:val="right" w:pos="7200"/>
        </w:tabs>
        <w:rPr>
          <w:rFonts w:ascii="Arial" w:hAnsi="Arial" w:cs="Arial"/>
          <w:snapToGrid w:val="0"/>
          <w:color w:val="000000"/>
          <w:sz w:val="24"/>
          <w:highlight w:val="yellow"/>
        </w:rPr>
      </w:pPr>
    </w:p>
    <w:p w:rsidR="00EE6507" w:rsidRDefault="00EE6507">
      <w:pPr>
        <w:rPr>
          <w:rFonts w:ascii="Arial" w:hAnsi="Arial" w:cs="Arial"/>
          <w:snapToGrid w:val="0"/>
          <w:color w:val="000000"/>
          <w:sz w:val="24"/>
        </w:rPr>
      </w:pPr>
      <w:r>
        <w:rPr>
          <w:rFonts w:ascii="Arial" w:hAnsi="Arial" w:cs="Arial"/>
          <w:snapToGrid w:val="0"/>
          <w:color w:val="000000"/>
          <w:sz w:val="24"/>
        </w:rPr>
        <w:br w:type="page"/>
      </w:r>
    </w:p>
    <w:p w:rsidR="009718DC" w:rsidRPr="00B75D38" w:rsidRDefault="00B75D38" w:rsidP="009718DC">
      <w:pPr>
        <w:widowControl w:val="0"/>
        <w:tabs>
          <w:tab w:val="right" w:pos="7200"/>
        </w:tabs>
        <w:rPr>
          <w:rFonts w:ascii="Arial" w:hAnsi="Arial" w:cs="Arial"/>
          <w:snapToGrid w:val="0"/>
          <w:color w:val="000000"/>
          <w:sz w:val="24"/>
        </w:rPr>
      </w:pPr>
      <w:r w:rsidRPr="00B75D38">
        <w:rPr>
          <w:rFonts w:ascii="Arial" w:hAnsi="Arial" w:cs="Arial"/>
          <w:snapToGrid w:val="0"/>
          <w:color w:val="000000"/>
          <w:sz w:val="24"/>
        </w:rPr>
        <w:lastRenderedPageBreak/>
        <w:t>A 9</w:t>
      </w:r>
      <w:r w:rsidR="00626E31" w:rsidRPr="00B75D38">
        <w:rPr>
          <w:rFonts w:ascii="Arial" w:hAnsi="Arial" w:cs="Arial"/>
          <w:snapToGrid w:val="0"/>
          <w:color w:val="000000"/>
          <w:sz w:val="24"/>
        </w:rPr>
        <w:t>% strengthening/weakening of the pound against the various currencies in which the Fund holds investments would increase/decrease the net assets available to pay benefits as follows:</w:t>
      </w:r>
    </w:p>
    <w:p w:rsidR="009718DC" w:rsidRPr="00B75D38" w:rsidRDefault="009718DC" w:rsidP="009718DC">
      <w:pPr>
        <w:widowControl w:val="0"/>
        <w:tabs>
          <w:tab w:val="right" w:pos="7200"/>
        </w:tabs>
        <w:rPr>
          <w:rFonts w:ascii="Arial" w:hAnsi="Arial" w:cs="Arial"/>
          <w:snapToGrid w:val="0"/>
          <w:color w:val="000000"/>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2"/>
        <w:gridCol w:w="2462"/>
        <w:gridCol w:w="1554"/>
        <w:gridCol w:w="1554"/>
      </w:tblGrid>
      <w:tr w:rsidR="009718DC" w:rsidRPr="00B75D38" w:rsidTr="005C73D7">
        <w:tc>
          <w:tcPr>
            <w:tcW w:w="1584" w:type="pct"/>
          </w:tcPr>
          <w:p w:rsidR="009718DC" w:rsidRPr="00B75D38" w:rsidRDefault="009718DC" w:rsidP="005C73D7">
            <w:pPr>
              <w:widowControl w:val="0"/>
              <w:tabs>
                <w:tab w:val="right" w:pos="7200"/>
              </w:tabs>
              <w:ind w:left="132" w:hanging="132"/>
              <w:rPr>
                <w:rFonts w:ascii="Arial" w:hAnsi="Arial" w:cs="Arial"/>
                <w:b/>
                <w:snapToGrid w:val="0"/>
                <w:color w:val="000000"/>
                <w:sz w:val="24"/>
              </w:rPr>
            </w:pPr>
          </w:p>
        </w:tc>
        <w:tc>
          <w:tcPr>
            <w:tcW w:w="1510" w:type="pct"/>
          </w:tcPr>
          <w:p w:rsidR="009718DC" w:rsidRPr="00B75D38" w:rsidRDefault="009718DC" w:rsidP="00A22855">
            <w:pPr>
              <w:widowControl w:val="0"/>
              <w:tabs>
                <w:tab w:val="right" w:pos="7200"/>
              </w:tabs>
              <w:ind w:left="132" w:hanging="132"/>
              <w:jc w:val="right"/>
              <w:rPr>
                <w:rFonts w:ascii="Arial" w:hAnsi="Arial" w:cs="Arial"/>
                <w:b/>
                <w:snapToGrid w:val="0"/>
                <w:color w:val="000000"/>
                <w:sz w:val="24"/>
              </w:rPr>
            </w:pPr>
            <w:r w:rsidRPr="00B75D38">
              <w:rPr>
                <w:rFonts w:ascii="Arial" w:hAnsi="Arial" w:cs="Arial"/>
                <w:b/>
                <w:snapToGrid w:val="0"/>
                <w:color w:val="000000"/>
                <w:sz w:val="24"/>
              </w:rPr>
              <w:t>Asset value as at 31 March 201</w:t>
            </w:r>
            <w:r w:rsidR="00A22855" w:rsidRPr="00B75D38">
              <w:rPr>
                <w:rFonts w:ascii="Arial" w:hAnsi="Arial" w:cs="Arial"/>
                <w:b/>
                <w:snapToGrid w:val="0"/>
                <w:color w:val="000000"/>
                <w:sz w:val="24"/>
              </w:rPr>
              <w:t>3</w:t>
            </w:r>
          </w:p>
        </w:tc>
        <w:tc>
          <w:tcPr>
            <w:tcW w:w="1906" w:type="pct"/>
            <w:gridSpan w:val="2"/>
          </w:tcPr>
          <w:p w:rsidR="009718DC" w:rsidRPr="00B75D38" w:rsidRDefault="009718DC" w:rsidP="005C73D7">
            <w:pPr>
              <w:widowControl w:val="0"/>
              <w:tabs>
                <w:tab w:val="right" w:pos="7200"/>
              </w:tabs>
              <w:ind w:left="132" w:hanging="132"/>
              <w:jc w:val="right"/>
              <w:rPr>
                <w:rFonts w:ascii="Arial" w:hAnsi="Arial" w:cs="Arial"/>
                <w:b/>
                <w:snapToGrid w:val="0"/>
                <w:color w:val="000000"/>
                <w:sz w:val="24"/>
              </w:rPr>
            </w:pPr>
            <w:r w:rsidRPr="00B75D38">
              <w:rPr>
                <w:rFonts w:ascii="Arial" w:hAnsi="Arial" w:cs="Arial"/>
                <w:b/>
                <w:snapToGrid w:val="0"/>
                <w:color w:val="000000"/>
                <w:sz w:val="24"/>
              </w:rPr>
              <w:t xml:space="preserve">Change </w:t>
            </w:r>
            <w:r w:rsidR="00694EA2" w:rsidRPr="00B75D38">
              <w:rPr>
                <w:rFonts w:ascii="Arial" w:hAnsi="Arial" w:cs="Arial"/>
                <w:b/>
                <w:snapToGrid w:val="0"/>
                <w:color w:val="000000"/>
                <w:sz w:val="24"/>
              </w:rPr>
              <w:t>to</w:t>
            </w:r>
            <w:r w:rsidRPr="00B75D38">
              <w:rPr>
                <w:rFonts w:ascii="Arial" w:hAnsi="Arial" w:cs="Arial"/>
                <w:b/>
                <w:snapToGrid w:val="0"/>
                <w:color w:val="000000"/>
                <w:sz w:val="24"/>
              </w:rPr>
              <w:t xml:space="preserve"> net assets available to pay benefits</w:t>
            </w:r>
          </w:p>
        </w:tc>
      </w:tr>
      <w:tr w:rsidR="009718DC" w:rsidRPr="00B75D38" w:rsidTr="005C73D7">
        <w:tc>
          <w:tcPr>
            <w:tcW w:w="1584" w:type="pct"/>
          </w:tcPr>
          <w:p w:rsidR="009718DC" w:rsidRPr="00B75D38" w:rsidRDefault="009718DC" w:rsidP="005C73D7">
            <w:pPr>
              <w:widowControl w:val="0"/>
              <w:tabs>
                <w:tab w:val="right" w:pos="7200"/>
              </w:tabs>
              <w:ind w:left="132" w:hanging="132"/>
              <w:rPr>
                <w:rFonts w:ascii="Arial" w:hAnsi="Arial" w:cs="Arial"/>
                <w:snapToGrid w:val="0"/>
                <w:color w:val="000000"/>
                <w:sz w:val="24"/>
              </w:rPr>
            </w:pPr>
          </w:p>
        </w:tc>
        <w:tc>
          <w:tcPr>
            <w:tcW w:w="1510" w:type="pct"/>
          </w:tcPr>
          <w:p w:rsidR="009718DC" w:rsidRPr="00B75D38" w:rsidRDefault="009718DC" w:rsidP="005C73D7">
            <w:pPr>
              <w:widowControl w:val="0"/>
              <w:tabs>
                <w:tab w:val="right" w:pos="7200"/>
              </w:tabs>
              <w:ind w:left="132" w:hanging="132"/>
              <w:jc w:val="right"/>
              <w:rPr>
                <w:rFonts w:ascii="Arial" w:hAnsi="Arial" w:cs="Arial"/>
                <w:b/>
                <w:snapToGrid w:val="0"/>
                <w:color w:val="000000"/>
                <w:sz w:val="24"/>
              </w:rPr>
            </w:pPr>
          </w:p>
        </w:tc>
        <w:tc>
          <w:tcPr>
            <w:tcW w:w="953" w:type="pct"/>
          </w:tcPr>
          <w:p w:rsidR="009718DC" w:rsidRPr="00B75D38" w:rsidRDefault="00B75D38"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+9</w:t>
            </w:r>
            <w:r w:rsidR="009718DC" w:rsidRPr="00B75D38">
              <w:rPr>
                <w:rFonts w:ascii="Arial" w:hAnsi="Arial" w:cs="Arial"/>
                <w:b/>
                <w:snapToGrid w:val="0"/>
                <w:color w:val="000000"/>
                <w:sz w:val="24"/>
              </w:rPr>
              <w:t>%</w:t>
            </w:r>
          </w:p>
        </w:tc>
        <w:tc>
          <w:tcPr>
            <w:tcW w:w="953" w:type="pct"/>
          </w:tcPr>
          <w:p w:rsidR="009718DC" w:rsidRPr="00B75D38" w:rsidRDefault="00B75D38"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-9</w:t>
            </w:r>
            <w:r w:rsidR="009718DC" w:rsidRPr="00B75D38">
              <w:rPr>
                <w:rFonts w:ascii="Arial" w:hAnsi="Arial" w:cs="Arial"/>
                <w:b/>
                <w:snapToGrid w:val="0"/>
                <w:color w:val="000000"/>
                <w:sz w:val="24"/>
              </w:rPr>
              <w:t>%</w:t>
            </w:r>
          </w:p>
        </w:tc>
      </w:tr>
      <w:tr w:rsidR="009718DC" w:rsidRPr="00B75D38" w:rsidTr="005C73D7">
        <w:tc>
          <w:tcPr>
            <w:tcW w:w="1584" w:type="pct"/>
          </w:tcPr>
          <w:p w:rsidR="009718DC" w:rsidRPr="00B75D38" w:rsidRDefault="009718DC" w:rsidP="005C73D7">
            <w:pPr>
              <w:widowControl w:val="0"/>
              <w:tabs>
                <w:tab w:val="right" w:pos="7200"/>
              </w:tabs>
              <w:ind w:left="132" w:hanging="132"/>
              <w:rPr>
                <w:rFonts w:ascii="Arial" w:hAnsi="Arial" w:cs="Arial"/>
                <w:snapToGrid w:val="0"/>
                <w:color w:val="000000"/>
                <w:sz w:val="24"/>
              </w:rPr>
            </w:pPr>
          </w:p>
        </w:tc>
        <w:tc>
          <w:tcPr>
            <w:tcW w:w="1510" w:type="pct"/>
          </w:tcPr>
          <w:p w:rsidR="009718DC" w:rsidRPr="00B75D38" w:rsidRDefault="009718DC" w:rsidP="005C73D7">
            <w:pPr>
              <w:widowControl w:val="0"/>
              <w:tabs>
                <w:tab w:val="right" w:pos="7200"/>
              </w:tabs>
              <w:ind w:left="132" w:hanging="132"/>
              <w:jc w:val="right"/>
              <w:rPr>
                <w:rFonts w:ascii="Arial" w:hAnsi="Arial" w:cs="Arial"/>
                <w:b/>
                <w:snapToGrid w:val="0"/>
                <w:color w:val="000000"/>
                <w:sz w:val="24"/>
              </w:rPr>
            </w:pPr>
            <w:r w:rsidRPr="00B75D38">
              <w:rPr>
                <w:rFonts w:ascii="Arial" w:hAnsi="Arial" w:cs="Arial"/>
                <w:b/>
                <w:snapToGrid w:val="0"/>
                <w:color w:val="000000"/>
                <w:sz w:val="24"/>
              </w:rPr>
              <w:t>£’000</w:t>
            </w:r>
          </w:p>
        </w:tc>
        <w:tc>
          <w:tcPr>
            <w:tcW w:w="953" w:type="pct"/>
          </w:tcPr>
          <w:p w:rsidR="009718DC" w:rsidRPr="00B75D38" w:rsidRDefault="009718DC" w:rsidP="005C73D7">
            <w:pPr>
              <w:widowControl w:val="0"/>
              <w:tabs>
                <w:tab w:val="right" w:pos="7200"/>
              </w:tabs>
              <w:ind w:left="132" w:hanging="132"/>
              <w:jc w:val="right"/>
              <w:rPr>
                <w:rFonts w:ascii="Arial" w:hAnsi="Arial" w:cs="Arial"/>
                <w:b/>
                <w:snapToGrid w:val="0"/>
                <w:color w:val="000000"/>
                <w:sz w:val="24"/>
              </w:rPr>
            </w:pPr>
            <w:r w:rsidRPr="00B75D38">
              <w:rPr>
                <w:rFonts w:ascii="Arial" w:hAnsi="Arial" w:cs="Arial"/>
                <w:b/>
                <w:snapToGrid w:val="0"/>
                <w:color w:val="000000"/>
                <w:sz w:val="24"/>
              </w:rPr>
              <w:t>£’000</w:t>
            </w:r>
          </w:p>
        </w:tc>
        <w:tc>
          <w:tcPr>
            <w:tcW w:w="953" w:type="pct"/>
          </w:tcPr>
          <w:p w:rsidR="009718DC" w:rsidRPr="00B75D38" w:rsidRDefault="009718DC" w:rsidP="005C73D7">
            <w:pPr>
              <w:widowControl w:val="0"/>
              <w:tabs>
                <w:tab w:val="right" w:pos="7200"/>
              </w:tabs>
              <w:ind w:left="132" w:hanging="132"/>
              <w:jc w:val="right"/>
              <w:rPr>
                <w:rFonts w:ascii="Arial" w:hAnsi="Arial" w:cs="Arial"/>
                <w:b/>
                <w:snapToGrid w:val="0"/>
                <w:color w:val="000000"/>
                <w:sz w:val="24"/>
              </w:rPr>
            </w:pPr>
            <w:r w:rsidRPr="00B75D38">
              <w:rPr>
                <w:rFonts w:ascii="Arial" w:hAnsi="Arial" w:cs="Arial"/>
                <w:b/>
                <w:snapToGrid w:val="0"/>
                <w:color w:val="000000"/>
                <w:sz w:val="24"/>
              </w:rPr>
              <w:t>£’000</w:t>
            </w:r>
          </w:p>
        </w:tc>
      </w:tr>
      <w:tr w:rsidR="00BB0ABD" w:rsidRPr="003D2F7A" w:rsidTr="005C73D7">
        <w:tc>
          <w:tcPr>
            <w:tcW w:w="1584" w:type="pct"/>
          </w:tcPr>
          <w:p w:rsidR="00BB0ABD" w:rsidRPr="00AC7C5A" w:rsidRDefault="00BB0ABD" w:rsidP="00BB0ABD">
            <w:pPr>
              <w:widowControl w:val="0"/>
              <w:tabs>
                <w:tab w:val="right" w:pos="7224"/>
              </w:tabs>
              <w:rPr>
                <w:rFonts w:ascii="Arial" w:hAnsi="Arial" w:cs="Arial"/>
                <w:snapToGrid w:val="0"/>
                <w:color w:val="000000"/>
                <w:sz w:val="24"/>
              </w:rPr>
            </w:pPr>
          </w:p>
        </w:tc>
        <w:tc>
          <w:tcPr>
            <w:tcW w:w="1510" w:type="pct"/>
          </w:tcPr>
          <w:p w:rsidR="00BB0ABD" w:rsidRPr="00BB0ABD" w:rsidRDefault="00BB0ABD" w:rsidP="005C73D7">
            <w:pPr>
              <w:widowControl w:val="0"/>
              <w:tabs>
                <w:tab w:val="right" w:pos="7200"/>
              </w:tabs>
              <w:ind w:left="132" w:hanging="132"/>
              <w:jc w:val="right"/>
              <w:rPr>
                <w:rFonts w:ascii="Arial" w:hAnsi="Arial" w:cs="Arial"/>
                <w:snapToGrid w:val="0"/>
                <w:color w:val="000000"/>
                <w:sz w:val="24"/>
              </w:rPr>
            </w:pPr>
          </w:p>
        </w:tc>
        <w:tc>
          <w:tcPr>
            <w:tcW w:w="953" w:type="pct"/>
          </w:tcPr>
          <w:p w:rsidR="00BB0ABD" w:rsidRPr="00BB0ABD" w:rsidRDefault="00BB0ABD" w:rsidP="005C73D7">
            <w:pPr>
              <w:widowControl w:val="0"/>
              <w:tabs>
                <w:tab w:val="right" w:pos="7200"/>
              </w:tabs>
              <w:ind w:left="132" w:hanging="132"/>
              <w:jc w:val="right"/>
              <w:rPr>
                <w:rFonts w:ascii="Arial" w:hAnsi="Arial" w:cs="Arial"/>
                <w:snapToGrid w:val="0"/>
                <w:color w:val="000000"/>
                <w:sz w:val="24"/>
              </w:rPr>
            </w:pPr>
          </w:p>
        </w:tc>
        <w:tc>
          <w:tcPr>
            <w:tcW w:w="953" w:type="pct"/>
          </w:tcPr>
          <w:p w:rsidR="00BB0ABD" w:rsidRPr="00BB0ABD" w:rsidRDefault="00BB0ABD" w:rsidP="005C73D7">
            <w:pPr>
              <w:widowControl w:val="0"/>
              <w:tabs>
                <w:tab w:val="right" w:pos="7200"/>
              </w:tabs>
              <w:ind w:left="132" w:hanging="132"/>
              <w:jc w:val="right"/>
              <w:rPr>
                <w:rFonts w:ascii="Arial" w:hAnsi="Arial" w:cs="Arial"/>
                <w:snapToGrid w:val="0"/>
                <w:color w:val="000000"/>
                <w:sz w:val="24"/>
              </w:rPr>
            </w:pPr>
          </w:p>
        </w:tc>
      </w:tr>
      <w:tr w:rsidR="00BB0ABD" w:rsidRPr="003D2F7A" w:rsidTr="005C73D7">
        <w:tc>
          <w:tcPr>
            <w:tcW w:w="1584" w:type="pct"/>
          </w:tcPr>
          <w:p w:rsidR="00BB0ABD" w:rsidRPr="00AC7C5A" w:rsidRDefault="00BB0ABD" w:rsidP="00BB0ABD">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unit trusts</w:t>
            </w:r>
          </w:p>
        </w:tc>
        <w:tc>
          <w:tcPr>
            <w:tcW w:w="1510" w:type="pct"/>
          </w:tcPr>
          <w:p w:rsidR="00BB0ABD" w:rsidRPr="00BB0ABD" w:rsidRDefault="00BB0ABD" w:rsidP="005C73D7">
            <w:pPr>
              <w:widowControl w:val="0"/>
              <w:tabs>
                <w:tab w:val="right" w:pos="7200"/>
              </w:tabs>
              <w:ind w:left="132" w:hanging="132"/>
              <w:jc w:val="right"/>
              <w:rPr>
                <w:rFonts w:ascii="Arial" w:hAnsi="Arial" w:cs="Arial"/>
                <w:snapToGrid w:val="0"/>
                <w:color w:val="000000"/>
                <w:sz w:val="24"/>
              </w:rPr>
            </w:pPr>
            <w:r w:rsidRPr="00BB0ABD">
              <w:rPr>
                <w:rFonts w:ascii="Arial" w:hAnsi="Arial" w:cs="Arial"/>
                <w:snapToGrid w:val="0"/>
                <w:color w:val="000000"/>
                <w:sz w:val="24"/>
              </w:rPr>
              <w:t>161,590</w:t>
            </w:r>
          </w:p>
        </w:tc>
        <w:tc>
          <w:tcPr>
            <w:tcW w:w="953" w:type="pct"/>
          </w:tcPr>
          <w:p w:rsidR="00BB0ABD" w:rsidRPr="00BB0ABD" w:rsidRDefault="0014572C"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176,133</w:t>
            </w:r>
          </w:p>
        </w:tc>
        <w:tc>
          <w:tcPr>
            <w:tcW w:w="953" w:type="pct"/>
          </w:tcPr>
          <w:p w:rsidR="00BB0ABD" w:rsidRPr="00BB0ABD" w:rsidRDefault="00661021"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147,047</w:t>
            </w:r>
          </w:p>
        </w:tc>
      </w:tr>
      <w:tr w:rsidR="00BB0ABD" w:rsidRPr="003D2F7A" w:rsidTr="005C73D7">
        <w:tc>
          <w:tcPr>
            <w:tcW w:w="1584" w:type="pct"/>
          </w:tcPr>
          <w:p w:rsidR="00BB0ABD" w:rsidRPr="00AC7C5A" w:rsidRDefault="00BB0ABD" w:rsidP="00BB0ABD">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pooled property investments</w:t>
            </w:r>
          </w:p>
        </w:tc>
        <w:tc>
          <w:tcPr>
            <w:tcW w:w="1510" w:type="pct"/>
          </w:tcPr>
          <w:p w:rsidR="00BB0ABD" w:rsidRPr="00BB0ABD" w:rsidRDefault="00A12455"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5,487</w:t>
            </w:r>
          </w:p>
        </w:tc>
        <w:tc>
          <w:tcPr>
            <w:tcW w:w="953" w:type="pct"/>
          </w:tcPr>
          <w:p w:rsidR="00BB0ABD" w:rsidRPr="00BB0ABD" w:rsidRDefault="0014572C"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5,981</w:t>
            </w:r>
          </w:p>
        </w:tc>
        <w:tc>
          <w:tcPr>
            <w:tcW w:w="953" w:type="pct"/>
          </w:tcPr>
          <w:p w:rsidR="00BB0ABD" w:rsidRPr="00BB0ABD" w:rsidRDefault="00520CB1"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4,993</w:t>
            </w:r>
          </w:p>
        </w:tc>
      </w:tr>
      <w:tr w:rsidR="00BB0ABD" w:rsidRPr="003D2F7A" w:rsidTr="005C73D7">
        <w:tc>
          <w:tcPr>
            <w:tcW w:w="1584" w:type="pct"/>
          </w:tcPr>
          <w:p w:rsidR="00BB0ABD" w:rsidRPr="00AC7C5A" w:rsidRDefault="00BB0ABD" w:rsidP="00BB0ABD">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private equity/infrastructure</w:t>
            </w:r>
          </w:p>
        </w:tc>
        <w:tc>
          <w:tcPr>
            <w:tcW w:w="1510" w:type="pct"/>
          </w:tcPr>
          <w:p w:rsidR="00BB0ABD" w:rsidRPr="00BB0ABD" w:rsidRDefault="00A12455"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9</w:t>
            </w:r>
            <w:r w:rsidR="0070451B">
              <w:rPr>
                <w:rFonts w:ascii="Arial" w:hAnsi="Arial" w:cs="Arial"/>
                <w:snapToGrid w:val="0"/>
                <w:color w:val="000000"/>
                <w:sz w:val="24"/>
              </w:rPr>
              <w:t>9,913</w:t>
            </w:r>
          </w:p>
        </w:tc>
        <w:tc>
          <w:tcPr>
            <w:tcW w:w="953" w:type="pct"/>
          </w:tcPr>
          <w:p w:rsidR="00BB0ABD" w:rsidRPr="00BB0ABD" w:rsidRDefault="0070451B"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108</w:t>
            </w:r>
            <w:r w:rsidR="00661021">
              <w:rPr>
                <w:rFonts w:ascii="Arial" w:hAnsi="Arial" w:cs="Arial"/>
                <w:snapToGrid w:val="0"/>
                <w:color w:val="000000"/>
                <w:sz w:val="24"/>
              </w:rPr>
              <w:t>,</w:t>
            </w:r>
            <w:r>
              <w:rPr>
                <w:rFonts w:ascii="Arial" w:hAnsi="Arial" w:cs="Arial"/>
                <w:snapToGrid w:val="0"/>
                <w:color w:val="000000"/>
                <w:sz w:val="24"/>
              </w:rPr>
              <w:t>905</w:t>
            </w:r>
          </w:p>
        </w:tc>
        <w:tc>
          <w:tcPr>
            <w:tcW w:w="953" w:type="pct"/>
          </w:tcPr>
          <w:p w:rsidR="00BB0ABD" w:rsidRPr="00BB0ABD" w:rsidRDefault="0070451B" w:rsidP="005C73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90</w:t>
            </w:r>
            <w:r w:rsidR="00520CB1">
              <w:rPr>
                <w:rFonts w:ascii="Arial" w:hAnsi="Arial" w:cs="Arial"/>
                <w:snapToGrid w:val="0"/>
                <w:color w:val="000000"/>
                <w:sz w:val="24"/>
              </w:rPr>
              <w:t>,</w:t>
            </w:r>
            <w:r>
              <w:rPr>
                <w:rFonts w:ascii="Arial" w:hAnsi="Arial" w:cs="Arial"/>
                <w:snapToGrid w:val="0"/>
                <w:color w:val="000000"/>
                <w:sz w:val="24"/>
              </w:rPr>
              <w:t>921</w:t>
            </w:r>
          </w:p>
        </w:tc>
      </w:tr>
      <w:tr w:rsidR="0014572C" w:rsidRPr="003D2F7A" w:rsidTr="005C73D7">
        <w:tc>
          <w:tcPr>
            <w:tcW w:w="1584" w:type="pct"/>
          </w:tcPr>
          <w:p w:rsidR="0014572C" w:rsidRPr="00B75D38" w:rsidRDefault="0014572C" w:rsidP="005C73D7">
            <w:pPr>
              <w:widowControl w:val="0"/>
              <w:tabs>
                <w:tab w:val="right" w:pos="7200"/>
              </w:tabs>
              <w:ind w:left="132" w:hanging="132"/>
              <w:rPr>
                <w:rFonts w:ascii="Arial" w:hAnsi="Arial" w:cs="Arial"/>
                <w:b/>
                <w:snapToGrid w:val="0"/>
                <w:color w:val="000000"/>
                <w:sz w:val="24"/>
              </w:rPr>
            </w:pPr>
          </w:p>
        </w:tc>
        <w:tc>
          <w:tcPr>
            <w:tcW w:w="1510" w:type="pct"/>
          </w:tcPr>
          <w:p w:rsidR="0014572C" w:rsidRDefault="0014572C" w:rsidP="005C73D7">
            <w:pPr>
              <w:widowControl w:val="0"/>
              <w:tabs>
                <w:tab w:val="right" w:pos="7200"/>
              </w:tabs>
              <w:ind w:left="132" w:hanging="132"/>
              <w:jc w:val="right"/>
              <w:rPr>
                <w:rFonts w:ascii="Arial" w:hAnsi="Arial" w:cs="Arial"/>
                <w:b/>
                <w:snapToGrid w:val="0"/>
                <w:color w:val="000000"/>
                <w:sz w:val="24"/>
              </w:rPr>
            </w:pPr>
          </w:p>
        </w:tc>
        <w:tc>
          <w:tcPr>
            <w:tcW w:w="953" w:type="pct"/>
          </w:tcPr>
          <w:p w:rsidR="0014572C" w:rsidRPr="00B75D38" w:rsidRDefault="0014572C" w:rsidP="005C73D7">
            <w:pPr>
              <w:widowControl w:val="0"/>
              <w:tabs>
                <w:tab w:val="right" w:pos="7200"/>
              </w:tabs>
              <w:ind w:left="132" w:hanging="132"/>
              <w:jc w:val="right"/>
              <w:rPr>
                <w:rFonts w:ascii="Arial" w:hAnsi="Arial" w:cs="Arial"/>
                <w:b/>
                <w:snapToGrid w:val="0"/>
                <w:color w:val="000000"/>
                <w:sz w:val="24"/>
              </w:rPr>
            </w:pPr>
          </w:p>
        </w:tc>
        <w:tc>
          <w:tcPr>
            <w:tcW w:w="953" w:type="pct"/>
          </w:tcPr>
          <w:p w:rsidR="0014572C" w:rsidRPr="00B75D38" w:rsidRDefault="0014572C" w:rsidP="005C73D7">
            <w:pPr>
              <w:widowControl w:val="0"/>
              <w:tabs>
                <w:tab w:val="right" w:pos="7200"/>
              </w:tabs>
              <w:ind w:left="132" w:hanging="132"/>
              <w:jc w:val="right"/>
              <w:rPr>
                <w:rFonts w:ascii="Arial" w:hAnsi="Arial" w:cs="Arial"/>
                <w:b/>
                <w:snapToGrid w:val="0"/>
                <w:color w:val="000000"/>
                <w:sz w:val="24"/>
              </w:rPr>
            </w:pPr>
          </w:p>
        </w:tc>
      </w:tr>
      <w:tr w:rsidR="009718DC" w:rsidRPr="003D2F7A" w:rsidTr="005C73D7">
        <w:tc>
          <w:tcPr>
            <w:tcW w:w="1584" w:type="pct"/>
          </w:tcPr>
          <w:p w:rsidR="009718DC" w:rsidRPr="00B75D38" w:rsidRDefault="009718DC" w:rsidP="005C73D7">
            <w:pPr>
              <w:widowControl w:val="0"/>
              <w:tabs>
                <w:tab w:val="right" w:pos="7200"/>
              </w:tabs>
              <w:ind w:left="132" w:hanging="132"/>
              <w:rPr>
                <w:rFonts w:ascii="Arial" w:hAnsi="Arial" w:cs="Arial"/>
                <w:b/>
                <w:snapToGrid w:val="0"/>
                <w:color w:val="000000"/>
                <w:sz w:val="24"/>
              </w:rPr>
            </w:pPr>
            <w:r w:rsidRPr="00B75D38">
              <w:rPr>
                <w:rFonts w:ascii="Arial" w:hAnsi="Arial" w:cs="Arial"/>
                <w:b/>
                <w:snapToGrid w:val="0"/>
                <w:color w:val="000000"/>
                <w:sz w:val="24"/>
              </w:rPr>
              <w:t>Total change in assets available</w:t>
            </w:r>
          </w:p>
        </w:tc>
        <w:tc>
          <w:tcPr>
            <w:tcW w:w="1510" w:type="pct"/>
          </w:tcPr>
          <w:p w:rsidR="009718DC" w:rsidRPr="00B75D38" w:rsidRDefault="00A12455"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26</w:t>
            </w:r>
            <w:r w:rsidR="0070451B">
              <w:rPr>
                <w:rFonts w:ascii="Arial" w:hAnsi="Arial" w:cs="Arial"/>
                <w:b/>
                <w:snapToGrid w:val="0"/>
                <w:color w:val="000000"/>
                <w:sz w:val="24"/>
              </w:rPr>
              <w:t>6,990</w:t>
            </w:r>
          </w:p>
        </w:tc>
        <w:tc>
          <w:tcPr>
            <w:tcW w:w="953" w:type="pct"/>
          </w:tcPr>
          <w:p w:rsidR="009718DC" w:rsidRPr="00B75D38" w:rsidRDefault="00661021"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2</w:t>
            </w:r>
            <w:r w:rsidR="0070451B">
              <w:rPr>
                <w:rFonts w:ascii="Arial" w:hAnsi="Arial" w:cs="Arial"/>
                <w:b/>
                <w:snapToGrid w:val="0"/>
                <w:color w:val="000000"/>
                <w:sz w:val="24"/>
              </w:rPr>
              <w:t>91,019</w:t>
            </w:r>
          </w:p>
        </w:tc>
        <w:tc>
          <w:tcPr>
            <w:tcW w:w="953" w:type="pct"/>
          </w:tcPr>
          <w:p w:rsidR="009718DC" w:rsidRPr="00B75D38" w:rsidRDefault="00520CB1"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24</w:t>
            </w:r>
            <w:r w:rsidR="0070451B">
              <w:rPr>
                <w:rFonts w:ascii="Arial" w:hAnsi="Arial" w:cs="Arial"/>
                <w:b/>
                <w:snapToGrid w:val="0"/>
                <w:color w:val="000000"/>
                <w:sz w:val="24"/>
              </w:rPr>
              <w:t>2,961</w:t>
            </w:r>
          </w:p>
        </w:tc>
      </w:tr>
    </w:tbl>
    <w:p w:rsidR="00626E31" w:rsidRPr="003D2F7A" w:rsidRDefault="00626E31" w:rsidP="00403691">
      <w:pPr>
        <w:widowControl w:val="0"/>
        <w:tabs>
          <w:tab w:val="right" w:pos="7200"/>
        </w:tabs>
        <w:rPr>
          <w:rFonts w:ascii="Arial" w:hAnsi="Arial" w:cs="Arial"/>
          <w:snapToGrid w:val="0"/>
          <w:color w:val="000000"/>
          <w:sz w:val="24"/>
          <w:highlight w:val="yellow"/>
        </w:rPr>
      </w:pPr>
    </w:p>
    <w:p w:rsidR="00626E31" w:rsidRPr="003D2F7A" w:rsidRDefault="00626E31" w:rsidP="00403691">
      <w:pPr>
        <w:widowControl w:val="0"/>
        <w:tabs>
          <w:tab w:val="right" w:pos="7200"/>
        </w:tabs>
        <w:rPr>
          <w:rFonts w:ascii="Arial" w:hAnsi="Arial" w:cs="Arial"/>
          <w:snapToGrid w:val="0"/>
          <w:color w:val="000000"/>
          <w:sz w:val="24"/>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2"/>
        <w:gridCol w:w="2462"/>
        <w:gridCol w:w="1554"/>
        <w:gridCol w:w="1554"/>
      </w:tblGrid>
      <w:tr w:rsidR="00626E31" w:rsidRPr="003D2F7A" w:rsidTr="005C73D7">
        <w:tc>
          <w:tcPr>
            <w:tcW w:w="1584" w:type="pct"/>
          </w:tcPr>
          <w:p w:rsidR="00626E31" w:rsidRPr="003D2F7A" w:rsidRDefault="00626E31" w:rsidP="005C73D7">
            <w:pPr>
              <w:widowControl w:val="0"/>
              <w:tabs>
                <w:tab w:val="right" w:pos="7200"/>
              </w:tabs>
              <w:ind w:left="132" w:hanging="132"/>
              <w:rPr>
                <w:rFonts w:ascii="Arial" w:hAnsi="Arial" w:cs="Arial"/>
                <w:b/>
                <w:snapToGrid w:val="0"/>
                <w:color w:val="000000"/>
                <w:sz w:val="24"/>
                <w:highlight w:val="yellow"/>
              </w:rPr>
            </w:pPr>
          </w:p>
        </w:tc>
        <w:tc>
          <w:tcPr>
            <w:tcW w:w="1510" w:type="pct"/>
          </w:tcPr>
          <w:p w:rsidR="00626E31" w:rsidRPr="00A22855" w:rsidRDefault="00626E31" w:rsidP="00A22855">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Asset value as at 31 March 201</w:t>
            </w:r>
            <w:r w:rsidR="00A22855" w:rsidRPr="00A22855">
              <w:rPr>
                <w:rFonts w:ascii="Arial" w:hAnsi="Arial" w:cs="Arial"/>
                <w:b/>
                <w:snapToGrid w:val="0"/>
                <w:color w:val="000000"/>
                <w:sz w:val="24"/>
              </w:rPr>
              <w:t>2</w:t>
            </w:r>
          </w:p>
        </w:tc>
        <w:tc>
          <w:tcPr>
            <w:tcW w:w="1906" w:type="pct"/>
            <w:gridSpan w:val="2"/>
          </w:tcPr>
          <w:p w:rsidR="00626E31" w:rsidRPr="00A22855" w:rsidRDefault="00626E31"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 xml:space="preserve">Change </w:t>
            </w:r>
            <w:r w:rsidR="00694EA2" w:rsidRPr="00A22855">
              <w:rPr>
                <w:rFonts w:ascii="Arial" w:hAnsi="Arial" w:cs="Arial"/>
                <w:b/>
                <w:snapToGrid w:val="0"/>
                <w:color w:val="000000"/>
                <w:sz w:val="24"/>
              </w:rPr>
              <w:t>to</w:t>
            </w:r>
            <w:r w:rsidRPr="00A22855">
              <w:rPr>
                <w:rFonts w:ascii="Arial" w:hAnsi="Arial" w:cs="Arial"/>
                <w:b/>
                <w:snapToGrid w:val="0"/>
                <w:color w:val="000000"/>
                <w:sz w:val="24"/>
              </w:rPr>
              <w:t xml:space="preserve"> net assets available to pay benefits</w:t>
            </w:r>
          </w:p>
        </w:tc>
      </w:tr>
      <w:tr w:rsidR="00626E31" w:rsidRPr="003D2F7A" w:rsidTr="005C73D7">
        <w:tc>
          <w:tcPr>
            <w:tcW w:w="1584" w:type="pct"/>
          </w:tcPr>
          <w:p w:rsidR="00626E31" w:rsidRPr="003D2F7A" w:rsidRDefault="00626E31" w:rsidP="005C73D7">
            <w:pPr>
              <w:widowControl w:val="0"/>
              <w:tabs>
                <w:tab w:val="right" w:pos="7200"/>
              </w:tabs>
              <w:ind w:left="132" w:hanging="132"/>
              <w:rPr>
                <w:rFonts w:ascii="Arial" w:hAnsi="Arial" w:cs="Arial"/>
                <w:snapToGrid w:val="0"/>
                <w:color w:val="000000"/>
                <w:sz w:val="24"/>
                <w:highlight w:val="yellow"/>
              </w:rPr>
            </w:pPr>
          </w:p>
        </w:tc>
        <w:tc>
          <w:tcPr>
            <w:tcW w:w="1510" w:type="pct"/>
          </w:tcPr>
          <w:p w:rsidR="00626E31" w:rsidRPr="00A22855" w:rsidRDefault="00626E31" w:rsidP="005C73D7">
            <w:pPr>
              <w:widowControl w:val="0"/>
              <w:tabs>
                <w:tab w:val="right" w:pos="7200"/>
              </w:tabs>
              <w:ind w:left="132" w:hanging="132"/>
              <w:jc w:val="right"/>
              <w:rPr>
                <w:rFonts w:ascii="Arial" w:hAnsi="Arial" w:cs="Arial"/>
                <w:b/>
                <w:snapToGrid w:val="0"/>
                <w:color w:val="000000"/>
                <w:sz w:val="24"/>
              </w:rPr>
            </w:pPr>
          </w:p>
        </w:tc>
        <w:tc>
          <w:tcPr>
            <w:tcW w:w="953" w:type="pct"/>
          </w:tcPr>
          <w:p w:rsidR="00626E31" w:rsidRPr="002A5E8F" w:rsidRDefault="002A5E8F" w:rsidP="005C73D7">
            <w:pPr>
              <w:widowControl w:val="0"/>
              <w:tabs>
                <w:tab w:val="right" w:pos="7200"/>
              </w:tabs>
              <w:ind w:left="132" w:hanging="132"/>
              <w:jc w:val="right"/>
              <w:rPr>
                <w:rFonts w:ascii="Arial" w:hAnsi="Arial" w:cs="Arial"/>
                <w:b/>
                <w:snapToGrid w:val="0"/>
                <w:color w:val="000000"/>
                <w:sz w:val="24"/>
              </w:rPr>
            </w:pPr>
            <w:r w:rsidRPr="002A5E8F">
              <w:rPr>
                <w:rFonts w:ascii="Arial" w:hAnsi="Arial" w:cs="Arial"/>
                <w:b/>
                <w:snapToGrid w:val="0"/>
                <w:color w:val="000000"/>
                <w:sz w:val="24"/>
              </w:rPr>
              <w:t>+9</w:t>
            </w:r>
            <w:r w:rsidR="00626E31" w:rsidRPr="002A5E8F">
              <w:rPr>
                <w:rFonts w:ascii="Arial" w:hAnsi="Arial" w:cs="Arial"/>
                <w:b/>
                <w:snapToGrid w:val="0"/>
                <w:color w:val="000000"/>
                <w:sz w:val="24"/>
              </w:rPr>
              <w:t>%</w:t>
            </w:r>
          </w:p>
        </w:tc>
        <w:tc>
          <w:tcPr>
            <w:tcW w:w="953" w:type="pct"/>
          </w:tcPr>
          <w:p w:rsidR="00626E31" w:rsidRPr="002A5E8F" w:rsidRDefault="002A5E8F" w:rsidP="005C73D7">
            <w:pPr>
              <w:widowControl w:val="0"/>
              <w:tabs>
                <w:tab w:val="right" w:pos="7200"/>
              </w:tabs>
              <w:ind w:left="132" w:hanging="132"/>
              <w:jc w:val="right"/>
              <w:rPr>
                <w:rFonts w:ascii="Arial" w:hAnsi="Arial" w:cs="Arial"/>
                <w:b/>
                <w:snapToGrid w:val="0"/>
                <w:color w:val="000000"/>
                <w:sz w:val="24"/>
              </w:rPr>
            </w:pPr>
            <w:r w:rsidRPr="002A5E8F">
              <w:rPr>
                <w:rFonts w:ascii="Arial" w:hAnsi="Arial" w:cs="Arial"/>
                <w:b/>
                <w:snapToGrid w:val="0"/>
                <w:color w:val="000000"/>
                <w:sz w:val="24"/>
              </w:rPr>
              <w:t>-9</w:t>
            </w:r>
            <w:r w:rsidR="00626E31" w:rsidRPr="002A5E8F">
              <w:rPr>
                <w:rFonts w:ascii="Arial" w:hAnsi="Arial" w:cs="Arial"/>
                <w:b/>
                <w:snapToGrid w:val="0"/>
                <w:color w:val="000000"/>
                <w:sz w:val="24"/>
              </w:rPr>
              <w:t>%</w:t>
            </w:r>
          </w:p>
        </w:tc>
      </w:tr>
      <w:tr w:rsidR="00626E31" w:rsidRPr="003D2F7A" w:rsidTr="005C73D7">
        <w:tc>
          <w:tcPr>
            <w:tcW w:w="1584" w:type="pct"/>
          </w:tcPr>
          <w:p w:rsidR="00626E31" w:rsidRPr="003D2F7A" w:rsidRDefault="00626E31" w:rsidP="005C73D7">
            <w:pPr>
              <w:widowControl w:val="0"/>
              <w:tabs>
                <w:tab w:val="right" w:pos="7200"/>
              </w:tabs>
              <w:ind w:left="132" w:hanging="132"/>
              <w:rPr>
                <w:rFonts w:ascii="Arial" w:hAnsi="Arial" w:cs="Arial"/>
                <w:snapToGrid w:val="0"/>
                <w:color w:val="000000"/>
                <w:sz w:val="24"/>
                <w:highlight w:val="yellow"/>
              </w:rPr>
            </w:pPr>
          </w:p>
        </w:tc>
        <w:tc>
          <w:tcPr>
            <w:tcW w:w="1510" w:type="pct"/>
          </w:tcPr>
          <w:p w:rsidR="00626E31" w:rsidRPr="00A22855" w:rsidRDefault="00626E31"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£’000</w:t>
            </w:r>
          </w:p>
        </w:tc>
        <w:tc>
          <w:tcPr>
            <w:tcW w:w="953" w:type="pct"/>
          </w:tcPr>
          <w:p w:rsidR="00626E31" w:rsidRPr="00A22855" w:rsidRDefault="00626E31"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£’000</w:t>
            </w:r>
          </w:p>
        </w:tc>
        <w:tc>
          <w:tcPr>
            <w:tcW w:w="953" w:type="pct"/>
          </w:tcPr>
          <w:p w:rsidR="00626E31" w:rsidRPr="00A22855" w:rsidRDefault="00626E31"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£’000</w:t>
            </w:r>
          </w:p>
        </w:tc>
      </w:tr>
      <w:tr w:rsidR="00626E31" w:rsidRPr="003D2F7A" w:rsidTr="00626E31">
        <w:tc>
          <w:tcPr>
            <w:tcW w:w="1584" w:type="pct"/>
          </w:tcPr>
          <w:p w:rsidR="00626E31" w:rsidRPr="003D2F7A" w:rsidRDefault="00626E31" w:rsidP="005C73D7">
            <w:pPr>
              <w:widowControl w:val="0"/>
              <w:tabs>
                <w:tab w:val="right" w:pos="7200"/>
              </w:tabs>
              <w:ind w:left="132" w:hanging="132"/>
              <w:rPr>
                <w:rFonts w:ascii="Arial" w:hAnsi="Arial" w:cs="Arial"/>
                <w:snapToGrid w:val="0"/>
                <w:color w:val="000000"/>
                <w:highlight w:val="yellow"/>
              </w:rPr>
            </w:pPr>
          </w:p>
        </w:tc>
        <w:tc>
          <w:tcPr>
            <w:tcW w:w="1510" w:type="pct"/>
          </w:tcPr>
          <w:p w:rsidR="00626E31" w:rsidRPr="003D2F7A" w:rsidRDefault="00626E31" w:rsidP="005C73D7">
            <w:pPr>
              <w:widowControl w:val="0"/>
              <w:tabs>
                <w:tab w:val="right" w:pos="7200"/>
              </w:tabs>
              <w:ind w:left="132" w:hanging="132"/>
              <w:jc w:val="right"/>
              <w:rPr>
                <w:rFonts w:ascii="Arial" w:hAnsi="Arial" w:cs="Arial"/>
                <w:snapToGrid w:val="0"/>
                <w:color w:val="000000"/>
                <w:highlight w:val="yellow"/>
              </w:rPr>
            </w:pPr>
          </w:p>
        </w:tc>
        <w:tc>
          <w:tcPr>
            <w:tcW w:w="953" w:type="pct"/>
          </w:tcPr>
          <w:p w:rsidR="00626E31" w:rsidRPr="003D2F7A" w:rsidRDefault="00626E31" w:rsidP="005C73D7">
            <w:pPr>
              <w:widowControl w:val="0"/>
              <w:tabs>
                <w:tab w:val="right" w:pos="7200"/>
              </w:tabs>
              <w:ind w:left="132" w:hanging="132"/>
              <w:jc w:val="right"/>
              <w:rPr>
                <w:rFonts w:ascii="Arial" w:hAnsi="Arial" w:cs="Arial"/>
                <w:snapToGrid w:val="0"/>
                <w:color w:val="000000"/>
                <w:highlight w:val="yellow"/>
              </w:rPr>
            </w:pPr>
          </w:p>
        </w:tc>
        <w:tc>
          <w:tcPr>
            <w:tcW w:w="953" w:type="pct"/>
          </w:tcPr>
          <w:p w:rsidR="00626E31" w:rsidRPr="003D2F7A" w:rsidRDefault="00626E31" w:rsidP="005C73D7">
            <w:pPr>
              <w:widowControl w:val="0"/>
              <w:tabs>
                <w:tab w:val="right" w:pos="7200"/>
              </w:tabs>
              <w:ind w:left="132" w:hanging="132"/>
              <w:jc w:val="right"/>
              <w:rPr>
                <w:rFonts w:ascii="Arial" w:hAnsi="Arial" w:cs="Arial"/>
                <w:snapToGrid w:val="0"/>
                <w:color w:val="000000"/>
                <w:highlight w:val="yellow"/>
              </w:rPr>
            </w:pPr>
          </w:p>
        </w:tc>
      </w:tr>
      <w:tr w:rsidR="003A6A55" w:rsidRPr="003D2F7A" w:rsidTr="00626E31">
        <w:tc>
          <w:tcPr>
            <w:tcW w:w="1584" w:type="pct"/>
          </w:tcPr>
          <w:p w:rsidR="003A6A55" w:rsidRPr="00AC7C5A" w:rsidRDefault="003A6A55" w:rsidP="00340D79">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fixed income</w:t>
            </w:r>
          </w:p>
        </w:tc>
        <w:tc>
          <w:tcPr>
            <w:tcW w:w="1510" w:type="pct"/>
          </w:tcPr>
          <w:p w:rsidR="003A6A55" w:rsidRPr="00BB0ABD" w:rsidRDefault="003A6A55"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9,805</w:t>
            </w:r>
          </w:p>
        </w:tc>
        <w:tc>
          <w:tcPr>
            <w:tcW w:w="953" w:type="pct"/>
          </w:tcPr>
          <w:p w:rsidR="003A6A55" w:rsidRDefault="004C6776"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10,687</w:t>
            </w:r>
          </w:p>
        </w:tc>
        <w:tc>
          <w:tcPr>
            <w:tcW w:w="953" w:type="pct"/>
          </w:tcPr>
          <w:p w:rsidR="003A6A55" w:rsidRDefault="000977BC"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8,923</w:t>
            </w:r>
          </w:p>
        </w:tc>
      </w:tr>
      <w:tr w:rsidR="00340D79" w:rsidRPr="003D2F7A" w:rsidTr="00626E31">
        <w:tc>
          <w:tcPr>
            <w:tcW w:w="1584" w:type="pct"/>
          </w:tcPr>
          <w:p w:rsidR="00340D79" w:rsidRPr="00AC7C5A" w:rsidRDefault="00340D79" w:rsidP="00340D79">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unit trusts</w:t>
            </w:r>
          </w:p>
        </w:tc>
        <w:tc>
          <w:tcPr>
            <w:tcW w:w="1510" w:type="pct"/>
          </w:tcPr>
          <w:p w:rsidR="00340D79" w:rsidRPr="00BB0ABD" w:rsidRDefault="00610FED"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148,807</w:t>
            </w:r>
          </w:p>
        </w:tc>
        <w:tc>
          <w:tcPr>
            <w:tcW w:w="953" w:type="pct"/>
          </w:tcPr>
          <w:p w:rsidR="00340D79" w:rsidRPr="00BB0ABD" w:rsidRDefault="004C6776"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162,200</w:t>
            </w:r>
          </w:p>
        </w:tc>
        <w:tc>
          <w:tcPr>
            <w:tcW w:w="953" w:type="pct"/>
          </w:tcPr>
          <w:p w:rsidR="00340D79" w:rsidRPr="00BB0ABD" w:rsidRDefault="000977BC"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135,414</w:t>
            </w:r>
          </w:p>
        </w:tc>
      </w:tr>
      <w:tr w:rsidR="00340D79" w:rsidRPr="003D2F7A" w:rsidTr="00626E31">
        <w:tc>
          <w:tcPr>
            <w:tcW w:w="1584" w:type="pct"/>
          </w:tcPr>
          <w:p w:rsidR="00340D79" w:rsidRPr="00AC7C5A" w:rsidRDefault="00340D79" w:rsidP="00340D79">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pooled property investments</w:t>
            </w:r>
          </w:p>
        </w:tc>
        <w:tc>
          <w:tcPr>
            <w:tcW w:w="1510" w:type="pct"/>
          </w:tcPr>
          <w:p w:rsidR="00340D79" w:rsidRPr="00BB0ABD" w:rsidRDefault="00610FED"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6,294</w:t>
            </w:r>
          </w:p>
        </w:tc>
        <w:tc>
          <w:tcPr>
            <w:tcW w:w="953" w:type="pct"/>
          </w:tcPr>
          <w:p w:rsidR="00340D79" w:rsidRPr="00BB0ABD" w:rsidRDefault="004C6776"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6,860</w:t>
            </w:r>
          </w:p>
        </w:tc>
        <w:tc>
          <w:tcPr>
            <w:tcW w:w="953" w:type="pct"/>
          </w:tcPr>
          <w:p w:rsidR="00340D79" w:rsidRPr="00BB0ABD" w:rsidRDefault="000977BC"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5,728</w:t>
            </w:r>
          </w:p>
        </w:tc>
      </w:tr>
      <w:tr w:rsidR="00340D79" w:rsidRPr="003D2F7A" w:rsidTr="00626E31">
        <w:tc>
          <w:tcPr>
            <w:tcW w:w="1584" w:type="pct"/>
          </w:tcPr>
          <w:p w:rsidR="00340D79" w:rsidRPr="00AC7C5A" w:rsidRDefault="00340D79" w:rsidP="00340D79">
            <w:pPr>
              <w:widowControl w:val="0"/>
              <w:tabs>
                <w:tab w:val="right" w:pos="7224"/>
              </w:tabs>
              <w:rPr>
                <w:rFonts w:ascii="Arial" w:hAnsi="Arial" w:cs="Arial"/>
                <w:snapToGrid w:val="0"/>
                <w:color w:val="000000"/>
                <w:sz w:val="24"/>
              </w:rPr>
            </w:pPr>
            <w:r w:rsidRPr="00AC7C5A">
              <w:rPr>
                <w:rFonts w:ascii="Arial" w:hAnsi="Arial" w:cs="Arial"/>
                <w:snapToGrid w:val="0"/>
                <w:color w:val="000000"/>
                <w:sz w:val="24"/>
              </w:rPr>
              <w:t>Overseas private equity/infrastructure</w:t>
            </w:r>
          </w:p>
        </w:tc>
        <w:tc>
          <w:tcPr>
            <w:tcW w:w="1510" w:type="pct"/>
          </w:tcPr>
          <w:p w:rsidR="00340D79" w:rsidRPr="00BB0ABD" w:rsidRDefault="00610FED"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80,729</w:t>
            </w:r>
          </w:p>
        </w:tc>
        <w:tc>
          <w:tcPr>
            <w:tcW w:w="953" w:type="pct"/>
          </w:tcPr>
          <w:p w:rsidR="00340D79" w:rsidRPr="00BB0ABD" w:rsidRDefault="004C6776"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87,995</w:t>
            </w:r>
          </w:p>
        </w:tc>
        <w:tc>
          <w:tcPr>
            <w:tcW w:w="953" w:type="pct"/>
          </w:tcPr>
          <w:p w:rsidR="00340D79" w:rsidRPr="00BB0ABD" w:rsidRDefault="000977BC" w:rsidP="00340D79">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73,463</w:t>
            </w:r>
          </w:p>
        </w:tc>
      </w:tr>
      <w:tr w:rsidR="00340D79" w:rsidRPr="003D2F7A" w:rsidTr="00626E31">
        <w:tc>
          <w:tcPr>
            <w:tcW w:w="1584" w:type="pct"/>
          </w:tcPr>
          <w:p w:rsidR="00340D79" w:rsidRPr="003D2F7A" w:rsidRDefault="00340D79" w:rsidP="005C73D7">
            <w:pPr>
              <w:widowControl w:val="0"/>
              <w:tabs>
                <w:tab w:val="right" w:pos="7200"/>
              </w:tabs>
              <w:ind w:left="132" w:hanging="132"/>
              <w:rPr>
                <w:rFonts w:ascii="Arial" w:hAnsi="Arial" w:cs="Arial"/>
                <w:b/>
                <w:snapToGrid w:val="0"/>
                <w:color w:val="000000"/>
                <w:sz w:val="24"/>
                <w:highlight w:val="yellow"/>
              </w:rPr>
            </w:pPr>
          </w:p>
        </w:tc>
        <w:tc>
          <w:tcPr>
            <w:tcW w:w="1510" w:type="pct"/>
          </w:tcPr>
          <w:p w:rsidR="00340D79" w:rsidRPr="003D2F7A" w:rsidRDefault="00340D79" w:rsidP="005C73D7">
            <w:pPr>
              <w:widowControl w:val="0"/>
              <w:tabs>
                <w:tab w:val="right" w:pos="7200"/>
              </w:tabs>
              <w:ind w:left="132" w:hanging="132"/>
              <w:jc w:val="right"/>
              <w:rPr>
                <w:rFonts w:ascii="Arial" w:hAnsi="Arial" w:cs="Arial"/>
                <w:b/>
                <w:snapToGrid w:val="0"/>
                <w:color w:val="000000"/>
                <w:sz w:val="24"/>
                <w:highlight w:val="yellow"/>
              </w:rPr>
            </w:pPr>
          </w:p>
        </w:tc>
        <w:tc>
          <w:tcPr>
            <w:tcW w:w="953" w:type="pct"/>
          </w:tcPr>
          <w:p w:rsidR="00340D79" w:rsidRPr="003D2F7A" w:rsidRDefault="00340D79" w:rsidP="005C73D7">
            <w:pPr>
              <w:widowControl w:val="0"/>
              <w:tabs>
                <w:tab w:val="right" w:pos="7200"/>
              </w:tabs>
              <w:ind w:left="132" w:hanging="132"/>
              <w:jc w:val="right"/>
              <w:rPr>
                <w:rFonts w:ascii="Arial" w:hAnsi="Arial" w:cs="Arial"/>
                <w:b/>
                <w:snapToGrid w:val="0"/>
                <w:color w:val="000000"/>
                <w:sz w:val="24"/>
                <w:highlight w:val="yellow"/>
              </w:rPr>
            </w:pPr>
          </w:p>
        </w:tc>
        <w:tc>
          <w:tcPr>
            <w:tcW w:w="953" w:type="pct"/>
          </w:tcPr>
          <w:p w:rsidR="00340D79" w:rsidRPr="003D2F7A" w:rsidRDefault="00340D79" w:rsidP="005C73D7">
            <w:pPr>
              <w:widowControl w:val="0"/>
              <w:tabs>
                <w:tab w:val="right" w:pos="7200"/>
              </w:tabs>
              <w:ind w:left="132" w:hanging="132"/>
              <w:jc w:val="right"/>
              <w:rPr>
                <w:rFonts w:ascii="Arial" w:hAnsi="Arial" w:cs="Arial"/>
                <w:b/>
                <w:snapToGrid w:val="0"/>
                <w:color w:val="000000"/>
                <w:sz w:val="24"/>
                <w:highlight w:val="yellow"/>
              </w:rPr>
            </w:pPr>
          </w:p>
        </w:tc>
      </w:tr>
      <w:tr w:rsidR="00626E31" w:rsidRPr="003D2F7A" w:rsidTr="00626E31">
        <w:tc>
          <w:tcPr>
            <w:tcW w:w="1584" w:type="pct"/>
          </w:tcPr>
          <w:p w:rsidR="00626E31" w:rsidRPr="00741332" w:rsidRDefault="00626E31" w:rsidP="005C73D7">
            <w:pPr>
              <w:widowControl w:val="0"/>
              <w:tabs>
                <w:tab w:val="right" w:pos="7200"/>
              </w:tabs>
              <w:ind w:left="132" w:hanging="132"/>
              <w:rPr>
                <w:rFonts w:ascii="Arial" w:hAnsi="Arial" w:cs="Arial"/>
                <w:b/>
                <w:snapToGrid w:val="0"/>
                <w:color w:val="000000"/>
                <w:sz w:val="24"/>
              </w:rPr>
            </w:pPr>
            <w:r w:rsidRPr="00741332">
              <w:rPr>
                <w:rFonts w:ascii="Arial" w:hAnsi="Arial" w:cs="Arial"/>
                <w:b/>
                <w:snapToGrid w:val="0"/>
                <w:color w:val="000000"/>
                <w:sz w:val="24"/>
              </w:rPr>
              <w:t>Total change in assets available</w:t>
            </w:r>
          </w:p>
        </w:tc>
        <w:tc>
          <w:tcPr>
            <w:tcW w:w="1510" w:type="pct"/>
          </w:tcPr>
          <w:p w:rsidR="00626E31" w:rsidRPr="00741332" w:rsidRDefault="00610FED" w:rsidP="005C73D7">
            <w:pPr>
              <w:widowControl w:val="0"/>
              <w:tabs>
                <w:tab w:val="right" w:pos="7200"/>
              </w:tabs>
              <w:ind w:left="132" w:hanging="132"/>
              <w:jc w:val="right"/>
              <w:rPr>
                <w:rFonts w:ascii="Arial" w:hAnsi="Arial" w:cs="Arial"/>
                <w:b/>
                <w:snapToGrid w:val="0"/>
                <w:color w:val="000000"/>
                <w:sz w:val="24"/>
              </w:rPr>
            </w:pPr>
            <w:r w:rsidRPr="00741332">
              <w:rPr>
                <w:rFonts w:ascii="Arial" w:hAnsi="Arial" w:cs="Arial"/>
                <w:b/>
                <w:snapToGrid w:val="0"/>
                <w:color w:val="000000"/>
                <w:sz w:val="24"/>
              </w:rPr>
              <w:t>245,635</w:t>
            </w:r>
          </w:p>
        </w:tc>
        <w:tc>
          <w:tcPr>
            <w:tcW w:w="953" w:type="pct"/>
          </w:tcPr>
          <w:p w:rsidR="00626E31" w:rsidRPr="00741332" w:rsidRDefault="004C6776" w:rsidP="005C73D7">
            <w:pPr>
              <w:widowControl w:val="0"/>
              <w:tabs>
                <w:tab w:val="right" w:pos="7200"/>
              </w:tabs>
              <w:ind w:left="132" w:hanging="132"/>
              <w:jc w:val="right"/>
              <w:rPr>
                <w:rFonts w:ascii="Arial" w:hAnsi="Arial" w:cs="Arial"/>
                <w:b/>
                <w:snapToGrid w:val="0"/>
                <w:color w:val="000000"/>
                <w:sz w:val="24"/>
              </w:rPr>
            </w:pPr>
            <w:r w:rsidRPr="00741332">
              <w:rPr>
                <w:rFonts w:ascii="Arial" w:hAnsi="Arial" w:cs="Arial"/>
                <w:b/>
                <w:snapToGrid w:val="0"/>
                <w:color w:val="000000"/>
                <w:sz w:val="24"/>
              </w:rPr>
              <w:t>267,742</w:t>
            </w:r>
          </w:p>
        </w:tc>
        <w:tc>
          <w:tcPr>
            <w:tcW w:w="953" w:type="pct"/>
          </w:tcPr>
          <w:p w:rsidR="00626E31" w:rsidRPr="00741332" w:rsidRDefault="000977BC" w:rsidP="005C73D7">
            <w:pPr>
              <w:widowControl w:val="0"/>
              <w:tabs>
                <w:tab w:val="right" w:pos="7200"/>
              </w:tabs>
              <w:ind w:left="132" w:hanging="132"/>
              <w:jc w:val="right"/>
              <w:rPr>
                <w:rFonts w:ascii="Arial" w:hAnsi="Arial" w:cs="Arial"/>
                <w:b/>
                <w:snapToGrid w:val="0"/>
                <w:color w:val="000000"/>
                <w:sz w:val="24"/>
              </w:rPr>
            </w:pPr>
            <w:r>
              <w:rPr>
                <w:rFonts w:ascii="Arial" w:hAnsi="Arial" w:cs="Arial"/>
                <w:b/>
                <w:snapToGrid w:val="0"/>
                <w:color w:val="000000"/>
                <w:sz w:val="24"/>
              </w:rPr>
              <w:t>223,528</w:t>
            </w:r>
          </w:p>
        </w:tc>
      </w:tr>
    </w:tbl>
    <w:p w:rsidR="00626E31" w:rsidRDefault="00626E31" w:rsidP="00403691">
      <w:pPr>
        <w:widowControl w:val="0"/>
        <w:tabs>
          <w:tab w:val="right" w:pos="7200"/>
        </w:tabs>
        <w:rPr>
          <w:rFonts w:ascii="Arial" w:hAnsi="Arial" w:cs="Arial"/>
          <w:snapToGrid w:val="0"/>
          <w:color w:val="000000"/>
          <w:sz w:val="24"/>
          <w:highlight w:val="yellow"/>
        </w:rPr>
      </w:pPr>
    </w:p>
    <w:p w:rsidR="00741332" w:rsidRPr="00B43E0B" w:rsidRDefault="00741332" w:rsidP="00403691">
      <w:pPr>
        <w:widowControl w:val="0"/>
        <w:tabs>
          <w:tab w:val="right" w:pos="7200"/>
        </w:tabs>
        <w:rPr>
          <w:rFonts w:ascii="Arial" w:hAnsi="Arial" w:cs="Arial"/>
          <w:snapToGrid w:val="0"/>
          <w:color w:val="000000"/>
          <w:sz w:val="24"/>
        </w:rPr>
      </w:pPr>
    </w:p>
    <w:p w:rsidR="00A55857" w:rsidRPr="00B43E0B" w:rsidRDefault="00A55857" w:rsidP="00A55857">
      <w:pPr>
        <w:widowControl w:val="0"/>
        <w:tabs>
          <w:tab w:val="left" w:pos="600"/>
          <w:tab w:val="right" w:pos="3060"/>
          <w:tab w:val="right" w:pos="4150"/>
        </w:tabs>
        <w:rPr>
          <w:rFonts w:ascii="Arial" w:hAnsi="Arial" w:cs="Arial"/>
          <w:b/>
          <w:sz w:val="24"/>
          <w:szCs w:val="24"/>
        </w:rPr>
      </w:pPr>
      <w:r w:rsidRPr="00B43E0B">
        <w:rPr>
          <w:rFonts w:ascii="Arial" w:hAnsi="Arial" w:cs="Arial"/>
          <w:b/>
          <w:sz w:val="24"/>
          <w:szCs w:val="24"/>
        </w:rPr>
        <w:t>b)</w:t>
      </w:r>
      <w:r w:rsidRPr="00B43E0B">
        <w:rPr>
          <w:rFonts w:ascii="Arial" w:hAnsi="Arial" w:cs="Arial"/>
          <w:b/>
          <w:sz w:val="24"/>
          <w:szCs w:val="24"/>
        </w:rPr>
        <w:tab/>
        <w:t>Credit risk</w:t>
      </w:r>
    </w:p>
    <w:p w:rsidR="00A55857" w:rsidRPr="00B43E0B" w:rsidRDefault="00A55857" w:rsidP="00A55857">
      <w:pPr>
        <w:widowControl w:val="0"/>
        <w:tabs>
          <w:tab w:val="left" w:pos="180"/>
          <w:tab w:val="right" w:pos="3060"/>
          <w:tab w:val="right" w:pos="4150"/>
        </w:tabs>
        <w:rPr>
          <w:rFonts w:ascii="Arial" w:hAnsi="Arial" w:cs="Arial"/>
          <w:snapToGrid w:val="0"/>
          <w:color w:val="000000"/>
          <w:sz w:val="24"/>
        </w:rPr>
      </w:pPr>
    </w:p>
    <w:p w:rsidR="00376D0A" w:rsidRPr="00B43E0B" w:rsidRDefault="0009064E" w:rsidP="00A55857">
      <w:pPr>
        <w:widowControl w:val="0"/>
        <w:tabs>
          <w:tab w:val="right" w:pos="7200"/>
        </w:tabs>
        <w:rPr>
          <w:rFonts w:ascii="Arial" w:hAnsi="Arial" w:cs="Arial"/>
          <w:snapToGrid w:val="0"/>
          <w:color w:val="000000"/>
          <w:sz w:val="24"/>
        </w:rPr>
      </w:pPr>
      <w:r w:rsidRPr="00B43E0B">
        <w:rPr>
          <w:rFonts w:ascii="Arial" w:hAnsi="Arial" w:cs="Arial"/>
          <w:snapToGrid w:val="0"/>
          <w:color w:val="000000"/>
          <w:sz w:val="24"/>
        </w:rPr>
        <w:t>Credit</w:t>
      </w:r>
      <w:r w:rsidR="00A55857" w:rsidRPr="00B43E0B">
        <w:rPr>
          <w:rFonts w:ascii="Arial" w:hAnsi="Arial" w:cs="Arial"/>
          <w:snapToGrid w:val="0"/>
          <w:color w:val="000000"/>
          <w:sz w:val="24"/>
        </w:rPr>
        <w:t xml:space="preserve"> risk</w:t>
      </w:r>
      <w:r w:rsidRPr="00B43E0B">
        <w:rPr>
          <w:rFonts w:ascii="Arial" w:hAnsi="Arial" w:cs="Arial"/>
          <w:snapToGrid w:val="0"/>
          <w:color w:val="000000"/>
          <w:sz w:val="24"/>
        </w:rPr>
        <w:t xml:space="preserve"> represents the risk that the counterparty to a transaction or a financial instrument will fail to discharge an obligation and cause the Fund to incur a financial loss. The market values of investments generally reflect an assessment of credit in their pricing and consequently the risk of loss is implicitly provided for in the carrying value of the Fund’s financial assets and liabilities.</w:t>
      </w:r>
    </w:p>
    <w:p w:rsidR="0009064E" w:rsidRPr="00B43E0B" w:rsidRDefault="0009064E" w:rsidP="00A55857">
      <w:pPr>
        <w:widowControl w:val="0"/>
        <w:tabs>
          <w:tab w:val="right" w:pos="7200"/>
        </w:tabs>
        <w:rPr>
          <w:rFonts w:ascii="Arial" w:hAnsi="Arial" w:cs="Arial"/>
          <w:snapToGrid w:val="0"/>
          <w:color w:val="000000"/>
          <w:sz w:val="24"/>
        </w:rPr>
      </w:pPr>
    </w:p>
    <w:p w:rsidR="00B43E0B" w:rsidRDefault="00B43E0B">
      <w:pPr>
        <w:rPr>
          <w:rFonts w:ascii="Arial" w:hAnsi="Arial" w:cs="Arial"/>
          <w:snapToGrid w:val="0"/>
          <w:color w:val="000000"/>
          <w:sz w:val="24"/>
        </w:rPr>
      </w:pPr>
      <w:r>
        <w:rPr>
          <w:rFonts w:ascii="Arial" w:hAnsi="Arial" w:cs="Arial"/>
          <w:snapToGrid w:val="0"/>
          <w:color w:val="000000"/>
          <w:sz w:val="24"/>
        </w:rPr>
        <w:br w:type="page"/>
      </w:r>
    </w:p>
    <w:p w:rsidR="0009064E" w:rsidRPr="00B43E0B" w:rsidRDefault="0009064E" w:rsidP="00A55857">
      <w:pPr>
        <w:widowControl w:val="0"/>
        <w:tabs>
          <w:tab w:val="right" w:pos="7200"/>
        </w:tabs>
        <w:rPr>
          <w:rFonts w:ascii="Arial" w:hAnsi="Arial" w:cs="Arial"/>
          <w:snapToGrid w:val="0"/>
          <w:color w:val="000000"/>
          <w:sz w:val="24"/>
        </w:rPr>
      </w:pPr>
      <w:r w:rsidRPr="00B43E0B">
        <w:rPr>
          <w:rFonts w:ascii="Arial" w:hAnsi="Arial" w:cs="Arial"/>
          <w:snapToGrid w:val="0"/>
          <w:color w:val="000000"/>
          <w:sz w:val="24"/>
        </w:rPr>
        <w:lastRenderedPageBreak/>
        <w:t xml:space="preserve">In essence, the Fund’s entire investment portfolio is exposed to some form </w:t>
      </w:r>
      <w:r w:rsidR="00B43E0B">
        <w:rPr>
          <w:rFonts w:ascii="Arial" w:hAnsi="Arial" w:cs="Arial"/>
          <w:snapToGrid w:val="0"/>
          <w:color w:val="000000"/>
          <w:sz w:val="24"/>
        </w:rPr>
        <w:t>of credit risk</w:t>
      </w:r>
      <w:r w:rsidR="00B35801">
        <w:rPr>
          <w:rFonts w:ascii="Arial" w:hAnsi="Arial" w:cs="Arial"/>
          <w:snapToGrid w:val="0"/>
          <w:color w:val="000000"/>
          <w:sz w:val="24"/>
        </w:rPr>
        <w:t>.</w:t>
      </w:r>
      <w:r w:rsidRPr="00B43E0B">
        <w:rPr>
          <w:rFonts w:ascii="Arial" w:hAnsi="Arial" w:cs="Arial"/>
          <w:snapToGrid w:val="0"/>
          <w:color w:val="000000"/>
          <w:sz w:val="24"/>
        </w:rPr>
        <w:t xml:space="preserve"> However, the selection of high quality counterparties, brokers and financial institutions minimises credit risk that may occur through the failure to settle a transaction in a timely manner.</w:t>
      </w:r>
    </w:p>
    <w:p w:rsidR="00C0168C" w:rsidRPr="006C4391" w:rsidRDefault="00C0168C" w:rsidP="00A55857">
      <w:pPr>
        <w:widowControl w:val="0"/>
        <w:tabs>
          <w:tab w:val="right" w:pos="7200"/>
        </w:tabs>
        <w:rPr>
          <w:rFonts w:ascii="Arial" w:hAnsi="Arial" w:cs="Arial"/>
          <w:snapToGrid w:val="0"/>
          <w:color w:val="000000"/>
          <w:sz w:val="24"/>
        </w:rPr>
      </w:pPr>
    </w:p>
    <w:p w:rsidR="00A95034" w:rsidRPr="006C4391" w:rsidRDefault="00030E31" w:rsidP="00A55857">
      <w:pPr>
        <w:widowControl w:val="0"/>
        <w:tabs>
          <w:tab w:val="right" w:pos="7200"/>
        </w:tabs>
        <w:rPr>
          <w:rFonts w:ascii="Arial" w:hAnsi="Arial" w:cs="Arial"/>
          <w:snapToGrid w:val="0"/>
          <w:color w:val="000000"/>
          <w:sz w:val="24"/>
        </w:rPr>
      </w:pPr>
      <w:r w:rsidRPr="006C4391">
        <w:rPr>
          <w:rFonts w:ascii="Arial" w:hAnsi="Arial" w:cs="Arial"/>
          <w:snapToGrid w:val="0"/>
          <w:color w:val="000000"/>
          <w:sz w:val="24"/>
        </w:rPr>
        <w:t xml:space="preserve">The </w:t>
      </w:r>
      <w:r w:rsidR="00C4216C" w:rsidRPr="006C4391">
        <w:rPr>
          <w:rFonts w:ascii="Arial" w:hAnsi="Arial" w:cs="Arial"/>
          <w:snapToGrid w:val="0"/>
          <w:color w:val="000000"/>
          <w:sz w:val="24"/>
        </w:rPr>
        <w:t>Pension Fund</w:t>
      </w:r>
      <w:r w:rsidR="0089163B" w:rsidRPr="006C4391">
        <w:rPr>
          <w:rFonts w:ascii="Arial" w:hAnsi="Arial" w:cs="Arial"/>
          <w:snapToGrid w:val="0"/>
          <w:color w:val="000000"/>
          <w:sz w:val="24"/>
        </w:rPr>
        <w:t>’s</w:t>
      </w:r>
      <w:r w:rsidR="00CF5270" w:rsidRPr="006C4391">
        <w:rPr>
          <w:rFonts w:ascii="Arial" w:hAnsi="Arial" w:cs="Arial"/>
          <w:snapToGrid w:val="0"/>
          <w:color w:val="000000"/>
          <w:sz w:val="24"/>
        </w:rPr>
        <w:t xml:space="preserve"> cash balance is held </w:t>
      </w:r>
      <w:r w:rsidR="00B97AC8" w:rsidRPr="006C4391">
        <w:rPr>
          <w:rFonts w:ascii="Arial" w:hAnsi="Arial" w:cs="Arial"/>
          <w:snapToGrid w:val="0"/>
          <w:color w:val="000000"/>
          <w:sz w:val="24"/>
        </w:rPr>
        <w:t xml:space="preserve">in an interest bearing instant access </w:t>
      </w:r>
      <w:r w:rsidR="00E62F3C">
        <w:rPr>
          <w:rFonts w:ascii="Arial" w:hAnsi="Arial" w:cs="Arial"/>
          <w:snapToGrid w:val="0"/>
          <w:color w:val="000000"/>
          <w:sz w:val="24"/>
        </w:rPr>
        <w:t xml:space="preserve">deposit </w:t>
      </w:r>
      <w:r w:rsidR="00B97AC8" w:rsidRPr="006C4391">
        <w:rPr>
          <w:rFonts w:ascii="Arial" w:hAnsi="Arial" w:cs="Arial"/>
          <w:snapToGrid w:val="0"/>
          <w:color w:val="000000"/>
          <w:sz w:val="24"/>
        </w:rPr>
        <w:t xml:space="preserve">account with NatWest plc, </w:t>
      </w:r>
      <w:r w:rsidR="00CB6432" w:rsidRPr="006C4391">
        <w:rPr>
          <w:rFonts w:ascii="Arial" w:hAnsi="Arial" w:cs="Arial"/>
          <w:snapToGrid w:val="0"/>
          <w:color w:val="000000"/>
          <w:sz w:val="24"/>
        </w:rPr>
        <w:t>which is rated independently and meets Brent Council’s credit criteria.</w:t>
      </w:r>
      <w:r w:rsidR="00C61B21" w:rsidRPr="006C4391">
        <w:rPr>
          <w:rFonts w:ascii="Arial" w:hAnsi="Arial" w:cs="Arial"/>
          <w:snapToGrid w:val="0"/>
          <w:color w:val="000000"/>
          <w:sz w:val="24"/>
        </w:rPr>
        <w:t xml:space="preserve"> Given th</w:t>
      </w:r>
      <w:r w:rsidR="00BE552A" w:rsidRPr="006C4391">
        <w:rPr>
          <w:rFonts w:ascii="Arial" w:hAnsi="Arial" w:cs="Arial"/>
          <w:snapToGrid w:val="0"/>
          <w:color w:val="000000"/>
          <w:sz w:val="24"/>
        </w:rPr>
        <w:t>e relatively low level of cash held by t</w:t>
      </w:r>
      <w:r w:rsidR="00C61B21" w:rsidRPr="006C4391">
        <w:rPr>
          <w:rFonts w:ascii="Arial" w:hAnsi="Arial" w:cs="Arial"/>
          <w:snapToGrid w:val="0"/>
          <w:color w:val="000000"/>
          <w:sz w:val="24"/>
        </w:rPr>
        <w:t>he Pension Fund</w:t>
      </w:r>
      <w:r w:rsidR="00BE552A" w:rsidRPr="006C4391">
        <w:rPr>
          <w:rFonts w:ascii="Arial" w:hAnsi="Arial" w:cs="Arial"/>
          <w:snapToGrid w:val="0"/>
          <w:color w:val="000000"/>
          <w:sz w:val="24"/>
        </w:rPr>
        <w:t xml:space="preserve"> at any one time, </w:t>
      </w:r>
      <w:r w:rsidR="00DB5BEE" w:rsidRPr="006C4391">
        <w:rPr>
          <w:rFonts w:ascii="Arial" w:hAnsi="Arial" w:cs="Arial"/>
          <w:snapToGrid w:val="0"/>
          <w:color w:val="000000"/>
          <w:sz w:val="24"/>
        </w:rPr>
        <w:t xml:space="preserve">it is not considered necessary </w:t>
      </w:r>
      <w:r w:rsidR="00A95034" w:rsidRPr="006C4391">
        <w:rPr>
          <w:rFonts w:ascii="Arial" w:hAnsi="Arial" w:cs="Arial"/>
          <w:snapToGrid w:val="0"/>
          <w:color w:val="000000"/>
          <w:sz w:val="24"/>
        </w:rPr>
        <w:t>to place deposits with other banks and financial institutions to provide diversification.</w:t>
      </w:r>
    </w:p>
    <w:p w:rsidR="00030E31" w:rsidRPr="00E62F3C" w:rsidRDefault="00030E31" w:rsidP="00A55857">
      <w:pPr>
        <w:widowControl w:val="0"/>
        <w:tabs>
          <w:tab w:val="right" w:pos="7200"/>
        </w:tabs>
        <w:rPr>
          <w:rFonts w:ascii="Arial" w:hAnsi="Arial" w:cs="Arial"/>
          <w:snapToGrid w:val="0"/>
          <w:color w:val="000000"/>
          <w:sz w:val="24"/>
        </w:rPr>
      </w:pPr>
    </w:p>
    <w:p w:rsidR="00B945F9" w:rsidRPr="003D2F7A" w:rsidRDefault="003C695B" w:rsidP="00A55857">
      <w:pPr>
        <w:widowControl w:val="0"/>
        <w:tabs>
          <w:tab w:val="right" w:pos="7200"/>
        </w:tabs>
        <w:rPr>
          <w:rFonts w:ascii="Arial" w:hAnsi="Arial" w:cs="Arial"/>
          <w:snapToGrid w:val="0"/>
          <w:color w:val="000000"/>
          <w:sz w:val="24"/>
          <w:highlight w:val="yellow"/>
        </w:rPr>
      </w:pPr>
      <w:r w:rsidRPr="00E62F3C">
        <w:rPr>
          <w:rFonts w:ascii="Arial" w:hAnsi="Arial" w:cs="Arial"/>
          <w:snapToGrid w:val="0"/>
          <w:color w:val="000000"/>
          <w:sz w:val="24"/>
        </w:rPr>
        <w:t xml:space="preserve">The </w:t>
      </w:r>
      <w:r w:rsidR="00C4216C" w:rsidRPr="00E62F3C">
        <w:rPr>
          <w:rFonts w:ascii="Arial" w:hAnsi="Arial" w:cs="Arial"/>
          <w:snapToGrid w:val="0"/>
          <w:color w:val="000000"/>
          <w:sz w:val="24"/>
        </w:rPr>
        <w:t>Pension Fund</w:t>
      </w:r>
      <w:r w:rsidRPr="00E62F3C">
        <w:rPr>
          <w:rFonts w:ascii="Arial" w:hAnsi="Arial" w:cs="Arial"/>
          <w:snapToGrid w:val="0"/>
          <w:color w:val="000000"/>
          <w:sz w:val="24"/>
        </w:rPr>
        <w:t xml:space="preserve"> believes it has managed its exposure to credit risk, and has had no experience of default or uncollectable de</w:t>
      </w:r>
      <w:r w:rsidR="00D6575B" w:rsidRPr="00E62F3C">
        <w:rPr>
          <w:rFonts w:ascii="Arial" w:hAnsi="Arial" w:cs="Arial"/>
          <w:snapToGrid w:val="0"/>
          <w:color w:val="000000"/>
          <w:sz w:val="24"/>
        </w:rPr>
        <w:t>posits</w:t>
      </w:r>
      <w:r w:rsidR="00A946C8" w:rsidRPr="00E62F3C">
        <w:rPr>
          <w:rFonts w:ascii="Arial" w:hAnsi="Arial" w:cs="Arial"/>
          <w:snapToGrid w:val="0"/>
          <w:color w:val="000000"/>
          <w:sz w:val="24"/>
        </w:rPr>
        <w:t xml:space="preserve"> over the past five financial years</w:t>
      </w:r>
      <w:r w:rsidR="00D6575B" w:rsidRPr="00E62F3C">
        <w:rPr>
          <w:rFonts w:ascii="Arial" w:hAnsi="Arial" w:cs="Arial"/>
          <w:snapToGrid w:val="0"/>
          <w:color w:val="000000"/>
          <w:sz w:val="24"/>
        </w:rPr>
        <w:t>. The Fund’s cash holding under its trea</w:t>
      </w:r>
      <w:r w:rsidR="00C9679F" w:rsidRPr="00E62F3C">
        <w:rPr>
          <w:rFonts w:ascii="Arial" w:hAnsi="Arial" w:cs="Arial"/>
          <w:snapToGrid w:val="0"/>
          <w:color w:val="000000"/>
          <w:sz w:val="24"/>
        </w:rPr>
        <w:t>sury management arrangements at</w:t>
      </w:r>
      <w:r w:rsidR="00A946C8" w:rsidRPr="00E62F3C">
        <w:rPr>
          <w:rFonts w:ascii="Arial" w:hAnsi="Arial" w:cs="Arial"/>
          <w:snapToGrid w:val="0"/>
          <w:color w:val="000000"/>
          <w:sz w:val="24"/>
        </w:rPr>
        <w:t xml:space="preserve"> </w:t>
      </w:r>
      <w:r w:rsidR="00D6575B" w:rsidRPr="00E62F3C">
        <w:rPr>
          <w:rFonts w:ascii="Arial" w:hAnsi="Arial" w:cs="Arial"/>
          <w:snapToGrid w:val="0"/>
          <w:color w:val="000000"/>
          <w:sz w:val="24"/>
        </w:rPr>
        <w:t>31 March 201</w:t>
      </w:r>
      <w:r w:rsidR="00A946C8" w:rsidRPr="00E62F3C">
        <w:rPr>
          <w:rFonts w:ascii="Arial" w:hAnsi="Arial" w:cs="Arial"/>
          <w:snapToGrid w:val="0"/>
          <w:color w:val="000000"/>
          <w:sz w:val="24"/>
        </w:rPr>
        <w:t>3</w:t>
      </w:r>
      <w:r w:rsidR="00D6575B" w:rsidRPr="00E62F3C">
        <w:rPr>
          <w:rFonts w:ascii="Arial" w:hAnsi="Arial" w:cs="Arial"/>
          <w:snapToGrid w:val="0"/>
          <w:color w:val="000000"/>
          <w:sz w:val="24"/>
        </w:rPr>
        <w:t xml:space="preserve"> </w:t>
      </w:r>
      <w:r w:rsidR="00D6575B" w:rsidRPr="000E788D">
        <w:rPr>
          <w:rFonts w:ascii="Arial" w:hAnsi="Arial" w:cs="Arial"/>
          <w:snapToGrid w:val="0"/>
          <w:color w:val="000000"/>
          <w:sz w:val="24"/>
        </w:rPr>
        <w:t>was £</w:t>
      </w:r>
      <w:r w:rsidR="000E788D" w:rsidRPr="000E788D">
        <w:rPr>
          <w:rFonts w:ascii="Arial" w:hAnsi="Arial" w:cs="Arial"/>
          <w:snapToGrid w:val="0"/>
          <w:color w:val="000000"/>
          <w:sz w:val="24"/>
        </w:rPr>
        <w:t>5.534</w:t>
      </w:r>
      <w:r w:rsidR="00C9679F" w:rsidRPr="000E788D">
        <w:rPr>
          <w:rFonts w:ascii="Arial" w:hAnsi="Arial" w:cs="Arial"/>
          <w:snapToGrid w:val="0"/>
          <w:color w:val="000000"/>
          <w:sz w:val="24"/>
        </w:rPr>
        <w:t>m</w:t>
      </w:r>
      <w:r w:rsidR="00C9679F" w:rsidRPr="000F5438">
        <w:rPr>
          <w:rFonts w:ascii="Arial" w:hAnsi="Arial" w:cs="Arial"/>
          <w:snapToGrid w:val="0"/>
          <w:color w:val="000000"/>
          <w:sz w:val="24"/>
        </w:rPr>
        <w:t xml:space="preserve"> </w:t>
      </w:r>
      <w:r w:rsidR="00C9679F" w:rsidRPr="00E62F3C">
        <w:rPr>
          <w:rFonts w:ascii="Arial" w:hAnsi="Arial" w:cs="Arial"/>
          <w:snapToGrid w:val="0"/>
          <w:color w:val="000000"/>
          <w:sz w:val="24"/>
        </w:rPr>
        <w:t>(31 March 201</w:t>
      </w:r>
      <w:r w:rsidR="00662B2E" w:rsidRPr="00E62F3C">
        <w:rPr>
          <w:rFonts w:ascii="Arial" w:hAnsi="Arial" w:cs="Arial"/>
          <w:snapToGrid w:val="0"/>
          <w:color w:val="000000"/>
          <w:sz w:val="24"/>
        </w:rPr>
        <w:t>2</w:t>
      </w:r>
      <w:r w:rsidR="00C9679F" w:rsidRPr="00E62F3C">
        <w:rPr>
          <w:rFonts w:ascii="Arial" w:hAnsi="Arial" w:cs="Arial"/>
          <w:snapToGrid w:val="0"/>
          <w:color w:val="000000"/>
          <w:sz w:val="24"/>
        </w:rPr>
        <w:t>: £</w:t>
      </w:r>
      <w:r w:rsidR="00662B2E" w:rsidRPr="00E62F3C">
        <w:rPr>
          <w:rFonts w:ascii="Arial" w:hAnsi="Arial" w:cs="Arial"/>
          <w:snapToGrid w:val="0"/>
          <w:color w:val="000000"/>
          <w:sz w:val="24"/>
        </w:rPr>
        <w:t>5</w:t>
      </w:r>
      <w:r w:rsidR="00C9679F" w:rsidRPr="00E62F3C">
        <w:rPr>
          <w:rFonts w:ascii="Arial" w:hAnsi="Arial" w:cs="Arial"/>
          <w:snapToGrid w:val="0"/>
          <w:color w:val="000000"/>
          <w:sz w:val="24"/>
        </w:rPr>
        <w:t>.</w:t>
      </w:r>
      <w:r w:rsidR="00616327">
        <w:rPr>
          <w:rFonts w:ascii="Arial" w:hAnsi="Arial" w:cs="Arial"/>
          <w:snapToGrid w:val="0"/>
          <w:color w:val="000000"/>
          <w:sz w:val="24"/>
        </w:rPr>
        <w:t>591</w:t>
      </w:r>
      <w:r w:rsidR="00C9679F" w:rsidRPr="00E62F3C">
        <w:rPr>
          <w:rFonts w:ascii="Arial" w:hAnsi="Arial" w:cs="Arial"/>
          <w:snapToGrid w:val="0"/>
          <w:color w:val="000000"/>
          <w:sz w:val="24"/>
        </w:rPr>
        <w:t>m). This was held with the following institutions:</w:t>
      </w:r>
    </w:p>
    <w:p w:rsidR="00C9679F" w:rsidRPr="003D2F7A" w:rsidRDefault="00C9679F" w:rsidP="00A55857">
      <w:pPr>
        <w:widowControl w:val="0"/>
        <w:tabs>
          <w:tab w:val="right" w:pos="7200"/>
        </w:tabs>
        <w:rPr>
          <w:rFonts w:ascii="Arial" w:hAnsi="Arial" w:cs="Arial"/>
          <w:snapToGrid w:val="0"/>
          <w:color w:val="000000"/>
          <w:sz w:val="24"/>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1456"/>
        <w:gridCol w:w="1554"/>
        <w:gridCol w:w="1554"/>
      </w:tblGrid>
      <w:tr w:rsidR="00C9679F" w:rsidRPr="003D2F7A" w:rsidTr="00730D5D">
        <w:tc>
          <w:tcPr>
            <w:tcW w:w="2201" w:type="pct"/>
          </w:tcPr>
          <w:p w:rsidR="00C9679F" w:rsidRPr="003D2F7A" w:rsidRDefault="00C9679F" w:rsidP="005C73D7">
            <w:pPr>
              <w:widowControl w:val="0"/>
              <w:tabs>
                <w:tab w:val="right" w:pos="7200"/>
              </w:tabs>
              <w:ind w:left="132" w:hanging="132"/>
              <w:rPr>
                <w:rFonts w:ascii="Arial" w:hAnsi="Arial" w:cs="Arial"/>
                <w:b/>
                <w:snapToGrid w:val="0"/>
                <w:color w:val="000000"/>
                <w:sz w:val="24"/>
                <w:highlight w:val="yellow"/>
              </w:rPr>
            </w:pPr>
          </w:p>
        </w:tc>
        <w:tc>
          <w:tcPr>
            <w:tcW w:w="893" w:type="pct"/>
          </w:tcPr>
          <w:p w:rsidR="00C9679F" w:rsidRPr="00A22855" w:rsidRDefault="00B945F9" w:rsidP="005C73D7">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Rating</w:t>
            </w:r>
          </w:p>
        </w:tc>
        <w:tc>
          <w:tcPr>
            <w:tcW w:w="953" w:type="pct"/>
            <w:vMerge w:val="restart"/>
            <w:shd w:val="clear" w:color="auto" w:fill="auto"/>
          </w:tcPr>
          <w:p w:rsidR="00C9679F" w:rsidRPr="00A22855" w:rsidRDefault="00B945F9" w:rsidP="00A22855">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Balances as at 31 March 201</w:t>
            </w:r>
            <w:r w:rsidR="00A22855" w:rsidRPr="00A22855">
              <w:rPr>
                <w:rFonts w:ascii="Arial" w:hAnsi="Arial" w:cs="Arial"/>
                <w:b/>
                <w:snapToGrid w:val="0"/>
                <w:color w:val="000000"/>
                <w:sz w:val="24"/>
              </w:rPr>
              <w:t>2</w:t>
            </w:r>
          </w:p>
        </w:tc>
        <w:tc>
          <w:tcPr>
            <w:tcW w:w="953" w:type="pct"/>
            <w:vMerge w:val="restart"/>
            <w:shd w:val="clear" w:color="auto" w:fill="auto"/>
          </w:tcPr>
          <w:p w:rsidR="00C9679F" w:rsidRPr="00A22855" w:rsidRDefault="00B945F9" w:rsidP="00A22855">
            <w:pPr>
              <w:widowControl w:val="0"/>
              <w:tabs>
                <w:tab w:val="right" w:pos="7200"/>
              </w:tabs>
              <w:ind w:left="132" w:hanging="132"/>
              <w:jc w:val="right"/>
              <w:rPr>
                <w:rFonts w:ascii="Arial" w:hAnsi="Arial" w:cs="Arial"/>
                <w:b/>
                <w:snapToGrid w:val="0"/>
                <w:color w:val="000000"/>
                <w:sz w:val="24"/>
              </w:rPr>
            </w:pPr>
            <w:r w:rsidRPr="00A22855">
              <w:rPr>
                <w:rFonts w:ascii="Arial" w:hAnsi="Arial" w:cs="Arial"/>
                <w:b/>
                <w:snapToGrid w:val="0"/>
                <w:color w:val="000000"/>
                <w:sz w:val="24"/>
              </w:rPr>
              <w:t>Balances as at 31 March 201</w:t>
            </w:r>
            <w:r w:rsidR="00A22855" w:rsidRPr="00A22855">
              <w:rPr>
                <w:rFonts w:ascii="Arial" w:hAnsi="Arial" w:cs="Arial"/>
                <w:b/>
                <w:snapToGrid w:val="0"/>
                <w:color w:val="000000"/>
                <w:sz w:val="24"/>
              </w:rPr>
              <w:t>3</w:t>
            </w:r>
          </w:p>
        </w:tc>
      </w:tr>
      <w:tr w:rsidR="00C9679F" w:rsidRPr="003D2F7A" w:rsidTr="00730D5D">
        <w:tc>
          <w:tcPr>
            <w:tcW w:w="2201" w:type="pct"/>
          </w:tcPr>
          <w:p w:rsidR="00C9679F" w:rsidRPr="003D2F7A" w:rsidRDefault="00C9679F" w:rsidP="005C73D7">
            <w:pPr>
              <w:widowControl w:val="0"/>
              <w:tabs>
                <w:tab w:val="right" w:pos="7200"/>
              </w:tabs>
              <w:ind w:left="132" w:hanging="132"/>
              <w:rPr>
                <w:rFonts w:ascii="Arial" w:hAnsi="Arial" w:cs="Arial"/>
                <w:snapToGrid w:val="0"/>
                <w:color w:val="000000"/>
                <w:sz w:val="24"/>
                <w:highlight w:val="yellow"/>
              </w:rPr>
            </w:pPr>
          </w:p>
        </w:tc>
        <w:tc>
          <w:tcPr>
            <w:tcW w:w="893" w:type="pct"/>
          </w:tcPr>
          <w:p w:rsidR="00C9679F" w:rsidRPr="00A22855" w:rsidRDefault="00C9679F" w:rsidP="005C73D7">
            <w:pPr>
              <w:widowControl w:val="0"/>
              <w:tabs>
                <w:tab w:val="right" w:pos="7200"/>
              </w:tabs>
              <w:ind w:left="132" w:hanging="132"/>
              <w:jc w:val="right"/>
              <w:rPr>
                <w:rFonts w:ascii="Arial" w:hAnsi="Arial" w:cs="Arial"/>
                <w:b/>
                <w:snapToGrid w:val="0"/>
                <w:color w:val="000000"/>
                <w:sz w:val="24"/>
              </w:rPr>
            </w:pPr>
          </w:p>
        </w:tc>
        <w:tc>
          <w:tcPr>
            <w:tcW w:w="953" w:type="pct"/>
            <w:vMerge/>
            <w:shd w:val="clear" w:color="auto" w:fill="auto"/>
          </w:tcPr>
          <w:p w:rsidR="00C9679F" w:rsidRPr="00A22855" w:rsidRDefault="00C9679F" w:rsidP="005C73D7">
            <w:pPr>
              <w:widowControl w:val="0"/>
              <w:tabs>
                <w:tab w:val="right" w:pos="7200"/>
              </w:tabs>
              <w:ind w:left="132" w:hanging="132"/>
              <w:jc w:val="right"/>
              <w:rPr>
                <w:rFonts w:ascii="Arial" w:hAnsi="Arial" w:cs="Arial"/>
                <w:b/>
                <w:snapToGrid w:val="0"/>
                <w:color w:val="000000"/>
                <w:sz w:val="24"/>
              </w:rPr>
            </w:pPr>
          </w:p>
        </w:tc>
        <w:tc>
          <w:tcPr>
            <w:tcW w:w="953" w:type="pct"/>
            <w:vMerge/>
            <w:shd w:val="clear" w:color="auto" w:fill="auto"/>
          </w:tcPr>
          <w:p w:rsidR="00C9679F" w:rsidRPr="00A22855" w:rsidRDefault="00C9679F" w:rsidP="005C73D7">
            <w:pPr>
              <w:widowControl w:val="0"/>
              <w:tabs>
                <w:tab w:val="right" w:pos="7200"/>
              </w:tabs>
              <w:ind w:left="132" w:hanging="132"/>
              <w:jc w:val="right"/>
              <w:rPr>
                <w:rFonts w:ascii="Arial" w:hAnsi="Arial" w:cs="Arial"/>
                <w:b/>
                <w:snapToGrid w:val="0"/>
                <w:color w:val="000000"/>
                <w:sz w:val="24"/>
              </w:rPr>
            </w:pPr>
          </w:p>
        </w:tc>
      </w:tr>
      <w:tr w:rsidR="00C9679F" w:rsidRPr="00CF59EC" w:rsidTr="00730D5D">
        <w:tc>
          <w:tcPr>
            <w:tcW w:w="2201" w:type="pct"/>
          </w:tcPr>
          <w:p w:rsidR="00C9679F" w:rsidRPr="00CF59EC" w:rsidRDefault="00C9679F" w:rsidP="005C73D7">
            <w:pPr>
              <w:widowControl w:val="0"/>
              <w:tabs>
                <w:tab w:val="right" w:pos="7200"/>
              </w:tabs>
              <w:ind w:left="132" w:hanging="132"/>
              <w:rPr>
                <w:rFonts w:ascii="Arial" w:hAnsi="Arial" w:cs="Arial"/>
                <w:snapToGrid w:val="0"/>
                <w:color w:val="000000"/>
                <w:sz w:val="24"/>
              </w:rPr>
            </w:pPr>
          </w:p>
        </w:tc>
        <w:tc>
          <w:tcPr>
            <w:tcW w:w="893" w:type="pct"/>
          </w:tcPr>
          <w:p w:rsidR="00C9679F" w:rsidRPr="00CF59EC" w:rsidRDefault="00C9679F" w:rsidP="005C73D7">
            <w:pPr>
              <w:widowControl w:val="0"/>
              <w:tabs>
                <w:tab w:val="right" w:pos="7200"/>
              </w:tabs>
              <w:ind w:left="132" w:hanging="132"/>
              <w:jc w:val="right"/>
              <w:rPr>
                <w:rFonts w:ascii="Arial" w:hAnsi="Arial" w:cs="Arial"/>
                <w:b/>
                <w:snapToGrid w:val="0"/>
                <w:color w:val="000000"/>
                <w:sz w:val="24"/>
              </w:rPr>
            </w:pPr>
          </w:p>
        </w:tc>
        <w:tc>
          <w:tcPr>
            <w:tcW w:w="953" w:type="pct"/>
          </w:tcPr>
          <w:p w:rsidR="00C9679F" w:rsidRPr="00CF59EC" w:rsidRDefault="00C9679F" w:rsidP="005C73D7">
            <w:pPr>
              <w:widowControl w:val="0"/>
              <w:tabs>
                <w:tab w:val="right" w:pos="7200"/>
              </w:tabs>
              <w:ind w:left="132" w:hanging="132"/>
              <w:jc w:val="right"/>
              <w:rPr>
                <w:rFonts w:ascii="Arial" w:hAnsi="Arial" w:cs="Arial"/>
                <w:b/>
                <w:snapToGrid w:val="0"/>
                <w:color w:val="000000"/>
                <w:sz w:val="24"/>
              </w:rPr>
            </w:pPr>
            <w:r w:rsidRPr="00CF59EC">
              <w:rPr>
                <w:rFonts w:ascii="Arial" w:hAnsi="Arial" w:cs="Arial"/>
                <w:b/>
                <w:snapToGrid w:val="0"/>
                <w:color w:val="000000"/>
                <w:sz w:val="24"/>
              </w:rPr>
              <w:t>£’000</w:t>
            </w:r>
          </w:p>
        </w:tc>
        <w:tc>
          <w:tcPr>
            <w:tcW w:w="953" w:type="pct"/>
          </w:tcPr>
          <w:p w:rsidR="00C9679F" w:rsidRPr="00CF59EC" w:rsidRDefault="00C9679F" w:rsidP="005C73D7">
            <w:pPr>
              <w:widowControl w:val="0"/>
              <w:tabs>
                <w:tab w:val="right" w:pos="7200"/>
              </w:tabs>
              <w:ind w:left="132" w:hanging="132"/>
              <w:jc w:val="right"/>
              <w:rPr>
                <w:rFonts w:ascii="Arial" w:hAnsi="Arial" w:cs="Arial"/>
                <w:b/>
                <w:snapToGrid w:val="0"/>
                <w:color w:val="000000"/>
                <w:sz w:val="24"/>
              </w:rPr>
            </w:pPr>
            <w:r w:rsidRPr="00CF59EC">
              <w:rPr>
                <w:rFonts w:ascii="Arial" w:hAnsi="Arial" w:cs="Arial"/>
                <w:b/>
                <w:snapToGrid w:val="0"/>
                <w:color w:val="000000"/>
                <w:sz w:val="24"/>
              </w:rPr>
              <w:t>£’000</w:t>
            </w:r>
          </w:p>
        </w:tc>
      </w:tr>
      <w:tr w:rsidR="00C9679F" w:rsidRPr="00CF59EC" w:rsidTr="00730D5D">
        <w:tc>
          <w:tcPr>
            <w:tcW w:w="2201" w:type="pct"/>
          </w:tcPr>
          <w:p w:rsidR="00C9679F" w:rsidRPr="00CF59EC" w:rsidRDefault="00C9679F" w:rsidP="005C73D7">
            <w:pPr>
              <w:widowControl w:val="0"/>
              <w:tabs>
                <w:tab w:val="right" w:pos="7200"/>
              </w:tabs>
              <w:ind w:left="132" w:hanging="132"/>
              <w:rPr>
                <w:rFonts w:ascii="Arial" w:hAnsi="Arial" w:cs="Arial"/>
                <w:snapToGrid w:val="0"/>
                <w:color w:val="000000"/>
              </w:rPr>
            </w:pPr>
          </w:p>
        </w:tc>
        <w:tc>
          <w:tcPr>
            <w:tcW w:w="893" w:type="pct"/>
          </w:tcPr>
          <w:p w:rsidR="00C9679F" w:rsidRPr="00CF59EC" w:rsidRDefault="00C9679F" w:rsidP="005C73D7">
            <w:pPr>
              <w:widowControl w:val="0"/>
              <w:tabs>
                <w:tab w:val="right" w:pos="7200"/>
              </w:tabs>
              <w:ind w:left="132" w:hanging="132"/>
              <w:jc w:val="right"/>
              <w:rPr>
                <w:rFonts w:ascii="Arial" w:hAnsi="Arial" w:cs="Arial"/>
                <w:snapToGrid w:val="0"/>
                <w:color w:val="000000"/>
              </w:rPr>
            </w:pPr>
          </w:p>
        </w:tc>
        <w:tc>
          <w:tcPr>
            <w:tcW w:w="953" w:type="pct"/>
          </w:tcPr>
          <w:p w:rsidR="00C9679F" w:rsidRPr="00CF59EC" w:rsidRDefault="00C9679F" w:rsidP="005C73D7">
            <w:pPr>
              <w:widowControl w:val="0"/>
              <w:tabs>
                <w:tab w:val="right" w:pos="7200"/>
              </w:tabs>
              <w:ind w:left="132" w:hanging="132"/>
              <w:jc w:val="right"/>
              <w:rPr>
                <w:rFonts w:ascii="Arial" w:hAnsi="Arial" w:cs="Arial"/>
                <w:snapToGrid w:val="0"/>
                <w:color w:val="000000"/>
              </w:rPr>
            </w:pPr>
          </w:p>
        </w:tc>
        <w:tc>
          <w:tcPr>
            <w:tcW w:w="953" w:type="pct"/>
          </w:tcPr>
          <w:p w:rsidR="00C9679F" w:rsidRPr="00CF59EC" w:rsidRDefault="00C9679F" w:rsidP="005C73D7">
            <w:pPr>
              <w:widowControl w:val="0"/>
              <w:tabs>
                <w:tab w:val="right" w:pos="7200"/>
              </w:tabs>
              <w:ind w:left="132" w:hanging="132"/>
              <w:jc w:val="right"/>
              <w:rPr>
                <w:rFonts w:ascii="Arial" w:hAnsi="Arial" w:cs="Arial"/>
                <w:snapToGrid w:val="0"/>
                <w:color w:val="000000"/>
              </w:rPr>
            </w:pPr>
          </w:p>
        </w:tc>
      </w:tr>
      <w:tr w:rsidR="004C5C69" w:rsidRPr="00CF59EC" w:rsidTr="00730D5D">
        <w:tc>
          <w:tcPr>
            <w:tcW w:w="2201" w:type="pct"/>
          </w:tcPr>
          <w:p w:rsidR="004C5C69" w:rsidRPr="00CF59EC" w:rsidRDefault="00730D5D" w:rsidP="005C73D7">
            <w:pPr>
              <w:widowControl w:val="0"/>
              <w:tabs>
                <w:tab w:val="right" w:pos="7200"/>
              </w:tabs>
              <w:ind w:left="132" w:hanging="132"/>
              <w:rPr>
                <w:rFonts w:ascii="Arial" w:hAnsi="Arial" w:cs="Arial"/>
                <w:b/>
                <w:snapToGrid w:val="0"/>
                <w:color w:val="000000"/>
                <w:sz w:val="24"/>
              </w:rPr>
            </w:pPr>
            <w:r w:rsidRPr="00CF59EC">
              <w:rPr>
                <w:rFonts w:ascii="Arial" w:hAnsi="Arial" w:cs="Arial"/>
                <w:b/>
                <w:snapToGrid w:val="0"/>
                <w:color w:val="000000"/>
                <w:sz w:val="24"/>
              </w:rPr>
              <w:t>Bank deposit accounts</w:t>
            </w:r>
          </w:p>
        </w:tc>
        <w:tc>
          <w:tcPr>
            <w:tcW w:w="893" w:type="pct"/>
          </w:tcPr>
          <w:p w:rsidR="004C5C69" w:rsidRPr="00CF59EC" w:rsidRDefault="004C5C69" w:rsidP="005C73D7">
            <w:pPr>
              <w:widowControl w:val="0"/>
              <w:tabs>
                <w:tab w:val="right" w:pos="7200"/>
              </w:tabs>
              <w:ind w:left="132" w:hanging="132"/>
              <w:jc w:val="right"/>
              <w:rPr>
                <w:rFonts w:ascii="Arial" w:hAnsi="Arial" w:cs="Arial"/>
                <w:snapToGrid w:val="0"/>
                <w:color w:val="000000"/>
                <w:sz w:val="24"/>
              </w:rPr>
            </w:pPr>
          </w:p>
        </w:tc>
        <w:tc>
          <w:tcPr>
            <w:tcW w:w="953" w:type="pct"/>
          </w:tcPr>
          <w:p w:rsidR="004C5C69" w:rsidRPr="00CF59EC" w:rsidRDefault="004C5C69" w:rsidP="005C73D7">
            <w:pPr>
              <w:widowControl w:val="0"/>
              <w:tabs>
                <w:tab w:val="right" w:pos="7200"/>
              </w:tabs>
              <w:ind w:left="132" w:hanging="132"/>
              <w:jc w:val="right"/>
              <w:rPr>
                <w:rFonts w:ascii="Arial" w:hAnsi="Arial" w:cs="Arial"/>
                <w:snapToGrid w:val="0"/>
                <w:color w:val="000000"/>
                <w:sz w:val="24"/>
              </w:rPr>
            </w:pPr>
          </w:p>
        </w:tc>
        <w:tc>
          <w:tcPr>
            <w:tcW w:w="953" w:type="pct"/>
          </w:tcPr>
          <w:p w:rsidR="004C5C69" w:rsidRPr="00CF59EC" w:rsidRDefault="004C5C69" w:rsidP="005C73D7">
            <w:pPr>
              <w:widowControl w:val="0"/>
              <w:tabs>
                <w:tab w:val="right" w:pos="7200"/>
              </w:tabs>
              <w:ind w:left="132" w:hanging="132"/>
              <w:jc w:val="right"/>
              <w:rPr>
                <w:rFonts w:ascii="Arial" w:hAnsi="Arial" w:cs="Arial"/>
                <w:snapToGrid w:val="0"/>
                <w:color w:val="000000"/>
                <w:sz w:val="24"/>
              </w:rPr>
            </w:pPr>
          </w:p>
        </w:tc>
      </w:tr>
      <w:tr w:rsidR="00E323FC" w:rsidRPr="00CF59EC" w:rsidTr="005C73D7">
        <w:tc>
          <w:tcPr>
            <w:tcW w:w="2201" w:type="pct"/>
          </w:tcPr>
          <w:p w:rsidR="00E323FC" w:rsidRPr="00CF59EC" w:rsidRDefault="00E323FC" w:rsidP="005C73D7">
            <w:pPr>
              <w:widowControl w:val="0"/>
              <w:tabs>
                <w:tab w:val="right" w:pos="7200"/>
              </w:tabs>
              <w:ind w:left="132" w:hanging="132"/>
              <w:rPr>
                <w:rFonts w:ascii="Arial" w:hAnsi="Arial" w:cs="Arial"/>
                <w:snapToGrid w:val="0"/>
                <w:color w:val="000000"/>
                <w:sz w:val="24"/>
              </w:rPr>
            </w:pPr>
            <w:r w:rsidRPr="00CF59EC">
              <w:rPr>
                <w:rFonts w:ascii="Arial" w:hAnsi="Arial" w:cs="Arial"/>
                <w:snapToGrid w:val="0"/>
                <w:color w:val="000000"/>
                <w:sz w:val="24"/>
              </w:rPr>
              <w:t xml:space="preserve">NatWest                                          </w:t>
            </w:r>
          </w:p>
        </w:tc>
        <w:tc>
          <w:tcPr>
            <w:tcW w:w="893" w:type="pct"/>
          </w:tcPr>
          <w:p w:rsidR="00E323FC" w:rsidRPr="00CF59EC" w:rsidRDefault="00E323FC" w:rsidP="005C73D7">
            <w:pPr>
              <w:widowControl w:val="0"/>
              <w:tabs>
                <w:tab w:val="right" w:pos="7200"/>
              </w:tabs>
              <w:ind w:left="132" w:hanging="132"/>
              <w:jc w:val="right"/>
              <w:rPr>
                <w:rFonts w:ascii="Arial" w:hAnsi="Arial" w:cs="Arial"/>
                <w:snapToGrid w:val="0"/>
                <w:color w:val="000000"/>
                <w:sz w:val="24"/>
              </w:rPr>
            </w:pPr>
            <w:r w:rsidRPr="00CF59EC">
              <w:rPr>
                <w:rFonts w:ascii="Arial" w:hAnsi="Arial" w:cs="Arial"/>
                <w:snapToGrid w:val="0"/>
                <w:color w:val="000000"/>
                <w:sz w:val="24"/>
              </w:rPr>
              <w:t>A</w:t>
            </w:r>
          </w:p>
        </w:tc>
        <w:tc>
          <w:tcPr>
            <w:tcW w:w="953" w:type="pct"/>
          </w:tcPr>
          <w:p w:rsidR="00E323FC" w:rsidRPr="00CF59EC" w:rsidRDefault="000F5438" w:rsidP="005C73D7">
            <w:pPr>
              <w:widowControl w:val="0"/>
              <w:tabs>
                <w:tab w:val="right" w:pos="7200"/>
              </w:tabs>
              <w:ind w:left="132" w:hanging="132"/>
              <w:jc w:val="right"/>
              <w:rPr>
                <w:rFonts w:ascii="Arial" w:hAnsi="Arial" w:cs="Arial"/>
                <w:snapToGrid w:val="0"/>
                <w:color w:val="000000"/>
                <w:sz w:val="24"/>
              </w:rPr>
            </w:pPr>
            <w:r w:rsidRPr="00CF59EC">
              <w:rPr>
                <w:rFonts w:ascii="Arial" w:hAnsi="Arial" w:cs="Arial"/>
                <w:snapToGrid w:val="0"/>
                <w:color w:val="000000"/>
                <w:sz w:val="24"/>
              </w:rPr>
              <w:t>5,59</w:t>
            </w:r>
            <w:r w:rsidR="00616327">
              <w:rPr>
                <w:rFonts w:ascii="Arial" w:hAnsi="Arial" w:cs="Arial"/>
                <w:snapToGrid w:val="0"/>
                <w:color w:val="000000"/>
                <w:sz w:val="24"/>
              </w:rPr>
              <w:t>1</w:t>
            </w:r>
          </w:p>
        </w:tc>
        <w:tc>
          <w:tcPr>
            <w:tcW w:w="953" w:type="pct"/>
          </w:tcPr>
          <w:p w:rsidR="00E323FC" w:rsidRPr="000E788D" w:rsidRDefault="000E788D" w:rsidP="005C73D7">
            <w:pPr>
              <w:widowControl w:val="0"/>
              <w:tabs>
                <w:tab w:val="right" w:pos="7200"/>
              </w:tabs>
              <w:ind w:left="132" w:hanging="132"/>
              <w:jc w:val="right"/>
              <w:rPr>
                <w:rFonts w:ascii="Arial" w:hAnsi="Arial" w:cs="Arial"/>
                <w:snapToGrid w:val="0"/>
                <w:color w:val="000000"/>
                <w:sz w:val="24"/>
              </w:rPr>
            </w:pPr>
            <w:r w:rsidRPr="000E788D">
              <w:rPr>
                <w:rFonts w:ascii="Arial" w:hAnsi="Arial" w:cs="Arial"/>
                <w:snapToGrid w:val="0"/>
                <w:color w:val="000000"/>
                <w:sz w:val="24"/>
              </w:rPr>
              <w:t>5,534</w:t>
            </w:r>
          </w:p>
        </w:tc>
      </w:tr>
      <w:tr w:rsidR="00C9679F" w:rsidRPr="00CF59EC" w:rsidTr="00E323FC">
        <w:tc>
          <w:tcPr>
            <w:tcW w:w="2201" w:type="pct"/>
          </w:tcPr>
          <w:p w:rsidR="00C9679F" w:rsidRPr="00CF59EC" w:rsidRDefault="00C9679F" w:rsidP="005C73D7">
            <w:pPr>
              <w:widowControl w:val="0"/>
              <w:tabs>
                <w:tab w:val="right" w:pos="7200"/>
              </w:tabs>
              <w:ind w:left="132" w:hanging="132"/>
              <w:rPr>
                <w:rFonts w:ascii="Arial" w:hAnsi="Arial" w:cs="Arial"/>
                <w:snapToGrid w:val="0"/>
                <w:color w:val="000000"/>
              </w:rPr>
            </w:pPr>
          </w:p>
        </w:tc>
        <w:tc>
          <w:tcPr>
            <w:tcW w:w="893" w:type="pct"/>
          </w:tcPr>
          <w:p w:rsidR="00C9679F" w:rsidRPr="00CF59EC" w:rsidRDefault="00C9679F" w:rsidP="005C73D7">
            <w:pPr>
              <w:widowControl w:val="0"/>
              <w:tabs>
                <w:tab w:val="right" w:pos="7200"/>
              </w:tabs>
              <w:ind w:left="132" w:hanging="132"/>
              <w:jc w:val="right"/>
              <w:rPr>
                <w:rFonts w:ascii="Arial" w:hAnsi="Arial" w:cs="Arial"/>
                <w:snapToGrid w:val="0"/>
                <w:color w:val="000000"/>
              </w:rPr>
            </w:pPr>
          </w:p>
        </w:tc>
        <w:tc>
          <w:tcPr>
            <w:tcW w:w="953" w:type="pct"/>
            <w:tcBorders>
              <w:bottom w:val="single" w:sz="4" w:space="0" w:color="auto"/>
            </w:tcBorders>
          </w:tcPr>
          <w:p w:rsidR="00C9679F" w:rsidRPr="00CF59EC" w:rsidRDefault="00C9679F" w:rsidP="005C73D7">
            <w:pPr>
              <w:widowControl w:val="0"/>
              <w:tabs>
                <w:tab w:val="right" w:pos="7200"/>
              </w:tabs>
              <w:ind w:left="132" w:hanging="132"/>
              <w:jc w:val="right"/>
              <w:rPr>
                <w:rFonts w:ascii="Arial" w:hAnsi="Arial" w:cs="Arial"/>
                <w:snapToGrid w:val="0"/>
                <w:color w:val="000000"/>
              </w:rPr>
            </w:pPr>
          </w:p>
        </w:tc>
        <w:tc>
          <w:tcPr>
            <w:tcW w:w="953" w:type="pct"/>
            <w:tcBorders>
              <w:bottom w:val="single" w:sz="4" w:space="0" w:color="auto"/>
            </w:tcBorders>
          </w:tcPr>
          <w:p w:rsidR="00C9679F" w:rsidRPr="000E788D" w:rsidRDefault="00C9679F" w:rsidP="005C73D7">
            <w:pPr>
              <w:widowControl w:val="0"/>
              <w:tabs>
                <w:tab w:val="right" w:pos="7200"/>
              </w:tabs>
              <w:ind w:left="132" w:hanging="132"/>
              <w:jc w:val="right"/>
              <w:rPr>
                <w:rFonts w:ascii="Arial" w:hAnsi="Arial" w:cs="Arial"/>
                <w:snapToGrid w:val="0"/>
                <w:color w:val="000000"/>
              </w:rPr>
            </w:pPr>
          </w:p>
        </w:tc>
      </w:tr>
      <w:tr w:rsidR="00C9679F" w:rsidRPr="00CF59EC" w:rsidTr="00E323FC">
        <w:tc>
          <w:tcPr>
            <w:tcW w:w="2201" w:type="pct"/>
          </w:tcPr>
          <w:p w:rsidR="00C9679F" w:rsidRPr="00CF59EC" w:rsidRDefault="00CF59EC" w:rsidP="00CF59EC">
            <w:pPr>
              <w:widowControl w:val="0"/>
              <w:tabs>
                <w:tab w:val="right" w:pos="7200"/>
              </w:tabs>
              <w:ind w:left="132" w:hanging="132"/>
              <w:rPr>
                <w:rFonts w:ascii="Arial" w:hAnsi="Arial" w:cs="Arial"/>
                <w:b/>
                <w:snapToGrid w:val="0"/>
                <w:color w:val="000000"/>
                <w:sz w:val="24"/>
              </w:rPr>
            </w:pPr>
            <w:r w:rsidRPr="00CF59EC">
              <w:rPr>
                <w:rFonts w:ascii="Arial" w:hAnsi="Arial" w:cs="Arial"/>
                <w:b/>
                <w:snapToGrid w:val="0"/>
                <w:color w:val="000000"/>
                <w:sz w:val="24"/>
              </w:rPr>
              <w:t>Total</w:t>
            </w:r>
          </w:p>
        </w:tc>
        <w:tc>
          <w:tcPr>
            <w:tcW w:w="893" w:type="pct"/>
          </w:tcPr>
          <w:p w:rsidR="00C9679F" w:rsidRPr="00CF59EC" w:rsidRDefault="00C9679F" w:rsidP="005C73D7">
            <w:pPr>
              <w:widowControl w:val="0"/>
              <w:tabs>
                <w:tab w:val="right" w:pos="7200"/>
              </w:tabs>
              <w:ind w:left="132" w:hanging="132"/>
              <w:jc w:val="right"/>
              <w:rPr>
                <w:rFonts w:ascii="Arial" w:hAnsi="Arial" w:cs="Arial"/>
                <w:b/>
                <w:snapToGrid w:val="0"/>
                <w:color w:val="000000"/>
                <w:sz w:val="24"/>
              </w:rPr>
            </w:pPr>
          </w:p>
        </w:tc>
        <w:tc>
          <w:tcPr>
            <w:tcW w:w="953" w:type="pct"/>
            <w:tcBorders>
              <w:top w:val="single" w:sz="4" w:space="0" w:color="auto"/>
            </w:tcBorders>
          </w:tcPr>
          <w:p w:rsidR="00C9679F" w:rsidRPr="00CF59EC" w:rsidRDefault="00CF59EC" w:rsidP="005C73D7">
            <w:pPr>
              <w:widowControl w:val="0"/>
              <w:tabs>
                <w:tab w:val="right" w:pos="7200"/>
              </w:tabs>
              <w:ind w:left="132" w:hanging="132"/>
              <w:jc w:val="right"/>
              <w:rPr>
                <w:rFonts w:ascii="Arial" w:hAnsi="Arial" w:cs="Arial"/>
                <w:b/>
                <w:snapToGrid w:val="0"/>
                <w:color w:val="000000"/>
                <w:sz w:val="24"/>
              </w:rPr>
            </w:pPr>
            <w:r w:rsidRPr="00CF59EC">
              <w:rPr>
                <w:rFonts w:ascii="Arial" w:hAnsi="Arial" w:cs="Arial"/>
                <w:b/>
                <w:snapToGrid w:val="0"/>
                <w:color w:val="000000"/>
                <w:sz w:val="24"/>
              </w:rPr>
              <w:t>5,59</w:t>
            </w:r>
            <w:r w:rsidR="00616327">
              <w:rPr>
                <w:rFonts w:ascii="Arial" w:hAnsi="Arial" w:cs="Arial"/>
                <w:b/>
                <w:snapToGrid w:val="0"/>
                <w:color w:val="000000"/>
                <w:sz w:val="24"/>
              </w:rPr>
              <w:t>1</w:t>
            </w:r>
          </w:p>
        </w:tc>
        <w:tc>
          <w:tcPr>
            <w:tcW w:w="953" w:type="pct"/>
            <w:tcBorders>
              <w:top w:val="single" w:sz="4" w:space="0" w:color="auto"/>
            </w:tcBorders>
          </w:tcPr>
          <w:p w:rsidR="00C9679F" w:rsidRPr="000E788D" w:rsidRDefault="000E788D" w:rsidP="005C73D7">
            <w:pPr>
              <w:widowControl w:val="0"/>
              <w:tabs>
                <w:tab w:val="right" w:pos="7200"/>
              </w:tabs>
              <w:ind w:left="132" w:hanging="132"/>
              <w:jc w:val="right"/>
              <w:rPr>
                <w:rFonts w:ascii="Arial" w:hAnsi="Arial" w:cs="Arial"/>
                <w:b/>
                <w:snapToGrid w:val="0"/>
                <w:color w:val="000000"/>
                <w:sz w:val="24"/>
              </w:rPr>
            </w:pPr>
            <w:r w:rsidRPr="000E788D">
              <w:rPr>
                <w:rFonts w:ascii="Arial" w:hAnsi="Arial" w:cs="Arial"/>
                <w:b/>
                <w:snapToGrid w:val="0"/>
                <w:color w:val="000000"/>
                <w:sz w:val="24"/>
              </w:rPr>
              <w:t>5,534</w:t>
            </w:r>
          </w:p>
        </w:tc>
      </w:tr>
    </w:tbl>
    <w:p w:rsidR="00376D0A" w:rsidRPr="00CF59EC" w:rsidRDefault="00376D0A" w:rsidP="00403691">
      <w:pPr>
        <w:widowControl w:val="0"/>
        <w:tabs>
          <w:tab w:val="right" w:pos="7200"/>
        </w:tabs>
        <w:rPr>
          <w:rFonts w:ascii="Arial" w:hAnsi="Arial" w:cs="Arial"/>
          <w:snapToGrid w:val="0"/>
          <w:color w:val="000000"/>
          <w:sz w:val="24"/>
        </w:rPr>
      </w:pPr>
    </w:p>
    <w:p w:rsidR="00CF59EC" w:rsidRPr="00FD4FB8" w:rsidRDefault="00CF59EC" w:rsidP="00403691">
      <w:pPr>
        <w:widowControl w:val="0"/>
        <w:tabs>
          <w:tab w:val="right" w:pos="7200"/>
        </w:tabs>
        <w:rPr>
          <w:rFonts w:ascii="Arial" w:hAnsi="Arial" w:cs="Arial"/>
          <w:snapToGrid w:val="0"/>
          <w:color w:val="000000"/>
          <w:sz w:val="24"/>
        </w:rPr>
      </w:pPr>
    </w:p>
    <w:p w:rsidR="00971141" w:rsidRPr="00FD4FB8" w:rsidRDefault="00971141" w:rsidP="00971141">
      <w:pPr>
        <w:widowControl w:val="0"/>
        <w:tabs>
          <w:tab w:val="left" w:pos="600"/>
          <w:tab w:val="right" w:pos="3060"/>
          <w:tab w:val="right" w:pos="4150"/>
        </w:tabs>
        <w:rPr>
          <w:rFonts w:ascii="Arial" w:hAnsi="Arial" w:cs="Arial"/>
          <w:b/>
          <w:sz w:val="24"/>
          <w:szCs w:val="24"/>
        </w:rPr>
      </w:pPr>
      <w:r w:rsidRPr="00FD4FB8">
        <w:rPr>
          <w:rFonts w:ascii="Arial" w:hAnsi="Arial" w:cs="Arial"/>
          <w:b/>
          <w:sz w:val="24"/>
          <w:szCs w:val="24"/>
        </w:rPr>
        <w:t>c)</w:t>
      </w:r>
      <w:r w:rsidRPr="00FD4FB8">
        <w:rPr>
          <w:rFonts w:ascii="Arial" w:hAnsi="Arial" w:cs="Arial"/>
          <w:b/>
          <w:sz w:val="24"/>
          <w:szCs w:val="24"/>
        </w:rPr>
        <w:tab/>
        <w:t>Liquidity risk</w:t>
      </w:r>
    </w:p>
    <w:p w:rsidR="00971141" w:rsidRPr="00FD4FB8" w:rsidRDefault="00971141" w:rsidP="00971141">
      <w:pPr>
        <w:widowControl w:val="0"/>
        <w:tabs>
          <w:tab w:val="left" w:pos="180"/>
          <w:tab w:val="right" w:pos="3060"/>
          <w:tab w:val="right" w:pos="4150"/>
        </w:tabs>
        <w:rPr>
          <w:rFonts w:ascii="Arial" w:hAnsi="Arial" w:cs="Arial"/>
          <w:snapToGrid w:val="0"/>
          <w:color w:val="000000"/>
          <w:sz w:val="24"/>
        </w:rPr>
      </w:pPr>
    </w:p>
    <w:p w:rsidR="00C9679F" w:rsidRPr="00FD4FB8" w:rsidRDefault="00971141" w:rsidP="00971141">
      <w:pPr>
        <w:widowControl w:val="0"/>
        <w:tabs>
          <w:tab w:val="right" w:pos="7200"/>
        </w:tabs>
        <w:rPr>
          <w:rFonts w:ascii="Arial" w:hAnsi="Arial" w:cs="Arial"/>
          <w:snapToGrid w:val="0"/>
          <w:color w:val="000000"/>
          <w:sz w:val="24"/>
        </w:rPr>
      </w:pPr>
      <w:r w:rsidRPr="00FD4FB8">
        <w:rPr>
          <w:rFonts w:ascii="Arial" w:hAnsi="Arial" w:cs="Arial"/>
          <w:snapToGrid w:val="0"/>
          <w:color w:val="000000"/>
          <w:sz w:val="24"/>
        </w:rPr>
        <w:t xml:space="preserve">Liquidity risk represents the risk that the Fund will not be able to meet its financial obligations as they fall due. The </w:t>
      </w:r>
      <w:r w:rsidR="00C4216C" w:rsidRPr="00FD4FB8">
        <w:rPr>
          <w:rFonts w:ascii="Arial" w:hAnsi="Arial" w:cs="Arial"/>
          <w:snapToGrid w:val="0"/>
          <w:color w:val="000000"/>
          <w:sz w:val="24"/>
        </w:rPr>
        <w:t>Pension Fund</w:t>
      </w:r>
      <w:r w:rsidRPr="00FD4FB8">
        <w:rPr>
          <w:rFonts w:ascii="Arial" w:hAnsi="Arial" w:cs="Arial"/>
          <w:snapToGrid w:val="0"/>
          <w:color w:val="000000"/>
          <w:sz w:val="24"/>
        </w:rPr>
        <w:t xml:space="preserve"> therefore takes steps to ensure that </w:t>
      </w:r>
      <w:r w:rsidR="00C4216C" w:rsidRPr="00FD4FB8">
        <w:rPr>
          <w:rFonts w:ascii="Arial" w:hAnsi="Arial" w:cs="Arial"/>
          <w:snapToGrid w:val="0"/>
          <w:color w:val="000000"/>
          <w:sz w:val="24"/>
        </w:rPr>
        <w:t>it</w:t>
      </w:r>
      <w:r w:rsidRPr="00FD4FB8">
        <w:rPr>
          <w:rFonts w:ascii="Arial" w:hAnsi="Arial" w:cs="Arial"/>
          <w:snapToGrid w:val="0"/>
          <w:color w:val="000000"/>
          <w:sz w:val="24"/>
        </w:rPr>
        <w:t xml:space="preserve"> has adequate cash resources to meet its</w:t>
      </w:r>
      <w:r w:rsidR="00B051FC" w:rsidRPr="00FD4FB8">
        <w:rPr>
          <w:rFonts w:ascii="Arial" w:hAnsi="Arial" w:cs="Arial"/>
          <w:snapToGrid w:val="0"/>
          <w:color w:val="000000"/>
          <w:sz w:val="24"/>
        </w:rPr>
        <w:t xml:space="preserve"> pensioner payroll costs and investment</w:t>
      </w:r>
      <w:r w:rsidRPr="00FD4FB8">
        <w:rPr>
          <w:rFonts w:ascii="Arial" w:hAnsi="Arial" w:cs="Arial"/>
          <w:snapToGrid w:val="0"/>
          <w:color w:val="000000"/>
          <w:sz w:val="24"/>
        </w:rPr>
        <w:t xml:space="preserve"> commitments.</w:t>
      </w:r>
    </w:p>
    <w:p w:rsidR="00971141" w:rsidRPr="00FD4FB8" w:rsidRDefault="00971141" w:rsidP="00971141">
      <w:pPr>
        <w:widowControl w:val="0"/>
        <w:tabs>
          <w:tab w:val="right" w:pos="7200"/>
        </w:tabs>
        <w:rPr>
          <w:rFonts w:ascii="Arial" w:hAnsi="Arial" w:cs="Arial"/>
          <w:snapToGrid w:val="0"/>
          <w:color w:val="000000"/>
          <w:sz w:val="24"/>
        </w:rPr>
      </w:pPr>
    </w:p>
    <w:p w:rsidR="00B051FC" w:rsidRPr="00FD4FB8" w:rsidRDefault="00B051FC" w:rsidP="00971141">
      <w:pPr>
        <w:widowControl w:val="0"/>
        <w:tabs>
          <w:tab w:val="right" w:pos="7200"/>
        </w:tabs>
        <w:rPr>
          <w:rFonts w:ascii="Arial" w:hAnsi="Arial" w:cs="Arial"/>
          <w:snapToGrid w:val="0"/>
          <w:color w:val="000000"/>
          <w:sz w:val="24"/>
        </w:rPr>
      </w:pPr>
      <w:r w:rsidRPr="00FD4FB8">
        <w:rPr>
          <w:rFonts w:ascii="Arial" w:hAnsi="Arial" w:cs="Arial"/>
          <w:snapToGrid w:val="0"/>
          <w:color w:val="000000"/>
          <w:sz w:val="24"/>
        </w:rPr>
        <w:t>The Pension Fund has immediate access to its cash holdings.</w:t>
      </w:r>
    </w:p>
    <w:p w:rsidR="00B051FC" w:rsidRPr="00154402" w:rsidRDefault="00B051FC" w:rsidP="00971141">
      <w:pPr>
        <w:widowControl w:val="0"/>
        <w:tabs>
          <w:tab w:val="right" w:pos="7200"/>
        </w:tabs>
        <w:rPr>
          <w:rFonts w:ascii="Arial" w:hAnsi="Arial" w:cs="Arial"/>
          <w:snapToGrid w:val="0"/>
          <w:color w:val="000000"/>
          <w:sz w:val="24"/>
        </w:rPr>
      </w:pPr>
    </w:p>
    <w:p w:rsidR="00856AD3" w:rsidRPr="00154402" w:rsidRDefault="00856AD3" w:rsidP="00971141">
      <w:pPr>
        <w:widowControl w:val="0"/>
        <w:tabs>
          <w:tab w:val="right" w:pos="7200"/>
        </w:tabs>
        <w:rPr>
          <w:rFonts w:ascii="Arial" w:hAnsi="Arial" w:cs="Arial"/>
          <w:snapToGrid w:val="0"/>
          <w:color w:val="000000"/>
          <w:sz w:val="24"/>
        </w:rPr>
      </w:pPr>
      <w:r w:rsidRPr="00154402">
        <w:rPr>
          <w:rFonts w:ascii="Arial" w:hAnsi="Arial" w:cs="Arial"/>
          <w:snapToGrid w:val="0"/>
          <w:color w:val="000000"/>
          <w:sz w:val="24"/>
        </w:rPr>
        <w:t>The Fund defines liquid assets as assets that can be converted to cash within three months. Illiquid assets are those assets which will take longer than three months to convert into cash.</w:t>
      </w:r>
      <w:r w:rsidR="00EE6507">
        <w:rPr>
          <w:rFonts w:ascii="Arial" w:hAnsi="Arial" w:cs="Arial"/>
          <w:snapToGrid w:val="0"/>
          <w:color w:val="000000"/>
          <w:sz w:val="24"/>
        </w:rPr>
        <w:t xml:space="preserve"> A</w:t>
      </w:r>
      <w:r w:rsidR="00471342" w:rsidRPr="00154402">
        <w:rPr>
          <w:rFonts w:ascii="Arial" w:hAnsi="Arial" w:cs="Arial"/>
          <w:snapToGrid w:val="0"/>
          <w:color w:val="000000"/>
          <w:sz w:val="24"/>
        </w:rPr>
        <w:t>t 31 March 2013 the v</w:t>
      </w:r>
      <w:r w:rsidR="003211A0" w:rsidRPr="00154402">
        <w:rPr>
          <w:rFonts w:ascii="Arial" w:hAnsi="Arial" w:cs="Arial"/>
          <w:snapToGrid w:val="0"/>
          <w:color w:val="000000"/>
          <w:sz w:val="24"/>
        </w:rPr>
        <w:t>al</w:t>
      </w:r>
      <w:r w:rsidR="00022405">
        <w:rPr>
          <w:rFonts w:ascii="Arial" w:hAnsi="Arial" w:cs="Arial"/>
          <w:snapToGrid w:val="0"/>
          <w:color w:val="000000"/>
          <w:sz w:val="24"/>
        </w:rPr>
        <w:t>ue of illiquid assets was £160.5</w:t>
      </w:r>
      <w:r w:rsidR="003211A0" w:rsidRPr="00154402">
        <w:rPr>
          <w:rFonts w:ascii="Arial" w:hAnsi="Arial" w:cs="Arial"/>
          <w:snapToGrid w:val="0"/>
          <w:color w:val="000000"/>
          <w:sz w:val="24"/>
        </w:rPr>
        <w:t>m, which represented 30</w:t>
      </w:r>
      <w:r w:rsidR="00471342" w:rsidRPr="00154402">
        <w:rPr>
          <w:rFonts w:ascii="Arial" w:hAnsi="Arial" w:cs="Arial"/>
          <w:snapToGrid w:val="0"/>
          <w:color w:val="000000"/>
          <w:sz w:val="24"/>
        </w:rPr>
        <w:t xml:space="preserve">% of the total </w:t>
      </w:r>
      <w:r w:rsidR="003211A0" w:rsidRPr="00154402">
        <w:rPr>
          <w:rFonts w:ascii="Arial" w:hAnsi="Arial" w:cs="Arial"/>
          <w:snapToGrid w:val="0"/>
          <w:color w:val="000000"/>
          <w:sz w:val="24"/>
        </w:rPr>
        <w:t>fund assets (31 March 2012: £156.0m, which represented 32</w:t>
      </w:r>
      <w:r w:rsidR="00FD4FB8" w:rsidRPr="00154402">
        <w:rPr>
          <w:rFonts w:ascii="Arial" w:hAnsi="Arial" w:cs="Arial"/>
          <w:snapToGrid w:val="0"/>
          <w:color w:val="000000"/>
          <w:sz w:val="24"/>
        </w:rPr>
        <w:t>% of the total fund assets).</w:t>
      </w:r>
    </w:p>
    <w:p w:rsidR="00856AD3" w:rsidRPr="00154402" w:rsidRDefault="00856AD3" w:rsidP="00971141">
      <w:pPr>
        <w:widowControl w:val="0"/>
        <w:tabs>
          <w:tab w:val="right" w:pos="7200"/>
        </w:tabs>
        <w:rPr>
          <w:rFonts w:ascii="Arial" w:hAnsi="Arial" w:cs="Arial"/>
          <w:snapToGrid w:val="0"/>
          <w:color w:val="000000"/>
          <w:sz w:val="24"/>
        </w:rPr>
      </w:pPr>
    </w:p>
    <w:p w:rsidR="00971141" w:rsidRPr="000B1A26" w:rsidRDefault="000B1A26" w:rsidP="00971141">
      <w:pPr>
        <w:widowControl w:val="0"/>
        <w:tabs>
          <w:tab w:val="right" w:pos="7200"/>
        </w:tabs>
        <w:rPr>
          <w:rFonts w:ascii="Arial" w:hAnsi="Arial" w:cs="Arial"/>
          <w:snapToGrid w:val="0"/>
          <w:color w:val="000000"/>
          <w:sz w:val="24"/>
        </w:rPr>
      </w:pPr>
      <w:r w:rsidRPr="000B1A26">
        <w:rPr>
          <w:rFonts w:ascii="Arial" w:hAnsi="Arial" w:cs="Arial"/>
          <w:snapToGrid w:val="0"/>
          <w:color w:val="000000"/>
          <w:sz w:val="24"/>
        </w:rPr>
        <w:t>P</w:t>
      </w:r>
      <w:r w:rsidR="007E23B9" w:rsidRPr="000B1A26">
        <w:rPr>
          <w:rFonts w:ascii="Arial" w:hAnsi="Arial" w:cs="Arial"/>
          <w:snapToGrid w:val="0"/>
          <w:color w:val="000000"/>
          <w:sz w:val="24"/>
        </w:rPr>
        <w:t>eriodic cash flow forecasts are prepared to understand and manage the timing of the Fund’s cash flows.</w:t>
      </w:r>
      <w:r w:rsidRPr="000B1A26">
        <w:rPr>
          <w:rFonts w:ascii="Arial" w:hAnsi="Arial" w:cs="Arial"/>
          <w:snapToGrid w:val="0"/>
          <w:color w:val="000000"/>
          <w:sz w:val="24"/>
        </w:rPr>
        <w:t xml:space="preserve"> The appropriate strategic level of cash balances to be held forms part of the Fund investment strategy.</w:t>
      </w:r>
    </w:p>
    <w:p w:rsidR="007E23B9" w:rsidRPr="000B1A26" w:rsidRDefault="007E23B9" w:rsidP="00971141">
      <w:pPr>
        <w:widowControl w:val="0"/>
        <w:tabs>
          <w:tab w:val="right" w:pos="7200"/>
        </w:tabs>
        <w:rPr>
          <w:rFonts w:ascii="Arial" w:hAnsi="Arial" w:cs="Arial"/>
          <w:snapToGrid w:val="0"/>
          <w:color w:val="000000"/>
          <w:sz w:val="24"/>
        </w:rPr>
      </w:pPr>
    </w:p>
    <w:p w:rsidR="00EE6507" w:rsidRDefault="007E23B9" w:rsidP="00EE6507">
      <w:pPr>
        <w:widowControl w:val="0"/>
        <w:tabs>
          <w:tab w:val="right" w:pos="7200"/>
        </w:tabs>
        <w:rPr>
          <w:rFonts w:ascii="Arial" w:hAnsi="Arial" w:cs="Arial"/>
          <w:snapToGrid w:val="0"/>
          <w:color w:val="000000"/>
          <w:sz w:val="24"/>
        </w:rPr>
      </w:pPr>
      <w:r w:rsidRPr="00EF4372">
        <w:rPr>
          <w:rFonts w:ascii="Arial" w:hAnsi="Arial" w:cs="Arial"/>
          <w:snapToGrid w:val="0"/>
          <w:color w:val="000000"/>
          <w:sz w:val="24"/>
        </w:rPr>
        <w:t>All financial liabilities at 31 March 201</w:t>
      </w:r>
      <w:r w:rsidR="00EF4372" w:rsidRPr="00EF4372">
        <w:rPr>
          <w:rFonts w:ascii="Arial" w:hAnsi="Arial" w:cs="Arial"/>
          <w:snapToGrid w:val="0"/>
          <w:color w:val="000000"/>
          <w:sz w:val="24"/>
        </w:rPr>
        <w:t>3</w:t>
      </w:r>
      <w:r w:rsidRPr="00EF4372">
        <w:rPr>
          <w:rFonts w:ascii="Arial" w:hAnsi="Arial" w:cs="Arial"/>
          <w:snapToGrid w:val="0"/>
          <w:color w:val="000000"/>
          <w:sz w:val="24"/>
        </w:rPr>
        <w:t xml:space="preserve"> are due within one year.</w:t>
      </w:r>
    </w:p>
    <w:p w:rsidR="00386503" w:rsidRPr="00EE6507" w:rsidRDefault="00EE6507" w:rsidP="00EE6507">
      <w:pPr>
        <w:rPr>
          <w:rFonts w:ascii="Arial" w:hAnsi="Arial" w:cs="Arial"/>
          <w:snapToGrid w:val="0"/>
          <w:color w:val="000000"/>
          <w:sz w:val="24"/>
        </w:rPr>
      </w:pPr>
      <w:r>
        <w:rPr>
          <w:rFonts w:ascii="Arial" w:hAnsi="Arial" w:cs="Arial"/>
          <w:snapToGrid w:val="0"/>
          <w:color w:val="000000"/>
          <w:sz w:val="24"/>
        </w:rPr>
        <w:br w:type="page"/>
      </w:r>
      <w:r w:rsidR="00386503" w:rsidRPr="00535983">
        <w:rPr>
          <w:rFonts w:ascii="Arial" w:hAnsi="Arial" w:cs="Arial"/>
          <w:b/>
          <w:sz w:val="24"/>
          <w:szCs w:val="24"/>
        </w:rPr>
        <w:lastRenderedPageBreak/>
        <w:t>Refinancing risk</w:t>
      </w:r>
    </w:p>
    <w:p w:rsidR="00386503" w:rsidRPr="00535983" w:rsidRDefault="00386503" w:rsidP="00386503">
      <w:pPr>
        <w:widowControl w:val="0"/>
        <w:tabs>
          <w:tab w:val="left" w:pos="180"/>
          <w:tab w:val="right" w:pos="3060"/>
          <w:tab w:val="right" w:pos="4150"/>
        </w:tabs>
        <w:rPr>
          <w:rFonts w:ascii="Arial" w:hAnsi="Arial" w:cs="Arial"/>
          <w:snapToGrid w:val="0"/>
          <w:color w:val="000000"/>
          <w:sz w:val="24"/>
        </w:rPr>
      </w:pPr>
    </w:p>
    <w:p w:rsidR="00E612C4" w:rsidRPr="00535983" w:rsidRDefault="00386503" w:rsidP="00386503">
      <w:pPr>
        <w:widowControl w:val="0"/>
        <w:tabs>
          <w:tab w:val="right" w:pos="7200"/>
        </w:tabs>
        <w:rPr>
          <w:rFonts w:ascii="Arial" w:hAnsi="Arial" w:cs="Arial"/>
          <w:snapToGrid w:val="0"/>
          <w:color w:val="000000"/>
          <w:sz w:val="24"/>
        </w:rPr>
      </w:pPr>
      <w:r w:rsidRPr="00535983">
        <w:rPr>
          <w:rFonts w:ascii="Arial" w:hAnsi="Arial" w:cs="Arial"/>
          <w:snapToGrid w:val="0"/>
          <w:color w:val="000000"/>
          <w:sz w:val="24"/>
        </w:rPr>
        <w:t xml:space="preserve">The key risk is that the </w:t>
      </w:r>
      <w:r w:rsidR="00C4216C" w:rsidRPr="00535983">
        <w:rPr>
          <w:rFonts w:ascii="Arial" w:hAnsi="Arial" w:cs="Arial"/>
          <w:snapToGrid w:val="0"/>
          <w:color w:val="000000"/>
          <w:sz w:val="24"/>
        </w:rPr>
        <w:t>Pension Fund</w:t>
      </w:r>
      <w:r w:rsidRPr="00535983">
        <w:rPr>
          <w:rFonts w:ascii="Arial" w:hAnsi="Arial" w:cs="Arial"/>
          <w:snapToGrid w:val="0"/>
          <w:color w:val="000000"/>
          <w:sz w:val="24"/>
        </w:rPr>
        <w:t xml:space="preserve"> will be bound to repl</w:t>
      </w:r>
      <w:r w:rsidR="00016817" w:rsidRPr="00535983">
        <w:rPr>
          <w:rFonts w:ascii="Arial" w:hAnsi="Arial" w:cs="Arial"/>
          <w:snapToGrid w:val="0"/>
          <w:color w:val="000000"/>
          <w:sz w:val="24"/>
        </w:rPr>
        <w:t xml:space="preserve">enish a </w:t>
      </w:r>
      <w:r w:rsidRPr="00535983">
        <w:rPr>
          <w:rFonts w:ascii="Arial" w:hAnsi="Arial" w:cs="Arial"/>
          <w:snapToGrid w:val="0"/>
          <w:color w:val="000000"/>
          <w:sz w:val="24"/>
        </w:rPr>
        <w:t xml:space="preserve">significant proportion of its financial instruments at a time of unfavourable interest rates. </w:t>
      </w:r>
      <w:r w:rsidR="00E57857" w:rsidRPr="00535983">
        <w:rPr>
          <w:rFonts w:ascii="Arial" w:hAnsi="Arial" w:cs="Arial"/>
          <w:snapToGrid w:val="0"/>
          <w:color w:val="000000"/>
          <w:sz w:val="24"/>
        </w:rPr>
        <w:t>However, t</w:t>
      </w:r>
      <w:r w:rsidRPr="00535983">
        <w:rPr>
          <w:rFonts w:ascii="Arial" w:hAnsi="Arial" w:cs="Arial"/>
          <w:snapToGrid w:val="0"/>
          <w:color w:val="000000"/>
          <w:sz w:val="24"/>
        </w:rPr>
        <w:t xml:space="preserve">he </w:t>
      </w:r>
      <w:r w:rsidR="00C4216C" w:rsidRPr="00535983">
        <w:rPr>
          <w:rFonts w:ascii="Arial" w:hAnsi="Arial" w:cs="Arial"/>
          <w:snapToGrid w:val="0"/>
          <w:color w:val="000000"/>
          <w:sz w:val="24"/>
        </w:rPr>
        <w:t>Pension Fund</w:t>
      </w:r>
      <w:r w:rsidRPr="00535983">
        <w:rPr>
          <w:rFonts w:ascii="Arial" w:hAnsi="Arial" w:cs="Arial"/>
          <w:snapToGrid w:val="0"/>
          <w:color w:val="000000"/>
          <w:sz w:val="24"/>
        </w:rPr>
        <w:t xml:space="preserve"> does not have any financial instruments that have a refinancing risk as part of its treasury management and investment strategies.</w:t>
      </w:r>
    </w:p>
    <w:p w:rsidR="00386503" w:rsidRPr="009410F7" w:rsidRDefault="00386503" w:rsidP="005A653B">
      <w:pPr>
        <w:widowControl w:val="0"/>
        <w:tabs>
          <w:tab w:val="right" w:pos="7200"/>
        </w:tabs>
        <w:rPr>
          <w:rFonts w:ascii="Arial" w:hAnsi="Arial" w:cs="Arial"/>
          <w:snapToGrid w:val="0"/>
          <w:color w:val="000000"/>
          <w:sz w:val="24"/>
        </w:rPr>
      </w:pPr>
    </w:p>
    <w:p w:rsidR="00386503" w:rsidRPr="009410F7" w:rsidRDefault="00386503" w:rsidP="005A653B">
      <w:pPr>
        <w:widowControl w:val="0"/>
        <w:tabs>
          <w:tab w:val="right" w:pos="7200"/>
        </w:tabs>
        <w:rPr>
          <w:rFonts w:ascii="Arial" w:hAnsi="Arial" w:cs="Arial"/>
          <w:snapToGrid w:val="0"/>
          <w:color w:val="000000"/>
          <w:sz w:val="24"/>
        </w:rPr>
      </w:pPr>
    </w:p>
    <w:p w:rsidR="00FC6BB9" w:rsidRPr="009410F7" w:rsidRDefault="00F666FC" w:rsidP="005A653B">
      <w:pPr>
        <w:widowControl w:val="0"/>
        <w:tabs>
          <w:tab w:val="right" w:pos="7200"/>
        </w:tabs>
        <w:rPr>
          <w:rFonts w:ascii="Arial" w:hAnsi="Arial" w:cs="Arial"/>
          <w:snapToGrid w:val="0"/>
          <w:color w:val="000000"/>
          <w:sz w:val="24"/>
        </w:rPr>
      </w:pPr>
      <w:r>
        <w:rPr>
          <w:rFonts w:ascii="Arial" w:hAnsi="Arial" w:cs="Arial"/>
          <w:b/>
          <w:snapToGrid w:val="0"/>
          <w:color w:val="000000"/>
          <w:sz w:val="24"/>
        </w:rPr>
        <w:t>17</w:t>
      </w:r>
      <w:r w:rsidR="00774EEE" w:rsidRPr="009410F7">
        <w:rPr>
          <w:rFonts w:ascii="Arial" w:hAnsi="Arial" w:cs="Arial"/>
          <w:b/>
          <w:snapToGrid w:val="0"/>
          <w:color w:val="000000"/>
          <w:sz w:val="24"/>
        </w:rPr>
        <w:t>.</w:t>
      </w:r>
      <w:r w:rsidR="00FC6BB9" w:rsidRPr="009410F7">
        <w:rPr>
          <w:rFonts w:ascii="Arial" w:hAnsi="Arial" w:cs="Arial"/>
          <w:b/>
          <w:snapToGrid w:val="0"/>
          <w:color w:val="000000"/>
          <w:sz w:val="24"/>
        </w:rPr>
        <w:t xml:space="preserve">  </w:t>
      </w:r>
      <w:r w:rsidR="00774EEE" w:rsidRPr="009410F7">
        <w:rPr>
          <w:rFonts w:ascii="Arial" w:hAnsi="Arial" w:cs="Arial"/>
          <w:b/>
          <w:snapToGrid w:val="0"/>
          <w:color w:val="000000"/>
          <w:sz w:val="24"/>
        </w:rPr>
        <w:t>Funding arrangements</w:t>
      </w:r>
    </w:p>
    <w:p w:rsidR="008B7AFE" w:rsidRPr="009410F7" w:rsidRDefault="008B7AFE" w:rsidP="008B7AFE">
      <w:pPr>
        <w:widowControl w:val="0"/>
        <w:tabs>
          <w:tab w:val="right" w:pos="7200"/>
        </w:tabs>
        <w:rPr>
          <w:rFonts w:ascii="Arial" w:hAnsi="Arial" w:cs="Arial"/>
          <w:snapToGrid w:val="0"/>
          <w:color w:val="000000"/>
          <w:sz w:val="24"/>
        </w:rPr>
      </w:pPr>
    </w:p>
    <w:p w:rsidR="00FC6BB9" w:rsidRPr="009410F7" w:rsidRDefault="00D53AA0" w:rsidP="008B7AFE">
      <w:pPr>
        <w:widowControl w:val="0"/>
        <w:tabs>
          <w:tab w:val="right" w:pos="7200"/>
        </w:tabs>
        <w:rPr>
          <w:rFonts w:ascii="Arial" w:hAnsi="Arial" w:cs="Arial"/>
          <w:snapToGrid w:val="0"/>
          <w:color w:val="000000"/>
          <w:sz w:val="24"/>
        </w:rPr>
      </w:pPr>
      <w:r w:rsidRPr="009410F7">
        <w:rPr>
          <w:rFonts w:ascii="Arial" w:hAnsi="Arial" w:cs="Arial"/>
          <w:snapToGrid w:val="0"/>
          <w:color w:val="000000"/>
          <w:sz w:val="24"/>
        </w:rPr>
        <w:t>In line with the LGPS</w:t>
      </w:r>
      <w:r w:rsidR="000645F2" w:rsidRPr="009410F7">
        <w:rPr>
          <w:rFonts w:ascii="Arial" w:hAnsi="Arial" w:cs="Arial"/>
          <w:snapToGrid w:val="0"/>
          <w:color w:val="000000"/>
          <w:sz w:val="24"/>
        </w:rPr>
        <w:t xml:space="preserve"> (Administration) Regulations 2008, the Fund’s actuary undertakes a funding valuation every three years for the purpose of setting employer contribution rates for the forthcoming triennial period. The last such valuation took place as at 31 March 2010. The next valuation will take place as at March 2013.</w:t>
      </w:r>
    </w:p>
    <w:p w:rsidR="000645F2" w:rsidRPr="00E7543F" w:rsidRDefault="000645F2" w:rsidP="008B7AFE">
      <w:pPr>
        <w:widowControl w:val="0"/>
        <w:tabs>
          <w:tab w:val="right" w:pos="7200"/>
        </w:tabs>
        <w:rPr>
          <w:rFonts w:ascii="Arial" w:hAnsi="Arial" w:cs="Arial"/>
          <w:snapToGrid w:val="0"/>
          <w:color w:val="000000"/>
          <w:sz w:val="24"/>
        </w:rPr>
      </w:pPr>
    </w:p>
    <w:p w:rsidR="000645F2" w:rsidRPr="00E7543F" w:rsidRDefault="000645F2" w:rsidP="008B7AFE">
      <w:pPr>
        <w:widowControl w:val="0"/>
        <w:tabs>
          <w:tab w:val="right" w:pos="7200"/>
        </w:tabs>
        <w:rPr>
          <w:rFonts w:ascii="Arial" w:hAnsi="Arial" w:cs="Arial"/>
          <w:snapToGrid w:val="0"/>
          <w:color w:val="000000"/>
          <w:sz w:val="24"/>
        </w:rPr>
      </w:pPr>
      <w:r w:rsidRPr="00E7543F">
        <w:rPr>
          <w:rFonts w:ascii="Arial" w:hAnsi="Arial" w:cs="Arial"/>
          <w:snapToGrid w:val="0"/>
          <w:color w:val="000000"/>
          <w:sz w:val="24"/>
        </w:rPr>
        <w:t>The key elements of the funding policy are:</w:t>
      </w:r>
    </w:p>
    <w:p w:rsidR="00DC5316" w:rsidRPr="00E7543F" w:rsidRDefault="00D227D9"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E7543F">
        <w:rPr>
          <w:rFonts w:ascii="Arial" w:hAnsi="Arial" w:cs="Arial"/>
          <w:sz w:val="24"/>
          <w:szCs w:val="24"/>
        </w:rPr>
        <w:t>t</w:t>
      </w:r>
      <w:r w:rsidR="00DD5919" w:rsidRPr="00E7543F">
        <w:rPr>
          <w:rFonts w:ascii="Arial" w:hAnsi="Arial" w:cs="Arial"/>
          <w:sz w:val="24"/>
          <w:szCs w:val="24"/>
        </w:rPr>
        <w:t>o ensure</w:t>
      </w:r>
      <w:r w:rsidR="00DC5316" w:rsidRPr="00E7543F">
        <w:rPr>
          <w:rFonts w:ascii="Arial" w:hAnsi="Arial" w:cs="Arial"/>
          <w:sz w:val="24"/>
          <w:szCs w:val="24"/>
        </w:rPr>
        <w:t xml:space="preserve"> the long-term solvency of the Fund, i.e., that sufficient funds are available</w:t>
      </w:r>
      <w:r w:rsidRPr="00E7543F">
        <w:rPr>
          <w:rFonts w:ascii="Arial" w:hAnsi="Arial" w:cs="Arial"/>
          <w:sz w:val="24"/>
          <w:szCs w:val="24"/>
        </w:rPr>
        <w:t xml:space="preserve"> to meet all pension liabilities as they fall due for payment</w:t>
      </w:r>
    </w:p>
    <w:p w:rsidR="00D227D9" w:rsidRPr="00E7543F" w:rsidRDefault="00D227D9"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E7543F">
        <w:rPr>
          <w:rFonts w:ascii="Arial" w:hAnsi="Arial" w:cs="Arial"/>
          <w:sz w:val="24"/>
          <w:szCs w:val="24"/>
        </w:rPr>
        <w:t>t</w:t>
      </w:r>
      <w:r w:rsidR="00DC5316" w:rsidRPr="00E7543F">
        <w:rPr>
          <w:rFonts w:ascii="Arial" w:hAnsi="Arial" w:cs="Arial"/>
          <w:sz w:val="24"/>
          <w:szCs w:val="24"/>
        </w:rPr>
        <w:t>o</w:t>
      </w:r>
      <w:r w:rsidRPr="00E7543F">
        <w:rPr>
          <w:rFonts w:ascii="Arial" w:hAnsi="Arial" w:cs="Arial"/>
          <w:sz w:val="24"/>
          <w:szCs w:val="24"/>
        </w:rPr>
        <w:t xml:space="preserve"> ensure that employer contribution rates are as stable as possible</w:t>
      </w:r>
    </w:p>
    <w:p w:rsidR="008F10F5" w:rsidRPr="00E7543F" w:rsidRDefault="00D227D9"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E7543F">
        <w:rPr>
          <w:rFonts w:ascii="Arial" w:hAnsi="Arial" w:cs="Arial"/>
          <w:sz w:val="24"/>
          <w:szCs w:val="24"/>
        </w:rPr>
        <w:t xml:space="preserve">to minimise </w:t>
      </w:r>
      <w:r w:rsidR="008F10F5" w:rsidRPr="00E7543F">
        <w:rPr>
          <w:rFonts w:ascii="Arial" w:hAnsi="Arial" w:cs="Arial"/>
          <w:sz w:val="24"/>
          <w:szCs w:val="24"/>
        </w:rPr>
        <w:t>the long-term cost of the Scheme by recognising the link between assets and liabilities and adopting an investment strategy that balances risk and return</w:t>
      </w:r>
    </w:p>
    <w:p w:rsidR="008F10F5" w:rsidRPr="00E7543F" w:rsidRDefault="008F10F5"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E7543F">
        <w:rPr>
          <w:rFonts w:ascii="Arial" w:hAnsi="Arial" w:cs="Arial"/>
          <w:sz w:val="24"/>
          <w:szCs w:val="24"/>
        </w:rPr>
        <w:t>to reflect the different characteristics of employing bodies in determining contribution rates where the administering authority considers it reasonable to do so</w:t>
      </w:r>
    </w:p>
    <w:p w:rsidR="00DD5919" w:rsidRPr="00E7543F" w:rsidRDefault="008F10F5" w:rsidP="00907AD2">
      <w:pPr>
        <w:widowControl w:val="0"/>
        <w:numPr>
          <w:ilvl w:val="0"/>
          <w:numId w:val="2"/>
        </w:numPr>
        <w:tabs>
          <w:tab w:val="clear" w:pos="960"/>
          <w:tab w:val="num" w:pos="600"/>
          <w:tab w:val="right" w:pos="3060"/>
          <w:tab w:val="right" w:pos="4150"/>
        </w:tabs>
        <w:ind w:left="600" w:hanging="600"/>
        <w:rPr>
          <w:rFonts w:ascii="Arial" w:hAnsi="Arial" w:cs="Arial"/>
          <w:sz w:val="24"/>
          <w:szCs w:val="24"/>
        </w:rPr>
      </w:pPr>
      <w:r w:rsidRPr="00E7543F">
        <w:rPr>
          <w:rFonts w:ascii="Arial" w:hAnsi="Arial" w:cs="Arial"/>
          <w:sz w:val="24"/>
          <w:szCs w:val="24"/>
        </w:rPr>
        <w:t>to</w:t>
      </w:r>
      <w:r w:rsidR="003A6FC5" w:rsidRPr="00E7543F">
        <w:rPr>
          <w:rFonts w:ascii="Arial" w:hAnsi="Arial" w:cs="Arial"/>
          <w:sz w:val="24"/>
          <w:szCs w:val="24"/>
        </w:rPr>
        <w:t xml:space="preserve"> use reasonable measures to reduce the risk to other employers and ultimately to the council tax payer from an employer defaulting on its pension obligations.</w:t>
      </w:r>
    </w:p>
    <w:p w:rsidR="003A6FC5" w:rsidRPr="00353BD1" w:rsidRDefault="003A6FC5" w:rsidP="003A6FC5">
      <w:pPr>
        <w:widowControl w:val="0"/>
        <w:tabs>
          <w:tab w:val="right" w:pos="3060"/>
          <w:tab w:val="right" w:pos="4150"/>
        </w:tabs>
        <w:rPr>
          <w:rFonts w:ascii="Arial" w:hAnsi="Arial" w:cs="Arial"/>
          <w:sz w:val="24"/>
          <w:szCs w:val="24"/>
        </w:rPr>
      </w:pPr>
    </w:p>
    <w:p w:rsidR="00806A47" w:rsidRPr="00353BD1" w:rsidRDefault="003A6FC5" w:rsidP="003A6FC5">
      <w:pPr>
        <w:widowControl w:val="0"/>
        <w:tabs>
          <w:tab w:val="right" w:pos="3060"/>
          <w:tab w:val="right" w:pos="4150"/>
        </w:tabs>
        <w:rPr>
          <w:rFonts w:ascii="Arial" w:hAnsi="Arial" w:cs="Arial"/>
          <w:sz w:val="24"/>
          <w:szCs w:val="24"/>
        </w:rPr>
      </w:pPr>
      <w:r w:rsidRPr="00353BD1">
        <w:rPr>
          <w:rFonts w:ascii="Arial" w:hAnsi="Arial" w:cs="Arial"/>
          <w:sz w:val="24"/>
          <w:szCs w:val="24"/>
        </w:rPr>
        <w:t xml:space="preserve">The aim is to achieve </w:t>
      </w:r>
      <w:r w:rsidR="00EA085F" w:rsidRPr="00353BD1">
        <w:rPr>
          <w:rFonts w:ascii="Arial" w:hAnsi="Arial" w:cs="Arial"/>
          <w:sz w:val="24"/>
          <w:szCs w:val="24"/>
        </w:rPr>
        <w:t>1</w:t>
      </w:r>
      <w:r w:rsidR="0021727B" w:rsidRPr="00353BD1">
        <w:rPr>
          <w:rFonts w:ascii="Arial" w:hAnsi="Arial" w:cs="Arial"/>
          <w:sz w:val="24"/>
          <w:szCs w:val="24"/>
        </w:rPr>
        <w:t>00% solvency over a period of 22</w:t>
      </w:r>
      <w:r w:rsidR="00EA085F" w:rsidRPr="00353BD1">
        <w:rPr>
          <w:rFonts w:ascii="Arial" w:hAnsi="Arial" w:cs="Arial"/>
          <w:sz w:val="24"/>
          <w:szCs w:val="24"/>
        </w:rPr>
        <w:t xml:space="preserve"> years </w:t>
      </w:r>
      <w:r w:rsidR="00806A47" w:rsidRPr="00353BD1">
        <w:rPr>
          <w:rFonts w:ascii="Arial" w:hAnsi="Arial" w:cs="Arial"/>
          <w:sz w:val="24"/>
          <w:szCs w:val="24"/>
        </w:rPr>
        <w:t>from</w:t>
      </w:r>
    </w:p>
    <w:p w:rsidR="00EA085F" w:rsidRPr="00353BD1" w:rsidRDefault="0021727B" w:rsidP="003A6FC5">
      <w:pPr>
        <w:widowControl w:val="0"/>
        <w:tabs>
          <w:tab w:val="right" w:pos="3060"/>
          <w:tab w:val="right" w:pos="4150"/>
        </w:tabs>
        <w:rPr>
          <w:rFonts w:ascii="Arial" w:hAnsi="Arial" w:cs="Arial"/>
          <w:sz w:val="24"/>
          <w:szCs w:val="24"/>
        </w:rPr>
      </w:pPr>
      <w:r w:rsidRPr="00353BD1">
        <w:rPr>
          <w:rFonts w:ascii="Arial" w:hAnsi="Arial" w:cs="Arial"/>
          <w:sz w:val="24"/>
          <w:szCs w:val="24"/>
        </w:rPr>
        <w:t>1 April 2013</w:t>
      </w:r>
      <w:r w:rsidR="00806A47" w:rsidRPr="00353BD1">
        <w:rPr>
          <w:rFonts w:ascii="Arial" w:hAnsi="Arial" w:cs="Arial"/>
          <w:sz w:val="24"/>
          <w:szCs w:val="24"/>
        </w:rPr>
        <w:t xml:space="preserve"> </w:t>
      </w:r>
      <w:r w:rsidR="00EA085F" w:rsidRPr="00353BD1">
        <w:rPr>
          <w:rFonts w:ascii="Arial" w:hAnsi="Arial" w:cs="Arial"/>
          <w:sz w:val="24"/>
          <w:szCs w:val="24"/>
        </w:rPr>
        <w:t xml:space="preserve">and to provide stability in employer contribution rates by </w:t>
      </w:r>
      <w:r w:rsidR="000F2C9B">
        <w:rPr>
          <w:rFonts w:ascii="Arial" w:hAnsi="Arial" w:cs="Arial"/>
          <w:sz w:val="24"/>
          <w:szCs w:val="24"/>
        </w:rPr>
        <w:t>spreading any increases</w:t>
      </w:r>
      <w:r w:rsidR="00EA085F" w:rsidRPr="00353BD1">
        <w:rPr>
          <w:rFonts w:ascii="Arial" w:hAnsi="Arial" w:cs="Arial"/>
          <w:sz w:val="24"/>
          <w:szCs w:val="24"/>
        </w:rPr>
        <w:t xml:space="preserve"> </w:t>
      </w:r>
      <w:r w:rsidR="005150DD">
        <w:rPr>
          <w:rFonts w:ascii="Arial" w:hAnsi="Arial" w:cs="Arial"/>
          <w:sz w:val="24"/>
          <w:szCs w:val="24"/>
        </w:rPr>
        <w:t xml:space="preserve">in rates </w:t>
      </w:r>
      <w:r w:rsidR="00EA085F" w:rsidRPr="00353BD1">
        <w:rPr>
          <w:rFonts w:ascii="Arial" w:hAnsi="Arial" w:cs="Arial"/>
          <w:sz w:val="24"/>
          <w:szCs w:val="24"/>
        </w:rPr>
        <w:t>over a period of time. Solvency is achieved when the funds held, plus future expected investment returns and future contributions, are sufficient to meet expected f</w:t>
      </w:r>
      <w:r w:rsidR="00806A47" w:rsidRPr="00353BD1">
        <w:rPr>
          <w:rFonts w:ascii="Arial" w:hAnsi="Arial" w:cs="Arial"/>
          <w:sz w:val="24"/>
          <w:szCs w:val="24"/>
        </w:rPr>
        <w:t>uture pension benefits payable.</w:t>
      </w:r>
    </w:p>
    <w:p w:rsidR="00806A47" w:rsidRPr="005947CE" w:rsidRDefault="00806A47" w:rsidP="003A6FC5">
      <w:pPr>
        <w:widowControl w:val="0"/>
        <w:tabs>
          <w:tab w:val="right" w:pos="3060"/>
          <w:tab w:val="right" w:pos="4150"/>
        </w:tabs>
        <w:rPr>
          <w:rFonts w:ascii="Arial" w:hAnsi="Arial" w:cs="Arial"/>
          <w:sz w:val="24"/>
          <w:szCs w:val="24"/>
        </w:rPr>
      </w:pPr>
    </w:p>
    <w:p w:rsidR="00EA085F" w:rsidRPr="005947CE" w:rsidRDefault="00EA085F" w:rsidP="003A6FC5">
      <w:pPr>
        <w:widowControl w:val="0"/>
        <w:tabs>
          <w:tab w:val="right" w:pos="3060"/>
          <w:tab w:val="right" w:pos="4150"/>
        </w:tabs>
        <w:rPr>
          <w:rFonts w:ascii="Arial" w:hAnsi="Arial" w:cs="Arial"/>
          <w:sz w:val="24"/>
          <w:szCs w:val="24"/>
        </w:rPr>
      </w:pPr>
      <w:r w:rsidRPr="005947CE">
        <w:rPr>
          <w:rFonts w:ascii="Arial" w:hAnsi="Arial" w:cs="Arial"/>
          <w:sz w:val="24"/>
          <w:szCs w:val="24"/>
        </w:rPr>
        <w:t>At the 2010 actuarial valua</w:t>
      </w:r>
      <w:r w:rsidR="002A1098" w:rsidRPr="005947CE">
        <w:rPr>
          <w:rFonts w:ascii="Arial" w:hAnsi="Arial" w:cs="Arial"/>
          <w:sz w:val="24"/>
          <w:szCs w:val="24"/>
        </w:rPr>
        <w:t>tion, the Fund was assessed as 6</w:t>
      </w:r>
      <w:r w:rsidR="00E16F2E" w:rsidRPr="005947CE">
        <w:rPr>
          <w:rFonts w:ascii="Arial" w:hAnsi="Arial" w:cs="Arial"/>
          <w:sz w:val="24"/>
          <w:szCs w:val="24"/>
        </w:rPr>
        <w:t>1</w:t>
      </w:r>
      <w:r w:rsidR="00363D46" w:rsidRPr="005947CE">
        <w:rPr>
          <w:rFonts w:ascii="Arial" w:hAnsi="Arial" w:cs="Arial"/>
          <w:sz w:val="24"/>
          <w:szCs w:val="24"/>
        </w:rPr>
        <w:t>% funded (72</w:t>
      </w:r>
      <w:r w:rsidRPr="005947CE">
        <w:rPr>
          <w:rFonts w:ascii="Arial" w:hAnsi="Arial" w:cs="Arial"/>
          <w:sz w:val="24"/>
          <w:szCs w:val="24"/>
        </w:rPr>
        <w:t>% at the March 2007 valuation). This cor</w:t>
      </w:r>
      <w:r w:rsidR="00E16F2E" w:rsidRPr="005947CE">
        <w:rPr>
          <w:rFonts w:ascii="Arial" w:hAnsi="Arial" w:cs="Arial"/>
          <w:sz w:val="24"/>
          <w:szCs w:val="24"/>
        </w:rPr>
        <w:t>responded to a deficit of £294m</w:t>
      </w:r>
      <w:r w:rsidR="00363D46" w:rsidRPr="005947CE">
        <w:rPr>
          <w:rFonts w:ascii="Arial" w:hAnsi="Arial" w:cs="Arial"/>
          <w:sz w:val="24"/>
          <w:szCs w:val="24"/>
        </w:rPr>
        <w:t xml:space="preserve"> (2007 valuation: £194m</w:t>
      </w:r>
      <w:r w:rsidRPr="005947CE">
        <w:rPr>
          <w:rFonts w:ascii="Arial" w:hAnsi="Arial" w:cs="Arial"/>
          <w:sz w:val="24"/>
          <w:szCs w:val="24"/>
        </w:rPr>
        <w:t>) at that time.</w:t>
      </w:r>
    </w:p>
    <w:p w:rsidR="005947CE" w:rsidRPr="003D2F7A" w:rsidRDefault="005947CE" w:rsidP="003A6FC5">
      <w:pPr>
        <w:widowControl w:val="0"/>
        <w:tabs>
          <w:tab w:val="right" w:pos="3060"/>
          <w:tab w:val="right" w:pos="4150"/>
        </w:tabs>
        <w:rPr>
          <w:rFonts w:ascii="Arial" w:hAnsi="Arial" w:cs="Arial"/>
          <w:sz w:val="24"/>
          <w:szCs w:val="24"/>
          <w:highlight w:val="yellow"/>
        </w:rPr>
      </w:pPr>
    </w:p>
    <w:p w:rsidR="00DE7416" w:rsidRDefault="00DE7416">
      <w:pPr>
        <w:rPr>
          <w:rFonts w:ascii="Arial" w:hAnsi="Arial" w:cs="Arial"/>
          <w:snapToGrid w:val="0"/>
          <w:sz w:val="24"/>
          <w:szCs w:val="24"/>
          <w:highlight w:val="yellow"/>
        </w:rPr>
      </w:pPr>
      <w:r>
        <w:rPr>
          <w:rFonts w:ascii="Arial" w:hAnsi="Arial" w:cs="Arial"/>
          <w:snapToGrid w:val="0"/>
          <w:sz w:val="24"/>
          <w:szCs w:val="24"/>
          <w:highlight w:val="yellow"/>
        </w:rPr>
        <w:br w:type="page"/>
      </w:r>
    </w:p>
    <w:p w:rsidR="00DE7416" w:rsidRDefault="005947CE" w:rsidP="00E4786A">
      <w:pPr>
        <w:widowControl w:val="0"/>
        <w:tabs>
          <w:tab w:val="left" w:pos="180"/>
          <w:tab w:val="right" w:pos="3060"/>
          <w:tab w:val="right" w:pos="4150"/>
        </w:tabs>
        <w:rPr>
          <w:rFonts w:ascii="Arial" w:hAnsi="Arial" w:cs="Arial"/>
          <w:sz w:val="24"/>
          <w:szCs w:val="24"/>
        </w:rPr>
      </w:pPr>
      <w:r w:rsidRPr="008A5C03">
        <w:rPr>
          <w:rFonts w:ascii="Arial" w:hAnsi="Arial" w:cs="Arial"/>
          <w:snapToGrid w:val="0"/>
          <w:sz w:val="24"/>
          <w:szCs w:val="24"/>
        </w:rPr>
        <w:lastRenderedPageBreak/>
        <w:t>C</w:t>
      </w:r>
      <w:r w:rsidR="00E4786A" w:rsidRPr="008A5C03">
        <w:rPr>
          <w:rFonts w:ascii="Arial" w:hAnsi="Arial" w:cs="Arial"/>
          <w:snapToGrid w:val="0"/>
          <w:sz w:val="24"/>
          <w:szCs w:val="24"/>
        </w:rPr>
        <w:t xml:space="preserve">ontribution </w:t>
      </w:r>
      <w:r w:rsidR="006926B9" w:rsidRPr="008A5C03">
        <w:rPr>
          <w:rFonts w:ascii="Arial" w:hAnsi="Arial" w:cs="Arial"/>
          <w:snapToGrid w:val="0"/>
          <w:sz w:val="24"/>
          <w:szCs w:val="24"/>
        </w:rPr>
        <w:t xml:space="preserve">increases were phased in over the three-year period ending 31 March 2014 for both </w:t>
      </w:r>
      <w:r w:rsidR="00E771CE" w:rsidRPr="008A5C03">
        <w:rPr>
          <w:rFonts w:ascii="Arial" w:hAnsi="Arial" w:cs="Arial"/>
          <w:snapToGrid w:val="0"/>
          <w:sz w:val="24"/>
          <w:szCs w:val="24"/>
        </w:rPr>
        <w:t>Scheme</w:t>
      </w:r>
      <w:r w:rsidR="006926B9" w:rsidRPr="008A5C03">
        <w:rPr>
          <w:rFonts w:ascii="Arial" w:hAnsi="Arial" w:cs="Arial"/>
          <w:snapToGrid w:val="0"/>
          <w:sz w:val="24"/>
          <w:szCs w:val="24"/>
        </w:rPr>
        <w:t xml:space="preserve"> employers and admitted bodies.</w:t>
      </w:r>
      <w:r w:rsidR="00E771CE" w:rsidRPr="008A5C03">
        <w:rPr>
          <w:rFonts w:ascii="Arial" w:hAnsi="Arial" w:cs="Arial"/>
          <w:snapToGrid w:val="0"/>
          <w:sz w:val="24"/>
          <w:szCs w:val="24"/>
        </w:rPr>
        <w:t xml:space="preserve"> </w:t>
      </w:r>
      <w:r w:rsidR="00E225DA" w:rsidRPr="008A5C03">
        <w:rPr>
          <w:rFonts w:ascii="Arial" w:hAnsi="Arial" w:cs="Arial"/>
          <w:snapToGrid w:val="0"/>
          <w:sz w:val="24"/>
          <w:szCs w:val="24"/>
        </w:rPr>
        <w:t>T</w:t>
      </w:r>
      <w:r w:rsidR="00E225DA" w:rsidRPr="008A5C03">
        <w:rPr>
          <w:rFonts w:ascii="Arial" w:hAnsi="Arial" w:cs="Arial"/>
          <w:sz w:val="24"/>
          <w:szCs w:val="24"/>
        </w:rPr>
        <w:t xml:space="preserve">he most commonly applied employer contribution rate within the Brent Pension Fund </w:t>
      </w:r>
      <w:r w:rsidR="00DE7416" w:rsidRPr="008A5C03">
        <w:rPr>
          <w:rFonts w:ascii="Arial" w:hAnsi="Arial" w:cs="Arial"/>
          <w:sz w:val="24"/>
          <w:szCs w:val="24"/>
        </w:rPr>
        <w:t>is:</w:t>
      </w:r>
    </w:p>
    <w:p w:rsidR="00DE7416" w:rsidRDefault="00DE7416" w:rsidP="00E4786A">
      <w:pPr>
        <w:widowControl w:val="0"/>
        <w:tabs>
          <w:tab w:val="left" w:pos="180"/>
          <w:tab w:val="right" w:pos="3060"/>
          <w:tab w:val="right" w:pos="4150"/>
        </w:tabs>
        <w:rPr>
          <w:rFonts w:ascii="Arial" w:hAnsi="Arial" w:cs="Arial"/>
          <w:sz w:val="24"/>
          <w:szCs w:val="24"/>
        </w:rPr>
      </w:pPr>
    </w:p>
    <w:p w:rsidR="007C3E70" w:rsidRPr="00B31109" w:rsidRDefault="007C3E70" w:rsidP="00E4786A">
      <w:pPr>
        <w:widowControl w:val="0"/>
        <w:tabs>
          <w:tab w:val="left" w:pos="180"/>
          <w:tab w:val="right" w:pos="3060"/>
          <w:tab w:val="right" w:pos="4150"/>
        </w:tabs>
        <w:rPr>
          <w:rFonts w:ascii="Arial" w:hAnsi="Arial" w:cs="Arial"/>
          <w:b/>
          <w:sz w:val="24"/>
          <w:szCs w:val="24"/>
        </w:rPr>
      </w:pPr>
      <w:r w:rsidRPr="00B31109">
        <w:rPr>
          <w:rFonts w:ascii="Arial" w:hAnsi="Arial" w:cs="Arial"/>
          <w:b/>
          <w:sz w:val="24"/>
          <w:szCs w:val="24"/>
        </w:rPr>
        <w:t>Year</w:t>
      </w:r>
      <w:r w:rsidRPr="00B31109">
        <w:rPr>
          <w:rFonts w:ascii="Arial" w:hAnsi="Arial" w:cs="Arial"/>
          <w:b/>
          <w:sz w:val="24"/>
          <w:szCs w:val="24"/>
        </w:rPr>
        <w:tab/>
      </w:r>
      <w:r w:rsidRPr="00B31109">
        <w:rPr>
          <w:rFonts w:ascii="Arial" w:hAnsi="Arial" w:cs="Arial"/>
          <w:b/>
          <w:sz w:val="24"/>
          <w:szCs w:val="24"/>
        </w:rPr>
        <w:tab/>
      </w:r>
      <w:r w:rsidRPr="00B31109">
        <w:rPr>
          <w:rFonts w:ascii="Arial" w:hAnsi="Arial" w:cs="Arial"/>
          <w:b/>
          <w:sz w:val="24"/>
          <w:szCs w:val="24"/>
        </w:rPr>
        <w:tab/>
        <w:t>Employers’ contribution rate</w:t>
      </w:r>
    </w:p>
    <w:p w:rsidR="00DE7416" w:rsidRDefault="00B31109" w:rsidP="00E4786A">
      <w:pPr>
        <w:widowControl w:val="0"/>
        <w:tabs>
          <w:tab w:val="left" w:pos="180"/>
          <w:tab w:val="right" w:pos="3060"/>
          <w:tab w:val="right" w:pos="4150"/>
        </w:tabs>
        <w:rPr>
          <w:rFonts w:ascii="Arial" w:hAnsi="Arial" w:cs="Arial"/>
          <w:sz w:val="24"/>
          <w:szCs w:val="24"/>
        </w:rPr>
      </w:pPr>
      <w:r>
        <w:rPr>
          <w:rFonts w:ascii="Arial" w:hAnsi="Arial" w:cs="Arial"/>
          <w:sz w:val="24"/>
          <w:szCs w:val="24"/>
        </w:rPr>
        <w:t>2011/12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05FB">
        <w:rPr>
          <w:rFonts w:ascii="Arial" w:hAnsi="Arial" w:cs="Arial"/>
          <w:sz w:val="24"/>
          <w:szCs w:val="24"/>
        </w:rPr>
        <w:tab/>
      </w:r>
      <w:r>
        <w:rPr>
          <w:rFonts w:ascii="Arial" w:hAnsi="Arial" w:cs="Arial"/>
          <w:sz w:val="24"/>
          <w:szCs w:val="24"/>
        </w:rPr>
        <w:t>25.1%</w:t>
      </w:r>
    </w:p>
    <w:p w:rsidR="00DE7416" w:rsidRDefault="00B31109" w:rsidP="00E4786A">
      <w:pPr>
        <w:widowControl w:val="0"/>
        <w:tabs>
          <w:tab w:val="left" w:pos="180"/>
          <w:tab w:val="right" w:pos="3060"/>
          <w:tab w:val="right" w:pos="4150"/>
        </w:tabs>
        <w:rPr>
          <w:rFonts w:ascii="Arial" w:hAnsi="Arial" w:cs="Arial"/>
          <w:sz w:val="24"/>
          <w:szCs w:val="24"/>
        </w:rPr>
      </w:pPr>
      <w:r>
        <w:rPr>
          <w:rFonts w:ascii="Arial" w:hAnsi="Arial" w:cs="Arial"/>
          <w:sz w:val="24"/>
          <w:szCs w:val="24"/>
        </w:rPr>
        <w:t>2012/13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26.9%</w:t>
      </w:r>
    </w:p>
    <w:p w:rsidR="00B31109" w:rsidRDefault="00B31109" w:rsidP="00E4786A">
      <w:pPr>
        <w:widowControl w:val="0"/>
        <w:tabs>
          <w:tab w:val="left" w:pos="180"/>
          <w:tab w:val="right" w:pos="3060"/>
          <w:tab w:val="right" w:pos="4150"/>
        </w:tabs>
        <w:rPr>
          <w:rFonts w:ascii="Arial" w:hAnsi="Arial" w:cs="Arial"/>
          <w:sz w:val="24"/>
          <w:szCs w:val="24"/>
        </w:rPr>
      </w:pPr>
      <w:r>
        <w:rPr>
          <w:rFonts w:ascii="Arial" w:hAnsi="Arial" w:cs="Arial"/>
          <w:sz w:val="24"/>
          <w:szCs w:val="24"/>
        </w:rPr>
        <w:t>2013/14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27.4%</w:t>
      </w:r>
    </w:p>
    <w:p w:rsidR="00DE7416" w:rsidRDefault="00DE7416" w:rsidP="00E4786A">
      <w:pPr>
        <w:widowControl w:val="0"/>
        <w:tabs>
          <w:tab w:val="left" w:pos="180"/>
          <w:tab w:val="right" w:pos="3060"/>
          <w:tab w:val="right" w:pos="4150"/>
        </w:tabs>
        <w:rPr>
          <w:rFonts w:ascii="Arial" w:hAnsi="Arial" w:cs="Arial"/>
          <w:sz w:val="24"/>
          <w:szCs w:val="24"/>
        </w:rPr>
      </w:pPr>
    </w:p>
    <w:p w:rsidR="00E4786A" w:rsidRDefault="00515F55" w:rsidP="00E4786A">
      <w:pPr>
        <w:widowControl w:val="0"/>
        <w:tabs>
          <w:tab w:val="left" w:pos="180"/>
          <w:tab w:val="right" w:pos="3060"/>
          <w:tab w:val="right" w:pos="4150"/>
        </w:tabs>
        <w:rPr>
          <w:rFonts w:ascii="Arial" w:hAnsi="Arial" w:cs="Arial"/>
          <w:sz w:val="24"/>
          <w:szCs w:val="24"/>
        </w:rPr>
      </w:pPr>
      <w:r>
        <w:rPr>
          <w:rFonts w:ascii="Arial" w:hAnsi="Arial" w:cs="Arial"/>
          <w:sz w:val="24"/>
          <w:szCs w:val="24"/>
        </w:rPr>
        <w:t xml:space="preserve">Individual employers’ rates will vary from the common contribution rate depending </w:t>
      </w:r>
      <w:r w:rsidR="00B95239">
        <w:rPr>
          <w:rFonts w:ascii="Arial" w:hAnsi="Arial" w:cs="Arial"/>
          <w:sz w:val="24"/>
          <w:szCs w:val="24"/>
        </w:rPr>
        <w:t>on the demographic and actuarial factors particular to each employer. Full details of the contribution rates payable can be found in the 2010 actuarial valuation report and the funding strategy statement on the Fund’s website.</w:t>
      </w:r>
    </w:p>
    <w:p w:rsidR="00B95239" w:rsidRPr="00EE6D75" w:rsidRDefault="00B95239" w:rsidP="00E4786A">
      <w:pPr>
        <w:widowControl w:val="0"/>
        <w:tabs>
          <w:tab w:val="left" w:pos="180"/>
          <w:tab w:val="right" w:pos="3060"/>
          <w:tab w:val="right" w:pos="4150"/>
        </w:tabs>
        <w:rPr>
          <w:rFonts w:ascii="Arial" w:hAnsi="Arial" w:cs="Arial"/>
          <w:snapToGrid w:val="0"/>
          <w:sz w:val="24"/>
          <w:szCs w:val="24"/>
        </w:rPr>
      </w:pPr>
    </w:p>
    <w:p w:rsidR="00DD5919" w:rsidRPr="00EE6D75" w:rsidRDefault="003E057E" w:rsidP="00DD5919">
      <w:pPr>
        <w:widowControl w:val="0"/>
        <w:tabs>
          <w:tab w:val="left" w:pos="600"/>
          <w:tab w:val="right" w:pos="3060"/>
          <w:tab w:val="right" w:pos="4150"/>
        </w:tabs>
        <w:rPr>
          <w:rFonts w:ascii="Arial" w:hAnsi="Arial" w:cs="Arial"/>
          <w:sz w:val="24"/>
          <w:szCs w:val="24"/>
        </w:rPr>
      </w:pPr>
      <w:r w:rsidRPr="00EE6D75">
        <w:rPr>
          <w:rFonts w:ascii="Arial" w:hAnsi="Arial" w:cs="Arial"/>
          <w:sz w:val="24"/>
          <w:szCs w:val="24"/>
        </w:rPr>
        <w:t>The valuation of the Fund has been undertaken using the projected unit method under which the salary increase for each member is assumed to increase until they leave active service by death, retirement or withdrawal from service.</w:t>
      </w:r>
      <w:r w:rsidR="008A5C03" w:rsidRPr="00EE6D75">
        <w:rPr>
          <w:rFonts w:ascii="Arial" w:hAnsi="Arial" w:cs="Arial"/>
          <w:sz w:val="24"/>
          <w:szCs w:val="24"/>
        </w:rPr>
        <w:t xml:space="preserve"> The principal assumptions were</w:t>
      </w:r>
      <w:r w:rsidR="00FD306A" w:rsidRPr="00EE6D75">
        <w:rPr>
          <w:rFonts w:ascii="Arial" w:hAnsi="Arial" w:cs="Arial"/>
          <w:sz w:val="24"/>
          <w:szCs w:val="24"/>
        </w:rPr>
        <w:t>:</w:t>
      </w:r>
    </w:p>
    <w:p w:rsidR="003E057E" w:rsidRPr="00EE6D75" w:rsidRDefault="003E057E" w:rsidP="00DD5919">
      <w:pPr>
        <w:widowControl w:val="0"/>
        <w:tabs>
          <w:tab w:val="left" w:pos="600"/>
          <w:tab w:val="right" w:pos="3060"/>
          <w:tab w:val="right" w:pos="4150"/>
        </w:tabs>
        <w:rPr>
          <w:rFonts w:ascii="Arial" w:hAnsi="Arial" w:cs="Arial"/>
          <w:sz w:val="24"/>
          <w:szCs w:val="24"/>
        </w:rPr>
      </w:pPr>
    </w:p>
    <w:p w:rsidR="000E411E" w:rsidRPr="00EE6D75" w:rsidRDefault="000E411E" w:rsidP="000E411E">
      <w:pPr>
        <w:widowControl w:val="0"/>
        <w:tabs>
          <w:tab w:val="left" w:pos="18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The main actuarial assumptions used for the March 2010 actuarial valuation were as follows:</w:t>
      </w:r>
    </w:p>
    <w:p w:rsidR="000E411E" w:rsidRPr="00EE6D75" w:rsidRDefault="000E411E" w:rsidP="000E411E">
      <w:pPr>
        <w:widowControl w:val="0"/>
        <w:tabs>
          <w:tab w:val="left" w:pos="180"/>
          <w:tab w:val="right" w:pos="3060"/>
          <w:tab w:val="right" w:pos="4150"/>
        </w:tabs>
        <w:rPr>
          <w:rFonts w:ascii="Arial" w:hAnsi="Arial" w:cs="Arial"/>
          <w:snapToGrid w:val="0"/>
          <w:color w:val="000000"/>
          <w:sz w:val="24"/>
          <w:szCs w:val="24"/>
        </w:rPr>
      </w:pPr>
    </w:p>
    <w:p w:rsidR="000E411E" w:rsidRPr="00EE6D75" w:rsidRDefault="000E411E" w:rsidP="000E411E">
      <w:pPr>
        <w:widowControl w:val="0"/>
        <w:tabs>
          <w:tab w:val="left" w:pos="18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Discount rate for periods</w:t>
      </w:r>
    </w:p>
    <w:p w:rsidR="000E411E" w:rsidRPr="00EE6D75" w:rsidRDefault="000E411E" w:rsidP="000E411E">
      <w:pPr>
        <w:widowControl w:val="0"/>
        <w:tabs>
          <w:tab w:val="left" w:pos="180"/>
          <w:tab w:val="right" w:pos="3060"/>
          <w:tab w:val="right" w:pos="4150"/>
        </w:tabs>
        <w:rPr>
          <w:rFonts w:ascii="Arial" w:hAnsi="Arial" w:cs="Arial"/>
          <w:snapToGrid w:val="0"/>
          <w:color w:val="000000"/>
          <w:sz w:val="24"/>
          <w:szCs w:val="24"/>
        </w:rPr>
      </w:pPr>
    </w:p>
    <w:p w:rsidR="000E411E" w:rsidRPr="00EE6D75" w:rsidRDefault="000E411E" w:rsidP="000E411E">
      <w:pPr>
        <w:widowControl w:val="0"/>
        <w:tabs>
          <w:tab w:val="left" w:pos="60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ab/>
        <w:t>In service</w:t>
      </w:r>
    </w:p>
    <w:p w:rsidR="000E411E" w:rsidRPr="00EE6D75" w:rsidRDefault="00A53929" w:rsidP="000E411E">
      <w:pPr>
        <w:widowControl w:val="0"/>
        <w:tabs>
          <w:tab w:val="left" w:pos="108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ab/>
        <w:t>Scheduled bodies</w:t>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00A16250">
        <w:rPr>
          <w:rFonts w:ascii="Arial" w:hAnsi="Arial" w:cs="Arial"/>
          <w:snapToGrid w:val="0"/>
          <w:color w:val="000000"/>
          <w:sz w:val="24"/>
          <w:szCs w:val="24"/>
        </w:rPr>
        <w:tab/>
      </w:r>
      <w:r w:rsidR="004B7569">
        <w:rPr>
          <w:rFonts w:ascii="Arial" w:hAnsi="Arial" w:cs="Arial"/>
          <w:snapToGrid w:val="0"/>
          <w:color w:val="000000"/>
          <w:sz w:val="24"/>
          <w:szCs w:val="24"/>
        </w:rPr>
        <w:tab/>
      </w:r>
      <w:r w:rsidRPr="00EE6D75">
        <w:rPr>
          <w:rFonts w:ascii="Arial" w:hAnsi="Arial" w:cs="Arial"/>
          <w:snapToGrid w:val="0"/>
          <w:color w:val="000000"/>
          <w:sz w:val="24"/>
          <w:szCs w:val="24"/>
        </w:rPr>
        <w:t>7.5</w:t>
      </w:r>
      <w:r w:rsidR="000E411E" w:rsidRPr="00EE6D75">
        <w:rPr>
          <w:rFonts w:ascii="Arial" w:hAnsi="Arial" w:cs="Arial"/>
          <w:snapToGrid w:val="0"/>
          <w:color w:val="000000"/>
          <w:sz w:val="24"/>
          <w:szCs w:val="24"/>
        </w:rPr>
        <w:t>0% a year</w:t>
      </w:r>
    </w:p>
    <w:p w:rsidR="000E411E" w:rsidRPr="00EE6D75" w:rsidRDefault="000E411E" w:rsidP="000E411E">
      <w:pPr>
        <w:widowControl w:val="0"/>
        <w:tabs>
          <w:tab w:val="left" w:pos="108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ab/>
        <w:t>Admission bodies</w:t>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00A16250">
        <w:rPr>
          <w:rFonts w:ascii="Arial" w:hAnsi="Arial" w:cs="Arial"/>
          <w:snapToGrid w:val="0"/>
          <w:color w:val="000000"/>
          <w:sz w:val="24"/>
          <w:szCs w:val="24"/>
        </w:rPr>
        <w:tab/>
      </w:r>
      <w:r w:rsidR="004B7569">
        <w:rPr>
          <w:rFonts w:ascii="Arial" w:hAnsi="Arial" w:cs="Arial"/>
          <w:snapToGrid w:val="0"/>
          <w:color w:val="000000"/>
          <w:sz w:val="24"/>
          <w:szCs w:val="24"/>
        </w:rPr>
        <w:tab/>
      </w:r>
      <w:r w:rsidRPr="00EE6D75">
        <w:rPr>
          <w:rFonts w:ascii="Arial" w:hAnsi="Arial" w:cs="Arial"/>
          <w:snapToGrid w:val="0"/>
          <w:color w:val="000000"/>
          <w:sz w:val="24"/>
          <w:szCs w:val="24"/>
        </w:rPr>
        <w:t>6.25% a year</w:t>
      </w:r>
    </w:p>
    <w:p w:rsidR="000E411E" w:rsidRPr="00EE6D75" w:rsidRDefault="000E411E" w:rsidP="000E411E">
      <w:pPr>
        <w:widowControl w:val="0"/>
        <w:tabs>
          <w:tab w:val="left" w:pos="60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ab/>
        <w:t>After leaving service</w:t>
      </w:r>
    </w:p>
    <w:p w:rsidR="000E411E" w:rsidRPr="00EE6D75" w:rsidRDefault="008A703D" w:rsidP="000E411E">
      <w:pPr>
        <w:widowControl w:val="0"/>
        <w:tabs>
          <w:tab w:val="left" w:pos="108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ab/>
        <w:t>Scheduled bodies</w:t>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00A16250">
        <w:rPr>
          <w:rFonts w:ascii="Arial" w:hAnsi="Arial" w:cs="Arial"/>
          <w:snapToGrid w:val="0"/>
          <w:color w:val="000000"/>
          <w:sz w:val="24"/>
          <w:szCs w:val="24"/>
        </w:rPr>
        <w:tab/>
      </w:r>
      <w:r w:rsidR="004B7569">
        <w:rPr>
          <w:rFonts w:ascii="Arial" w:hAnsi="Arial" w:cs="Arial"/>
          <w:snapToGrid w:val="0"/>
          <w:color w:val="000000"/>
          <w:sz w:val="24"/>
          <w:szCs w:val="24"/>
        </w:rPr>
        <w:tab/>
      </w:r>
      <w:r w:rsidRPr="00EE6D75">
        <w:rPr>
          <w:rFonts w:ascii="Arial" w:hAnsi="Arial" w:cs="Arial"/>
          <w:snapToGrid w:val="0"/>
          <w:color w:val="000000"/>
          <w:sz w:val="24"/>
          <w:szCs w:val="24"/>
        </w:rPr>
        <w:t>7.5</w:t>
      </w:r>
      <w:r w:rsidR="000E411E" w:rsidRPr="00EE6D75">
        <w:rPr>
          <w:rFonts w:ascii="Arial" w:hAnsi="Arial" w:cs="Arial"/>
          <w:snapToGrid w:val="0"/>
          <w:color w:val="000000"/>
          <w:sz w:val="24"/>
          <w:szCs w:val="24"/>
        </w:rPr>
        <w:t>0% a year</w:t>
      </w:r>
    </w:p>
    <w:p w:rsidR="000E411E" w:rsidRPr="00EE6D75" w:rsidRDefault="000E411E" w:rsidP="000E411E">
      <w:pPr>
        <w:widowControl w:val="0"/>
        <w:tabs>
          <w:tab w:val="left" w:pos="1080"/>
          <w:tab w:val="right" w:pos="3060"/>
          <w:tab w:val="right" w:pos="4150"/>
        </w:tabs>
        <w:rPr>
          <w:rFonts w:ascii="Arial" w:hAnsi="Arial" w:cs="Arial"/>
          <w:snapToGrid w:val="0"/>
          <w:color w:val="000000"/>
          <w:sz w:val="24"/>
          <w:szCs w:val="24"/>
        </w:rPr>
      </w:pPr>
      <w:r w:rsidRPr="00EE6D75">
        <w:rPr>
          <w:rFonts w:ascii="Arial" w:hAnsi="Arial" w:cs="Arial"/>
          <w:snapToGrid w:val="0"/>
          <w:color w:val="000000"/>
          <w:sz w:val="24"/>
          <w:szCs w:val="24"/>
        </w:rPr>
        <w:tab/>
        <w:t>Admission bodies</w:t>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Pr="00EE6D75">
        <w:rPr>
          <w:rFonts w:ascii="Arial" w:hAnsi="Arial" w:cs="Arial"/>
          <w:snapToGrid w:val="0"/>
          <w:color w:val="000000"/>
          <w:sz w:val="24"/>
          <w:szCs w:val="24"/>
        </w:rPr>
        <w:tab/>
      </w:r>
      <w:r w:rsidR="00A16250">
        <w:rPr>
          <w:rFonts w:ascii="Arial" w:hAnsi="Arial" w:cs="Arial"/>
          <w:snapToGrid w:val="0"/>
          <w:color w:val="000000"/>
          <w:sz w:val="24"/>
          <w:szCs w:val="24"/>
        </w:rPr>
        <w:tab/>
      </w:r>
      <w:r w:rsidR="004B7569">
        <w:rPr>
          <w:rFonts w:ascii="Arial" w:hAnsi="Arial" w:cs="Arial"/>
          <w:snapToGrid w:val="0"/>
          <w:color w:val="000000"/>
          <w:sz w:val="24"/>
          <w:szCs w:val="24"/>
        </w:rPr>
        <w:tab/>
      </w:r>
      <w:r w:rsidRPr="00EE6D75">
        <w:rPr>
          <w:rFonts w:ascii="Arial" w:hAnsi="Arial" w:cs="Arial"/>
          <w:snapToGrid w:val="0"/>
          <w:color w:val="000000"/>
          <w:sz w:val="24"/>
          <w:szCs w:val="24"/>
        </w:rPr>
        <w:t>4.75% a year</w:t>
      </w:r>
    </w:p>
    <w:p w:rsidR="000E411E" w:rsidRPr="00EE6D75" w:rsidRDefault="000E411E" w:rsidP="000E411E">
      <w:pPr>
        <w:widowControl w:val="0"/>
        <w:tabs>
          <w:tab w:val="left" w:pos="600"/>
          <w:tab w:val="right" w:pos="3060"/>
          <w:tab w:val="right" w:pos="4150"/>
        </w:tabs>
        <w:rPr>
          <w:rFonts w:ascii="Arial" w:hAnsi="Arial" w:cs="Arial"/>
          <w:snapToGrid w:val="0"/>
          <w:color w:val="000000"/>
          <w:sz w:val="24"/>
          <w:szCs w:val="24"/>
        </w:rPr>
      </w:pPr>
    </w:p>
    <w:p w:rsidR="00591241" w:rsidRPr="006C46A6" w:rsidRDefault="00591241" w:rsidP="000E411E">
      <w:pPr>
        <w:widowControl w:val="0"/>
        <w:tabs>
          <w:tab w:val="left" w:pos="600"/>
          <w:tab w:val="right" w:pos="3060"/>
          <w:tab w:val="right" w:pos="4150"/>
        </w:tabs>
        <w:rPr>
          <w:rFonts w:ascii="Arial" w:hAnsi="Arial" w:cs="Arial"/>
          <w:snapToGrid w:val="0"/>
          <w:color w:val="000000"/>
          <w:sz w:val="24"/>
          <w:szCs w:val="24"/>
        </w:rPr>
      </w:pPr>
      <w:r w:rsidRPr="006C46A6">
        <w:rPr>
          <w:rFonts w:ascii="Arial" w:hAnsi="Arial" w:cs="Arial"/>
          <w:snapToGrid w:val="0"/>
          <w:color w:val="000000"/>
          <w:sz w:val="24"/>
          <w:szCs w:val="24"/>
        </w:rPr>
        <w:t>Inflation (assumed to be RPI)</w:t>
      </w:r>
      <w:r w:rsidRPr="006C46A6">
        <w:rPr>
          <w:rFonts w:ascii="Arial" w:hAnsi="Arial" w:cs="Arial"/>
          <w:snapToGrid w:val="0"/>
          <w:color w:val="000000"/>
          <w:sz w:val="24"/>
          <w:szCs w:val="24"/>
        </w:rPr>
        <w:tab/>
      </w:r>
      <w:r w:rsidRPr="006C46A6">
        <w:rPr>
          <w:rFonts w:ascii="Arial" w:hAnsi="Arial" w:cs="Arial"/>
          <w:snapToGrid w:val="0"/>
          <w:color w:val="000000"/>
          <w:sz w:val="24"/>
          <w:szCs w:val="24"/>
        </w:rPr>
        <w:tab/>
      </w:r>
      <w:r w:rsidRPr="006C46A6">
        <w:rPr>
          <w:rFonts w:ascii="Arial" w:hAnsi="Arial" w:cs="Arial"/>
          <w:snapToGrid w:val="0"/>
          <w:color w:val="000000"/>
          <w:sz w:val="24"/>
          <w:szCs w:val="24"/>
        </w:rPr>
        <w:tab/>
      </w:r>
      <w:r w:rsidR="00A16250" w:rsidRPr="006C46A6">
        <w:rPr>
          <w:rFonts w:ascii="Arial" w:hAnsi="Arial" w:cs="Arial"/>
          <w:snapToGrid w:val="0"/>
          <w:color w:val="000000"/>
          <w:sz w:val="24"/>
          <w:szCs w:val="24"/>
        </w:rPr>
        <w:tab/>
      </w:r>
      <w:r w:rsidR="004B7569" w:rsidRPr="006C46A6">
        <w:rPr>
          <w:rFonts w:ascii="Arial" w:hAnsi="Arial" w:cs="Arial"/>
          <w:snapToGrid w:val="0"/>
          <w:color w:val="000000"/>
          <w:sz w:val="24"/>
          <w:szCs w:val="24"/>
        </w:rPr>
        <w:tab/>
      </w:r>
      <w:r w:rsidRPr="006C46A6">
        <w:rPr>
          <w:rFonts w:ascii="Arial" w:hAnsi="Arial" w:cs="Arial"/>
          <w:snapToGrid w:val="0"/>
          <w:color w:val="000000"/>
          <w:sz w:val="24"/>
          <w:szCs w:val="24"/>
        </w:rPr>
        <w:t>3.80% a year</w:t>
      </w:r>
    </w:p>
    <w:p w:rsidR="00591241" w:rsidRPr="006C46A6" w:rsidRDefault="00591241" w:rsidP="000E411E">
      <w:pPr>
        <w:widowControl w:val="0"/>
        <w:tabs>
          <w:tab w:val="left" w:pos="600"/>
          <w:tab w:val="right" w:pos="3060"/>
          <w:tab w:val="right" w:pos="4150"/>
        </w:tabs>
        <w:rPr>
          <w:rFonts w:ascii="Arial" w:hAnsi="Arial" w:cs="Arial"/>
          <w:snapToGrid w:val="0"/>
          <w:color w:val="000000"/>
          <w:sz w:val="24"/>
          <w:szCs w:val="24"/>
        </w:rPr>
      </w:pPr>
    </w:p>
    <w:p w:rsidR="000E411E" w:rsidRPr="006C46A6" w:rsidRDefault="00DA4493" w:rsidP="000E411E">
      <w:pPr>
        <w:widowControl w:val="0"/>
        <w:tabs>
          <w:tab w:val="left" w:pos="600"/>
          <w:tab w:val="right" w:pos="3060"/>
          <w:tab w:val="right" w:pos="4150"/>
        </w:tabs>
        <w:rPr>
          <w:rFonts w:ascii="Arial" w:hAnsi="Arial" w:cs="Arial"/>
          <w:snapToGrid w:val="0"/>
          <w:color w:val="000000"/>
          <w:sz w:val="24"/>
          <w:szCs w:val="24"/>
        </w:rPr>
      </w:pPr>
      <w:r w:rsidRPr="006C46A6">
        <w:rPr>
          <w:rFonts w:ascii="Arial" w:hAnsi="Arial" w:cs="Arial"/>
          <w:snapToGrid w:val="0"/>
          <w:color w:val="000000"/>
          <w:sz w:val="24"/>
          <w:szCs w:val="24"/>
        </w:rPr>
        <w:t>S</w:t>
      </w:r>
      <w:r w:rsidR="00A16250" w:rsidRPr="006C46A6">
        <w:rPr>
          <w:rFonts w:ascii="Arial" w:hAnsi="Arial" w:cs="Arial"/>
          <w:snapToGrid w:val="0"/>
          <w:color w:val="000000"/>
          <w:sz w:val="24"/>
          <w:szCs w:val="24"/>
        </w:rPr>
        <w:t>alary increases (assumed to be 1</w:t>
      </w:r>
      <w:r w:rsidRPr="006C46A6">
        <w:rPr>
          <w:rFonts w:ascii="Arial" w:hAnsi="Arial" w:cs="Arial"/>
          <w:snapToGrid w:val="0"/>
          <w:color w:val="000000"/>
          <w:sz w:val="24"/>
          <w:szCs w:val="24"/>
        </w:rPr>
        <w:t>.5% over RPI</w:t>
      </w:r>
      <w:r w:rsidR="00A16250" w:rsidRPr="006C46A6">
        <w:rPr>
          <w:rFonts w:ascii="Arial" w:hAnsi="Arial" w:cs="Arial"/>
          <w:snapToGrid w:val="0"/>
          <w:color w:val="000000"/>
          <w:sz w:val="24"/>
          <w:szCs w:val="24"/>
        </w:rPr>
        <w:t>)</w:t>
      </w:r>
      <w:r w:rsidR="000E411E" w:rsidRPr="006C46A6">
        <w:rPr>
          <w:rFonts w:ascii="Arial" w:hAnsi="Arial" w:cs="Arial"/>
          <w:snapToGrid w:val="0"/>
          <w:color w:val="000000"/>
          <w:sz w:val="24"/>
          <w:szCs w:val="24"/>
        </w:rPr>
        <w:tab/>
      </w:r>
      <w:r w:rsidR="004B7569" w:rsidRPr="006C46A6">
        <w:rPr>
          <w:rFonts w:ascii="Arial" w:hAnsi="Arial" w:cs="Arial"/>
          <w:snapToGrid w:val="0"/>
          <w:color w:val="000000"/>
          <w:sz w:val="24"/>
          <w:szCs w:val="24"/>
        </w:rPr>
        <w:tab/>
      </w:r>
      <w:r w:rsidR="00A16250" w:rsidRPr="006C46A6">
        <w:rPr>
          <w:rFonts w:ascii="Arial" w:hAnsi="Arial" w:cs="Arial"/>
          <w:snapToGrid w:val="0"/>
          <w:color w:val="000000"/>
          <w:sz w:val="24"/>
          <w:szCs w:val="24"/>
        </w:rPr>
        <w:t>5</w:t>
      </w:r>
      <w:r w:rsidR="000E411E" w:rsidRPr="006C46A6">
        <w:rPr>
          <w:rFonts w:ascii="Arial" w:hAnsi="Arial" w:cs="Arial"/>
          <w:snapToGrid w:val="0"/>
          <w:color w:val="000000"/>
          <w:sz w:val="24"/>
          <w:szCs w:val="24"/>
        </w:rPr>
        <w:t>.</w:t>
      </w:r>
      <w:r w:rsidR="00A16250" w:rsidRPr="006C46A6">
        <w:rPr>
          <w:rFonts w:ascii="Arial" w:hAnsi="Arial" w:cs="Arial"/>
          <w:snapToGrid w:val="0"/>
          <w:color w:val="000000"/>
          <w:sz w:val="24"/>
          <w:szCs w:val="24"/>
        </w:rPr>
        <w:t>3</w:t>
      </w:r>
      <w:r w:rsidR="000E411E" w:rsidRPr="006C46A6">
        <w:rPr>
          <w:rFonts w:ascii="Arial" w:hAnsi="Arial" w:cs="Arial"/>
          <w:snapToGrid w:val="0"/>
          <w:color w:val="000000"/>
          <w:sz w:val="24"/>
          <w:szCs w:val="24"/>
        </w:rPr>
        <w:t>0% a year</w:t>
      </w:r>
    </w:p>
    <w:p w:rsidR="000E411E" w:rsidRPr="006C46A6" w:rsidRDefault="000E411E" w:rsidP="000E411E">
      <w:pPr>
        <w:widowControl w:val="0"/>
        <w:tabs>
          <w:tab w:val="left" w:pos="600"/>
          <w:tab w:val="right" w:pos="3060"/>
          <w:tab w:val="right" w:pos="4150"/>
        </w:tabs>
        <w:rPr>
          <w:rFonts w:ascii="Arial" w:hAnsi="Arial" w:cs="Arial"/>
          <w:snapToGrid w:val="0"/>
          <w:color w:val="000000"/>
          <w:sz w:val="24"/>
          <w:szCs w:val="24"/>
        </w:rPr>
      </w:pPr>
    </w:p>
    <w:p w:rsidR="000E411E" w:rsidRPr="006C46A6" w:rsidRDefault="00A7451D" w:rsidP="000E411E">
      <w:pPr>
        <w:widowControl w:val="0"/>
        <w:tabs>
          <w:tab w:val="left" w:pos="600"/>
          <w:tab w:val="right" w:pos="3060"/>
          <w:tab w:val="right" w:pos="4150"/>
        </w:tabs>
        <w:rPr>
          <w:rFonts w:ascii="Arial" w:hAnsi="Arial" w:cs="Arial"/>
          <w:snapToGrid w:val="0"/>
          <w:color w:val="000000"/>
          <w:sz w:val="24"/>
          <w:szCs w:val="24"/>
        </w:rPr>
      </w:pPr>
      <w:r w:rsidRPr="006C46A6">
        <w:rPr>
          <w:rFonts w:ascii="Arial" w:hAnsi="Arial" w:cs="Arial"/>
          <w:snapToGrid w:val="0"/>
          <w:color w:val="000000"/>
          <w:sz w:val="24"/>
          <w:szCs w:val="24"/>
        </w:rPr>
        <w:t>Pension increases (</w:t>
      </w:r>
      <w:r w:rsidR="006C46A6" w:rsidRPr="006C46A6">
        <w:rPr>
          <w:rFonts w:ascii="Arial" w:hAnsi="Arial" w:cs="Arial"/>
          <w:snapToGrid w:val="0"/>
          <w:color w:val="000000"/>
          <w:sz w:val="24"/>
          <w:szCs w:val="24"/>
        </w:rPr>
        <w:t xml:space="preserve">CPI </w:t>
      </w:r>
      <w:r w:rsidRPr="006C46A6">
        <w:rPr>
          <w:rFonts w:ascii="Arial" w:hAnsi="Arial" w:cs="Arial"/>
          <w:snapToGrid w:val="0"/>
          <w:color w:val="000000"/>
          <w:sz w:val="24"/>
          <w:szCs w:val="24"/>
        </w:rPr>
        <w:t xml:space="preserve">assumed to be 0.5% </w:t>
      </w:r>
      <w:r w:rsidR="004B7569" w:rsidRPr="006C46A6">
        <w:rPr>
          <w:rFonts w:ascii="Arial" w:hAnsi="Arial" w:cs="Arial"/>
          <w:snapToGrid w:val="0"/>
          <w:color w:val="000000"/>
          <w:sz w:val="24"/>
          <w:szCs w:val="24"/>
        </w:rPr>
        <w:t>less than RPI)</w:t>
      </w:r>
      <w:r w:rsidR="000E411E" w:rsidRPr="006C46A6">
        <w:rPr>
          <w:rFonts w:ascii="Arial" w:hAnsi="Arial" w:cs="Arial"/>
          <w:snapToGrid w:val="0"/>
          <w:color w:val="000000"/>
          <w:sz w:val="24"/>
          <w:szCs w:val="24"/>
        </w:rPr>
        <w:tab/>
      </w:r>
      <w:r w:rsidR="004B7569" w:rsidRPr="006C46A6">
        <w:rPr>
          <w:rFonts w:ascii="Arial" w:hAnsi="Arial" w:cs="Arial"/>
          <w:snapToGrid w:val="0"/>
          <w:color w:val="000000"/>
          <w:sz w:val="24"/>
          <w:szCs w:val="24"/>
        </w:rPr>
        <w:t>3.3</w:t>
      </w:r>
      <w:r w:rsidR="000E411E" w:rsidRPr="006C46A6">
        <w:rPr>
          <w:rFonts w:ascii="Arial" w:hAnsi="Arial" w:cs="Arial"/>
          <w:snapToGrid w:val="0"/>
          <w:color w:val="000000"/>
          <w:sz w:val="24"/>
          <w:szCs w:val="24"/>
        </w:rPr>
        <w:t>0% a year</w:t>
      </w:r>
    </w:p>
    <w:p w:rsidR="000E411E" w:rsidRDefault="000E411E" w:rsidP="000E411E">
      <w:pPr>
        <w:widowControl w:val="0"/>
        <w:tabs>
          <w:tab w:val="left" w:pos="600"/>
          <w:tab w:val="right" w:pos="3060"/>
          <w:tab w:val="right" w:pos="4150"/>
        </w:tabs>
        <w:rPr>
          <w:rFonts w:ascii="Arial" w:hAnsi="Arial" w:cs="Arial"/>
          <w:snapToGrid w:val="0"/>
          <w:color w:val="000000"/>
          <w:sz w:val="24"/>
          <w:szCs w:val="24"/>
        </w:rPr>
      </w:pPr>
    </w:p>
    <w:p w:rsidR="006C46A6" w:rsidRPr="00995458" w:rsidRDefault="006C46A6" w:rsidP="000E411E">
      <w:pPr>
        <w:widowControl w:val="0"/>
        <w:tabs>
          <w:tab w:val="left" w:pos="600"/>
          <w:tab w:val="right" w:pos="3060"/>
          <w:tab w:val="right" w:pos="4150"/>
        </w:tabs>
        <w:rPr>
          <w:rFonts w:ascii="Arial" w:hAnsi="Arial" w:cs="Arial"/>
          <w:b/>
          <w:sz w:val="24"/>
          <w:szCs w:val="24"/>
        </w:rPr>
      </w:pPr>
      <w:r w:rsidRPr="00995458">
        <w:rPr>
          <w:rFonts w:ascii="Arial" w:hAnsi="Arial" w:cs="Arial"/>
          <w:b/>
          <w:sz w:val="24"/>
          <w:szCs w:val="24"/>
        </w:rPr>
        <w:t>Mortality assumptions</w:t>
      </w:r>
    </w:p>
    <w:p w:rsidR="006C46A6" w:rsidRPr="00995458" w:rsidRDefault="006C46A6" w:rsidP="000E411E">
      <w:pPr>
        <w:widowControl w:val="0"/>
        <w:tabs>
          <w:tab w:val="left" w:pos="600"/>
          <w:tab w:val="right" w:pos="3060"/>
          <w:tab w:val="right" w:pos="4150"/>
        </w:tabs>
        <w:rPr>
          <w:rFonts w:ascii="Arial" w:hAnsi="Arial" w:cs="Arial"/>
          <w:b/>
          <w:sz w:val="24"/>
          <w:szCs w:val="24"/>
        </w:rPr>
      </w:pPr>
    </w:p>
    <w:p w:rsidR="006C46A6" w:rsidRPr="00995458" w:rsidRDefault="00F40021" w:rsidP="000E411E">
      <w:pPr>
        <w:widowControl w:val="0"/>
        <w:tabs>
          <w:tab w:val="left" w:pos="600"/>
          <w:tab w:val="right" w:pos="3060"/>
          <w:tab w:val="right" w:pos="4150"/>
        </w:tabs>
        <w:rPr>
          <w:rFonts w:ascii="Arial" w:hAnsi="Arial" w:cs="Arial"/>
          <w:snapToGrid w:val="0"/>
          <w:color w:val="000000"/>
          <w:sz w:val="24"/>
          <w:szCs w:val="24"/>
        </w:rPr>
      </w:pPr>
      <w:r w:rsidRPr="00995458">
        <w:rPr>
          <w:rFonts w:ascii="Arial" w:hAnsi="Arial" w:cs="Arial"/>
          <w:snapToGrid w:val="0"/>
          <w:color w:val="000000"/>
          <w:sz w:val="24"/>
          <w:szCs w:val="24"/>
        </w:rPr>
        <w:t>Future life</w:t>
      </w:r>
      <w:r w:rsidR="00C025D5" w:rsidRPr="00995458">
        <w:rPr>
          <w:rFonts w:ascii="Arial" w:hAnsi="Arial" w:cs="Arial"/>
          <w:snapToGrid w:val="0"/>
          <w:color w:val="000000"/>
          <w:sz w:val="24"/>
          <w:szCs w:val="24"/>
        </w:rPr>
        <w:t xml:space="preserve"> expectancy based on the Actuary’s fund-specific mortality review was:</w:t>
      </w:r>
    </w:p>
    <w:p w:rsidR="001918A5" w:rsidRPr="00995458" w:rsidRDefault="001918A5" w:rsidP="000E411E">
      <w:pPr>
        <w:widowControl w:val="0"/>
        <w:tabs>
          <w:tab w:val="left" w:pos="600"/>
          <w:tab w:val="right" w:pos="3060"/>
          <w:tab w:val="right" w:pos="4150"/>
        </w:tabs>
        <w:rPr>
          <w:rFonts w:ascii="Arial" w:hAnsi="Arial" w:cs="Arial"/>
          <w:snapToGrid w:val="0"/>
          <w:color w:val="000000"/>
          <w:sz w:val="24"/>
          <w:szCs w:val="24"/>
        </w:rPr>
      </w:pPr>
    </w:p>
    <w:p w:rsidR="001918A5" w:rsidRPr="00995458" w:rsidRDefault="001918A5" w:rsidP="000E411E">
      <w:pPr>
        <w:widowControl w:val="0"/>
        <w:tabs>
          <w:tab w:val="left" w:pos="600"/>
          <w:tab w:val="right" w:pos="3060"/>
          <w:tab w:val="right" w:pos="4150"/>
        </w:tabs>
        <w:rPr>
          <w:rFonts w:ascii="Arial" w:hAnsi="Arial" w:cs="Arial"/>
          <w:b/>
          <w:snapToGrid w:val="0"/>
          <w:color w:val="000000"/>
          <w:sz w:val="24"/>
          <w:szCs w:val="24"/>
        </w:rPr>
      </w:pPr>
      <w:r w:rsidRPr="00995458">
        <w:rPr>
          <w:rFonts w:ascii="Arial" w:hAnsi="Arial" w:cs="Arial"/>
          <w:b/>
          <w:snapToGrid w:val="0"/>
          <w:color w:val="000000"/>
          <w:sz w:val="24"/>
          <w:szCs w:val="24"/>
        </w:rPr>
        <w:t>Mortality assumption at age 65</w:t>
      </w:r>
      <w:r w:rsidRPr="00995458">
        <w:rPr>
          <w:rFonts w:ascii="Arial" w:hAnsi="Arial" w:cs="Arial"/>
          <w:b/>
          <w:snapToGrid w:val="0"/>
          <w:color w:val="000000"/>
          <w:sz w:val="24"/>
          <w:szCs w:val="24"/>
        </w:rPr>
        <w:tab/>
      </w:r>
      <w:r w:rsidRPr="00995458">
        <w:rPr>
          <w:rFonts w:ascii="Arial" w:hAnsi="Arial" w:cs="Arial"/>
          <w:b/>
          <w:snapToGrid w:val="0"/>
          <w:color w:val="000000"/>
          <w:sz w:val="24"/>
          <w:szCs w:val="24"/>
        </w:rPr>
        <w:tab/>
      </w:r>
      <w:r w:rsidRPr="00995458">
        <w:rPr>
          <w:rFonts w:ascii="Arial" w:hAnsi="Arial" w:cs="Arial"/>
          <w:b/>
          <w:snapToGrid w:val="0"/>
          <w:color w:val="000000"/>
          <w:sz w:val="24"/>
          <w:szCs w:val="24"/>
        </w:rPr>
        <w:tab/>
        <w:t>Male</w:t>
      </w:r>
      <w:r w:rsidRPr="00995458">
        <w:rPr>
          <w:rFonts w:ascii="Arial" w:hAnsi="Arial" w:cs="Arial"/>
          <w:b/>
          <w:snapToGrid w:val="0"/>
          <w:color w:val="000000"/>
          <w:sz w:val="24"/>
          <w:szCs w:val="24"/>
        </w:rPr>
        <w:tab/>
      </w:r>
      <w:r w:rsidRPr="00995458">
        <w:rPr>
          <w:rFonts w:ascii="Arial" w:hAnsi="Arial" w:cs="Arial"/>
          <w:b/>
          <w:snapToGrid w:val="0"/>
          <w:color w:val="000000"/>
          <w:sz w:val="24"/>
          <w:szCs w:val="24"/>
        </w:rPr>
        <w:tab/>
        <w:t>Female</w:t>
      </w:r>
    </w:p>
    <w:p w:rsidR="00F40021" w:rsidRPr="00995458" w:rsidRDefault="001918A5" w:rsidP="000E411E">
      <w:pPr>
        <w:widowControl w:val="0"/>
        <w:tabs>
          <w:tab w:val="left" w:pos="600"/>
          <w:tab w:val="right" w:pos="3060"/>
          <w:tab w:val="right" w:pos="4150"/>
        </w:tabs>
        <w:rPr>
          <w:rFonts w:ascii="Arial" w:hAnsi="Arial" w:cs="Arial"/>
          <w:snapToGrid w:val="0"/>
          <w:color w:val="000000"/>
          <w:sz w:val="24"/>
          <w:szCs w:val="24"/>
        </w:rPr>
      </w:pPr>
      <w:r w:rsidRPr="00995458">
        <w:rPr>
          <w:rFonts w:ascii="Arial" w:hAnsi="Arial" w:cs="Arial"/>
          <w:snapToGrid w:val="0"/>
          <w:color w:val="000000"/>
          <w:sz w:val="24"/>
          <w:szCs w:val="24"/>
        </w:rPr>
        <w:t xml:space="preserve">Current pensioners </w:t>
      </w:r>
      <w:r w:rsidRPr="00995458">
        <w:rPr>
          <w:rFonts w:ascii="Arial" w:hAnsi="Arial" w:cs="Arial"/>
          <w:snapToGrid w:val="0"/>
          <w:color w:val="000000"/>
          <w:sz w:val="24"/>
          <w:szCs w:val="24"/>
        </w:rPr>
        <w:tab/>
      </w:r>
      <w:r w:rsidRPr="00995458">
        <w:rPr>
          <w:rFonts w:ascii="Arial" w:hAnsi="Arial" w:cs="Arial"/>
          <w:snapToGrid w:val="0"/>
          <w:color w:val="000000"/>
          <w:sz w:val="24"/>
          <w:szCs w:val="24"/>
        </w:rPr>
        <w:tab/>
      </w:r>
      <w:r w:rsidRPr="00995458">
        <w:rPr>
          <w:rFonts w:ascii="Arial" w:hAnsi="Arial" w:cs="Arial"/>
          <w:snapToGrid w:val="0"/>
          <w:color w:val="000000"/>
          <w:sz w:val="24"/>
          <w:szCs w:val="24"/>
        </w:rPr>
        <w:tab/>
      </w:r>
      <w:r w:rsidRPr="00995458">
        <w:rPr>
          <w:rFonts w:ascii="Arial" w:hAnsi="Arial" w:cs="Arial"/>
          <w:snapToGrid w:val="0"/>
          <w:color w:val="000000"/>
          <w:sz w:val="24"/>
          <w:szCs w:val="24"/>
        </w:rPr>
        <w:tab/>
      </w:r>
      <w:r w:rsidR="00B320F1" w:rsidRPr="00995458">
        <w:rPr>
          <w:rFonts w:ascii="Arial" w:hAnsi="Arial" w:cs="Arial"/>
          <w:snapToGrid w:val="0"/>
          <w:color w:val="000000"/>
          <w:sz w:val="24"/>
          <w:szCs w:val="24"/>
        </w:rPr>
        <w:t>23.7 years</w:t>
      </w:r>
      <w:r w:rsidR="00B320F1" w:rsidRPr="00995458">
        <w:rPr>
          <w:rFonts w:ascii="Arial" w:hAnsi="Arial" w:cs="Arial"/>
          <w:snapToGrid w:val="0"/>
          <w:color w:val="000000"/>
          <w:sz w:val="24"/>
          <w:szCs w:val="24"/>
        </w:rPr>
        <w:tab/>
        <w:t>26.5</w:t>
      </w:r>
      <w:r w:rsidR="009077D9" w:rsidRPr="00995458">
        <w:rPr>
          <w:rFonts w:ascii="Arial" w:hAnsi="Arial" w:cs="Arial"/>
          <w:snapToGrid w:val="0"/>
          <w:color w:val="000000"/>
          <w:sz w:val="24"/>
          <w:szCs w:val="24"/>
        </w:rPr>
        <w:t xml:space="preserve"> years</w:t>
      </w:r>
    </w:p>
    <w:p w:rsidR="003E057E" w:rsidRPr="00C025D5" w:rsidRDefault="003E057E" w:rsidP="00DD5919">
      <w:pPr>
        <w:widowControl w:val="0"/>
        <w:tabs>
          <w:tab w:val="left" w:pos="600"/>
          <w:tab w:val="right" w:pos="3060"/>
          <w:tab w:val="right" w:pos="4150"/>
        </w:tabs>
        <w:rPr>
          <w:rFonts w:ascii="Arial" w:hAnsi="Arial" w:cs="Arial"/>
          <w:sz w:val="24"/>
          <w:szCs w:val="24"/>
        </w:rPr>
      </w:pPr>
    </w:p>
    <w:p w:rsidR="00995458" w:rsidRDefault="00995458">
      <w:pPr>
        <w:rPr>
          <w:rFonts w:ascii="Arial" w:hAnsi="Arial" w:cs="Arial"/>
          <w:b/>
          <w:sz w:val="24"/>
          <w:szCs w:val="24"/>
        </w:rPr>
      </w:pPr>
      <w:r>
        <w:rPr>
          <w:rFonts w:ascii="Arial" w:hAnsi="Arial" w:cs="Arial"/>
          <w:b/>
          <w:sz w:val="24"/>
          <w:szCs w:val="24"/>
        </w:rPr>
        <w:br w:type="page"/>
      </w:r>
    </w:p>
    <w:p w:rsidR="000F4A6A" w:rsidRPr="00C025D5" w:rsidRDefault="000F4A6A" w:rsidP="00DD5919">
      <w:pPr>
        <w:widowControl w:val="0"/>
        <w:tabs>
          <w:tab w:val="left" w:pos="600"/>
          <w:tab w:val="right" w:pos="3060"/>
          <w:tab w:val="right" w:pos="4150"/>
        </w:tabs>
        <w:rPr>
          <w:rFonts w:ascii="Arial" w:hAnsi="Arial" w:cs="Arial"/>
          <w:b/>
          <w:sz w:val="24"/>
          <w:szCs w:val="24"/>
        </w:rPr>
      </w:pPr>
      <w:r w:rsidRPr="00C025D5">
        <w:rPr>
          <w:rFonts w:ascii="Arial" w:hAnsi="Arial" w:cs="Arial"/>
          <w:b/>
          <w:sz w:val="24"/>
          <w:szCs w:val="24"/>
        </w:rPr>
        <w:lastRenderedPageBreak/>
        <w:t>Commutation assumption</w:t>
      </w:r>
    </w:p>
    <w:p w:rsidR="007C0004" w:rsidRDefault="007C0004" w:rsidP="008B7AFE">
      <w:pPr>
        <w:widowControl w:val="0"/>
        <w:tabs>
          <w:tab w:val="right" w:pos="7200"/>
        </w:tabs>
        <w:rPr>
          <w:rFonts w:ascii="Arial" w:hAnsi="Arial" w:cs="Arial"/>
          <w:snapToGrid w:val="0"/>
          <w:color w:val="000000"/>
          <w:sz w:val="24"/>
        </w:rPr>
      </w:pPr>
    </w:p>
    <w:p w:rsidR="000645F2" w:rsidRPr="00C025D5" w:rsidRDefault="000F4A6A" w:rsidP="008B7AFE">
      <w:pPr>
        <w:widowControl w:val="0"/>
        <w:tabs>
          <w:tab w:val="right" w:pos="7200"/>
        </w:tabs>
        <w:rPr>
          <w:rFonts w:ascii="Arial" w:hAnsi="Arial" w:cs="Arial"/>
          <w:snapToGrid w:val="0"/>
          <w:color w:val="000000"/>
          <w:sz w:val="24"/>
        </w:rPr>
      </w:pPr>
      <w:r w:rsidRPr="00C025D5">
        <w:rPr>
          <w:rFonts w:ascii="Arial" w:hAnsi="Arial" w:cs="Arial"/>
          <w:snapToGrid w:val="0"/>
          <w:color w:val="000000"/>
          <w:sz w:val="24"/>
        </w:rPr>
        <w:t>It is assumed that future retirees will take 25% of the maximum additional tax-free lump sum up to HMRC limits for pre-April 2008 service and 75% of the maximum for post-April 2008 service.</w:t>
      </w:r>
    </w:p>
    <w:p w:rsidR="000645F2" w:rsidRPr="003D2F7A" w:rsidRDefault="000645F2" w:rsidP="008B7AFE">
      <w:pPr>
        <w:widowControl w:val="0"/>
        <w:tabs>
          <w:tab w:val="right" w:pos="7200"/>
        </w:tabs>
        <w:rPr>
          <w:rFonts w:ascii="Arial" w:hAnsi="Arial" w:cs="Arial"/>
          <w:snapToGrid w:val="0"/>
          <w:color w:val="000000"/>
          <w:sz w:val="24"/>
          <w:highlight w:val="yellow"/>
        </w:rPr>
      </w:pPr>
    </w:p>
    <w:p w:rsidR="007830A6" w:rsidRPr="003D2F7A" w:rsidRDefault="007830A6" w:rsidP="008B7AFE">
      <w:pPr>
        <w:widowControl w:val="0"/>
        <w:tabs>
          <w:tab w:val="right" w:pos="7200"/>
        </w:tabs>
        <w:rPr>
          <w:rFonts w:ascii="Arial" w:hAnsi="Arial" w:cs="Arial"/>
          <w:snapToGrid w:val="0"/>
          <w:color w:val="000000"/>
          <w:sz w:val="24"/>
          <w:highlight w:val="yellow"/>
        </w:rPr>
      </w:pPr>
    </w:p>
    <w:p w:rsidR="008B7AFE" w:rsidRPr="000D1046" w:rsidRDefault="00E30BFB" w:rsidP="008B7AFE">
      <w:pPr>
        <w:widowControl w:val="0"/>
        <w:tabs>
          <w:tab w:val="right" w:pos="7200"/>
        </w:tabs>
        <w:rPr>
          <w:rFonts w:ascii="Arial" w:hAnsi="Arial" w:cs="Arial"/>
          <w:snapToGrid w:val="0"/>
          <w:color w:val="000000"/>
          <w:sz w:val="24"/>
        </w:rPr>
      </w:pPr>
      <w:r w:rsidRPr="000D1046">
        <w:rPr>
          <w:rFonts w:ascii="Arial" w:hAnsi="Arial" w:cs="Arial"/>
          <w:b/>
          <w:snapToGrid w:val="0"/>
          <w:color w:val="000000"/>
          <w:sz w:val="24"/>
        </w:rPr>
        <w:t>1</w:t>
      </w:r>
      <w:r w:rsidR="00F666FC">
        <w:rPr>
          <w:rFonts w:ascii="Arial" w:hAnsi="Arial" w:cs="Arial"/>
          <w:b/>
          <w:snapToGrid w:val="0"/>
          <w:color w:val="000000"/>
          <w:sz w:val="24"/>
        </w:rPr>
        <w:t>8</w:t>
      </w:r>
      <w:r w:rsidR="00774EEE" w:rsidRPr="000D1046">
        <w:rPr>
          <w:rFonts w:ascii="Arial" w:hAnsi="Arial" w:cs="Arial"/>
          <w:b/>
          <w:snapToGrid w:val="0"/>
          <w:color w:val="000000"/>
          <w:sz w:val="24"/>
        </w:rPr>
        <w:t>.</w:t>
      </w:r>
      <w:r w:rsidR="008665F5" w:rsidRPr="000D1046">
        <w:rPr>
          <w:rFonts w:ascii="Arial" w:hAnsi="Arial" w:cs="Arial"/>
          <w:b/>
          <w:snapToGrid w:val="0"/>
          <w:color w:val="000000"/>
          <w:sz w:val="24"/>
        </w:rPr>
        <w:t xml:space="preserve"> </w:t>
      </w:r>
      <w:r w:rsidR="0083647D" w:rsidRPr="000D1046">
        <w:rPr>
          <w:rFonts w:ascii="Arial" w:hAnsi="Arial" w:cs="Arial"/>
          <w:b/>
          <w:snapToGrid w:val="0"/>
          <w:color w:val="000000"/>
          <w:sz w:val="24"/>
        </w:rPr>
        <w:t xml:space="preserve"> </w:t>
      </w:r>
      <w:r w:rsidR="00774EEE" w:rsidRPr="000D1046">
        <w:rPr>
          <w:rFonts w:ascii="Arial" w:hAnsi="Arial" w:cs="Arial"/>
          <w:b/>
          <w:snapToGrid w:val="0"/>
          <w:color w:val="000000"/>
          <w:sz w:val="24"/>
        </w:rPr>
        <w:t>Actuarial present value of promised retirement benefits</w:t>
      </w:r>
    </w:p>
    <w:p w:rsidR="008B7AFE" w:rsidRPr="000D1046" w:rsidRDefault="008B7AFE" w:rsidP="008B7AFE">
      <w:pPr>
        <w:widowControl w:val="0"/>
        <w:tabs>
          <w:tab w:val="right" w:pos="0"/>
        </w:tabs>
        <w:rPr>
          <w:rFonts w:ascii="Arial" w:hAnsi="Arial" w:cs="Arial"/>
          <w:snapToGrid w:val="0"/>
          <w:color w:val="000000"/>
          <w:sz w:val="24"/>
          <w:szCs w:val="24"/>
        </w:rPr>
      </w:pPr>
    </w:p>
    <w:p w:rsidR="008B7AFE" w:rsidRPr="000D1046" w:rsidRDefault="008B7AFE" w:rsidP="008B7AFE">
      <w:pPr>
        <w:rPr>
          <w:rFonts w:ascii="Arial" w:hAnsi="Arial" w:cs="Arial"/>
          <w:snapToGrid w:val="0"/>
          <w:color w:val="000000"/>
          <w:sz w:val="24"/>
        </w:rPr>
      </w:pPr>
      <w:r w:rsidRPr="000D1046">
        <w:rPr>
          <w:rFonts w:ascii="Arial" w:hAnsi="Arial" w:cs="Arial"/>
          <w:snapToGrid w:val="0"/>
          <w:color w:val="000000"/>
          <w:sz w:val="24"/>
        </w:rPr>
        <w:t>In addition to the triennial</w:t>
      </w:r>
      <w:r w:rsidR="00F73169" w:rsidRPr="000D1046">
        <w:rPr>
          <w:rFonts w:ascii="Arial" w:hAnsi="Arial" w:cs="Arial"/>
          <w:snapToGrid w:val="0"/>
          <w:color w:val="000000"/>
          <w:sz w:val="24"/>
        </w:rPr>
        <w:t xml:space="preserve"> funding valuation, the Fund’s A</w:t>
      </w:r>
      <w:r w:rsidRPr="000D1046">
        <w:rPr>
          <w:rFonts w:ascii="Arial" w:hAnsi="Arial" w:cs="Arial"/>
          <w:snapToGrid w:val="0"/>
          <w:color w:val="000000"/>
          <w:sz w:val="24"/>
        </w:rPr>
        <w:t xml:space="preserve">ctuary also undertakes a valuation of the pension fund liabilities, on an IAS 19 basis, </w:t>
      </w:r>
      <w:r w:rsidR="00F73169" w:rsidRPr="000D1046">
        <w:rPr>
          <w:rFonts w:ascii="Arial" w:hAnsi="Arial" w:cs="Arial"/>
          <w:snapToGrid w:val="0"/>
          <w:color w:val="000000"/>
          <w:sz w:val="24"/>
        </w:rPr>
        <w:t xml:space="preserve">every year </w:t>
      </w:r>
      <w:r w:rsidRPr="000D1046">
        <w:rPr>
          <w:rFonts w:ascii="Arial" w:hAnsi="Arial" w:cs="Arial"/>
          <w:snapToGrid w:val="0"/>
          <w:color w:val="000000"/>
          <w:sz w:val="24"/>
        </w:rPr>
        <w:t>using the same base data as the funding valuation</w:t>
      </w:r>
      <w:r w:rsidR="00F73169" w:rsidRPr="000D1046">
        <w:rPr>
          <w:rFonts w:ascii="Arial" w:hAnsi="Arial" w:cs="Arial"/>
          <w:snapToGrid w:val="0"/>
          <w:color w:val="000000"/>
          <w:sz w:val="24"/>
        </w:rPr>
        <w:t xml:space="preserve"> rolled forward to the current financial year, taking account of changes in membership numbers and updating assumptions to the current year</w:t>
      </w:r>
      <w:r w:rsidRPr="000D1046">
        <w:rPr>
          <w:rFonts w:ascii="Arial" w:hAnsi="Arial" w:cs="Arial"/>
          <w:snapToGrid w:val="0"/>
          <w:color w:val="000000"/>
          <w:sz w:val="24"/>
        </w:rPr>
        <w:t>.</w:t>
      </w:r>
    </w:p>
    <w:p w:rsidR="008B7AFE" w:rsidRPr="000D1046" w:rsidRDefault="008B7AFE" w:rsidP="008B7AFE">
      <w:pPr>
        <w:rPr>
          <w:rFonts w:ascii="Arial" w:hAnsi="Arial" w:cs="Arial"/>
          <w:snapToGrid w:val="0"/>
          <w:color w:val="000000"/>
          <w:sz w:val="24"/>
        </w:rPr>
      </w:pPr>
    </w:p>
    <w:p w:rsidR="008B7AFE" w:rsidRPr="00684A52" w:rsidRDefault="008B7AFE" w:rsidP="008B7AFE">
      <w:pPr>
        <w:rPr>
          <w:rFonts w:ascii="Arial" w:hAnsi="Arial" w:cs="Arial"/>
          <w:snapToGrid w:val="0"/>
          <w:color w:val="000000"/>
          <w:sz w:val="24"/>
        </w:rPr>
      </w:pPr>
      <w:r w:rsidRPr="00684A52">
        <w:rPr>
          <w:rFonts w:ascii="Arial" w:hAnsi="Arial" w:cs="Arial"/>
          <w:snapToGrid w:val="0"/>
          <w:color w:val="000000"/>
          <w:sz w:val="24"/>
        </w:rPr>
        <w:t>In order to assess</w:t>
      </w:r>
      <w:r w:rsidR="00ED2A9F" w:rsidRPr="00684A52">
        <w:rPr>
          <w:rFonts w:ascii="Arial" w:hAnsi="Arial" w:cs="Arial"/>
          <w:snapToGrid w:val="0"/>
          <w:color w:val="000000"/>
          <w:sz w:val="24"/>
        </w:rPr>
        <w:t xml:space="preserve"> the value of t</w:t>
      </w:r>
      <w:r w:rsidR="000D1046" w:rsidRPr="00684A52">
        <w:rPr>
          <w:rFonts w:ascii="Arial" w:hAnsi="Arial" w:cs="Arial"/>
          <w:snapToGrid w:val="0"/>
          <w:color w:val="000000"/>
          <w:sz w:val="24"/>
        </w:rPr>
        <w:t>he benefits on this basis, the A</w:t>
      </w:r>
      <w:r w:rsidR="00ED2A9F" w:rsidRPr="00684A52">
        <w:rPr>
          <w:rFonts w:ascii="Arial" w:hAnsi="Arial" w:cs="Arial"/>
          <w:snapToGrid w:val="0"/>
          <w:color w:val="000000"/>
          <w:sz w:val="24"/>
        </w:rPr>
        <w:t>ctuary has updated the actuarial assumptions (set out below) from those used f</w:t>
      </w:r>
      <w:r w:rsidR="005B0862">
        <w:rPr>
          <w:rFonts w:ascii="Arial" w:hAnsi="Arial" w:cs="Arial"/>
          <w:snapToGrid w:val="0"/>
          <w:color w:val="000000"/>
          <w:sz w:val="24"/>
        </w:rPr>
        <w:t>or funding purposes (see Note 17</w:t>
      </w:r>
      <w:r w:rsidR="00ED2A9F" w:rsidRPr="00684A52">
        <w:rPr>
          <w:rFonts w:ascii="Arial" w:hAnsi="Arial" w:cs="Arial"/>
          <w:snapToGrid w:val="0"/>
          <w:color w:val="000000"/>
          <w:sz w:val="24"/>
        </w:rPr>
        <w:t>).</w:t>
      </w:r>
      <w:r w:rsidR="00684A52" w:rsidRPr="00684A52">
        <w:rPr>
          <w:rFonts w:ascii="Arial" w:hAnsi="Arial" w:cs="Arial"/>
          <w:snapToGrid w:val="0"/>
          <w:color w:val="000000"/>
          <w:sz w:val="24"/>
        </w:rPr>
        <w:t xml:space="preserve"> The A</w:t>
      </w:r>
      <w:r w:rsidR="00EB4EAD" w:rsidRPr="00684A52">
        <w:rPr>
          <w:rFonts w:ascii="Arial" w:hAnsi="Arial" w:cs="Arial"/>
          <w:snapToGrid w:val="0"/>
          <w:color w:val="000000"/>
          <w:sz w:val="24"/>
        </w:rPr>
        <w:t>ctuary has also used valued ill health and death benefits in line with IAS 19.</w:t>
      </w:r>
    </w:p>
    <w:p w:rsidR="00EB4EAD" w:rsidRPr="00684A52" w:rsidRDefault="00EB4EAD" w:rsidP="008B7AFE">
      <w:pPr>
        <w:rPr>
          <w:rFonts w:ascii="Arial" w:hAnsi="Arial" w:cs="Arial"/>
          <w:snapToGrid w:val="0"/>
          <w:color w:val="000000"/>
          <w:sz w:val="24"/>
        </w:rPr>
      </w:pPr>
    </w:p>
    <w:p w:rsidR="00EB4EAD" w:rsidRPr="00EE5BAA" w:rsidRDefault="00EB4EAD" w:rsidP="008B7AFE">
      <w:pPr>
        <w:rPr>
          <w:rFonts w:ascii="Arial" w:hAnsi="Arial" w:cs="Arial"/>
          <w:snapToGrid w:val="0"/>
          <w:color w:val="000000"/>
          <w:sz w:val="24"/>
        </w:rPr>
      </w:pPr>
      <w:r w:rsidRPr="00EE5BAA">
        <w:rPr>
          <w:rFonts w:ascii="Arial" w:hAnsi="Arial" w:cs="Arial"/>
          <w:snapToGrid w:val="0"/>
          <w:color w:val="000000"/>
          <w:sz w:val="24"/>
        </w:rPr>
        <w:t>The actuarial present value of promised retireme</w:t>
      </w:r>
      <w:r w:rsidR="00AF46BF" w:rsidRPr="00EE5BAA">
        <w:rPr>
          <w:rFonts w:ascii="Arial" w:hAnsi="Arial" w:cs="Arial"/>
          <w:snapToGrid w:val="0"/>
          <w:color w:val="000000"/>
          <w:sz w:val="24"/>
        </w:rPr>
        <w:t>nt benefits at 31 March 2013</w:t>
      </w:r>
      <w:r w:rsidRPr="00EE5BAA">
        <w:rPr>
          <w:rFonts w:ascii="Arial" w:hAnsi="Arial" w:cs="Arial"/>
          <w:snapToGrid w:val="0"/>
          <w:color w:val="000000"/>
          <w:sz w:val="24"/>
        </w:rPr>
        <w:t xml:space="preserve"> was £</w:t>
      </w:r>
      <w:r w:rsidR="00AF46BF" w:rsidRPr="00EE5BAA">
        <w:rPr>
          <w:rFonts w:ascii="Arial" w:hAnsi="Arial" w:cs="Arial"/>
          <w:snapToGrid w:val="0"/>
          <w:color w:val="000000"/>
          <w:sz w:val="24"/>
        </w:rPr>
        <w:t>1</w:t>
      </w:r>
      <w:r w:rsidRPr="00EE5BAA">
        <w:rPr>
          <w:rFonts w:ascii="Arial" w:hAnsi="Arial" w:cs="Arial"/>
          <w:snapToGrid w:val="0"/>
          <w:color w:val="000000"/>
          <w:sz w:val="24"/>
        </w:rPr>
        <w:t>,</w:t>
      </w:r>
      <w:r w:rsidR="00AF46BF" w:rsidRPr="00EE5BAA">
        <w:rPr>
          <w:rFonts w:ascii="Arial" w:hAnsi="Arial" w:cs="Arial"/>
          <w:snapToGrid w:val="0"/>
          <w:color w:val="000000"/>
          <w:sz w:val="24"/>
        </w:rPr>
        <w:t>58</w:t>
      </w:r>
      <w:r w:rsidRPr="00EE5BAA">
        <w:rPr>
          <w:rFonts w:ascii="Arial" w:hAnsi="Arial" w:cs="Arial"/>
          <w:snapToGrid w:val="0"/>
          <w:color w:val="000000"/>
          <w:sz w:val="24"/>
        </w:rPr>
        <w:t>7m (31 March 20</w:t>
      </w:r>
      <w:r w:rsidR="00153B0D" w:rsidRPr="00EE5BAA">
        <w:rPr>
          <w:rFonts w:ascii="Arial" w:hAnsi="Arial" w:cs="Arial"/>
          <w:snapToGrid w:val="0"/>
          <w:color w:val="000000"/>
          <w:sz w:val="24"/>
        </w:rPr>
        <w:t>12</w:t>
      </w:r>
      <w:r w:rsidRPr="00EE5BAA">
        <w:rPr>
          <w:rFonts w:ascii="Arial" w:hAnsi="Arial" w:cs="Arial"/>
          <w:snapToGrid w:val="0"/>
          <w:color w:val="000000"/>
          <w:sz w:val="24"/>
        </w:rPr>
        <w:t>: £</w:t>
      </w:r>
      <w:r w:rsidR="00153B0D" w:rsidRPr="00EE5BAA">
        <w:rPr>
          <w:rFonts w:ascii="Arial" w:hAnsi="Arial" w:cs="Arial"/>
          <w:snapToGrid w:val="0"/>
          <w:color w:val="000000"/>
          <w:sz w:val="24"/>
        </w:rPr>
        <w:t>1</w:t>
      </w:r>
      <w:r w:rsidRPr="00EE5BAA">
        <w:rPr>
          <w:rFonts w:ascii="Arial" w:hAnsi="Arial" w:cs="Arial"/>
          <w:snapToGrid w:val="0"/>
          <w:color w:val="000000"/>
          <w:sz w:val="24"/>
        </w:rPr>
        <w:t>,</w:t>
      </w:r>
      <w:r w:rsidR="00153B0D" w:rsidRPr="00EE5BAA">
        <w:rPr>
          <w:rFonts w:ascii="Arial" w:hAnsi="Arial" w:cs="Arial"/>
          <w:snapToGrid w:val="0"/>
          <w:color w:val="000000"/>
          <w:sz w:val="24"/>
        </w:rPr>
        <w:t>294</w:t>
      </w:r>
      <w:r w:rsidRPr="00EE5BAA">
        <w:rPr>
          <w:rFonts w:ascii="Arial" w:hAnsi="Arial" w:cs="Arial"/>
          <w:snapToGrid w:val="0"/>
          <w:color w:val="000000"/>
          <w:sz w:val="24"/>
        </w:rPr>
        <w:t>m</w:t>
      </w:r>
      <w:r w:rsidR="005F7CE6" w:rsidRPr="00EE5BAA">
        <w:rPr>
          <w:rFonts w:ascii="Arial" w:hAnsi="Arial" w:cs="Arial"/>
          <w:snapToGrid w:val="0"/>
          <w:color w:val="000000"/>
          <w:sz w:val="24"/>
        </w:rPr>
        <w:t>). The Fund A</w:t>
      </w:r>
      <w:r w:rsidRPr="00EE5BAA">
        <w:rPr>
          <w:rFonts w:ascii="Arial" w:hAnsi="Arial" w:cs="Arial"/>
          <w:snapToGrid w:val="0"/>
          <w:color w:val="000000"/>
          <w:sz w:val="24"/>
        </w:rPr>
        <w:t>ccounts do not take account of liabilities to pay pensions and other benefits in the future.</w:t>
      </w:r>
    </w:p>
    <w:p w:rsidR="00EB4EAD" w:rsidRPr="00EE5BAA" w:rsidRDefault="00EB4EAD" w:rsidP="008B7AFE">
      <w:pPr>
        <w:rPr>
          <w:rFonts w:ascii="Arial" w:hAnsi="Arial" w:cs="Arial"/>
          <w:snapToGrid w:val="0"/>
          <w:color w:val="000000"/>
          <w:sz w:val="24"/>
        </w:rPr>
      </w:pPr>
    </w:p>
    <w:p w:rsidR="00EB4EAD" w:rsidRPr="00EE5BAA" w:rsidRDefault="00EB4EAD" w:rsidP="008B7AFE">
      <w:pPr>
        <w:rPr>
          <w:rFonts w:ascii="Arial" w:hAnsi="Arial" w:cs="Arial"/>
          <w:snapToGrid w:val="0"/>
          <w:color w:val="000000"/>
          <w:sz w:val="24"/>
        </w:rPr>
      </w:pPr>
      <w:r w:rsidRPr="00EE5BAA">
        <w:rPr>
          <w:rFonts w:ascii="Arial" w:hAnsi="Arial" w:cs="Arial"/>
          <w:snapToGrid w:val="0"/>
          <w:color w:val="000000"/>
          <w:sz w:val="24"/>
        </w:rPr>
        <w:t>The liabilities above are calculated on an IAS 19 basis and therefore differ from the results of the 2010 triennial</w:t>
      </w:r>
      <w:r w:rsidR="005B0862">
        <w:rPr>
          <w:rFonts w:ascii="Arial" w:hAnsi="Arial" w:cs="Arial"/>
          <w:snapToGrid w:val="0"/>
          <w:color w:val="000000"/>
          <w:sz w:val="24"/>
        </w:rPr>
        <w:t xml:space="preserve"> funding valuation</w:t>
      </w:r>
      <w:r w:rsidRPr="00EE5BAA">
        <w:rPr>
          <w:rFonts w:ascii="Arial" w:hAnsi="Arial" w:cs="Arial"/>
          <w:snapToGrid w:val="0"/>
          <w:color w:val="000000"/>
          <w:sz w:val="24"/>
        </w:rPr>
        <w:t xml:space="preserve"> because IAS 19 stipulates a discount rate rather than a rate which reflects market rates.</w:t>
      </w:r>
    </w:p>
    <w:p w:rsidR="00EB4EAD" w:rsidRDefault="00EB4EAD" w:rsidP="008B7AFE">
      <w:pPr>
        <w:rPr>
          <w:rFonts w:ascii="Arial" w:hAnsi="Arial" w:cs="Arial"/>
          <w:snapToGrid w:val="0"/>
          <w:color w:val="000000"/>
          <w:sz w:val="24"/>
        </w:rPr>
      </w:pPr>
    </w:p>
    <w:p w:rsidR="00EE5BAA" w:rsidRPr="00B8122D" w:rsidRDefault="00EE5BAA" w:rsidP="008B7AFE">
      <w:pPr>
        <w:rPr>
          <w:rFonts w:ascii="Arial" w:hAnsi="Arial" w:cs="Arial"/>
          <w:b/>
          <w:snapToGrid w:val="0"/>
          <w:color w:val="000000"/>
          <w:sz w:val="24"/>
        </w:rPr>
      </w:pPr>
      <w:r w:rsidRPr="00B8122D">
        <w:rPr>
          <w:rFonts w:ascii="Arial" w:hAnsi="Arial" w:cs="Arial"/>
          <w:b/>
          <w:snapToGrid w:val="0"/>
          <w:color w:val="000000"/>
          <w:sz w:val="24"/>
        </w:rPr>
        <w:t>Assumptions used</w:t>
      </w:r>
    </w:p>
    <w:p w:rsidR="00EE5BAA" w:rsidRPr="00B8122D" w:rsidRDefault="00EE5BAA" w:rsidP="008B7AFE">
      <w:pPr>
        <w:rPr>
          <w:rFonts w:ascii="Arial" w:hAnsi="Arial" w:cs="Arial"/>
          <w:snapToGrid w:val="0"/>
          <w:color w:val="000000"/>
          <w:sz w:val="24"/>
        </w:rPr>
      </w:pPr>
    </w:p>
    <w:p w:rsidR="00BE73B4" w:rsidRPr="00B8122D" w:rsidRDefault="00A308E6" w:rsidP="00BE73B4">
      <w:pPr>
        <w:widowControl w:val="0"/>
        <w:tabs>
          <w:tab w:val="left" w:pos="600"/>
          <w:tab w:val="right" w:pos="3060"/>
          <w:tab w:val="right" w:pos="4150"/>
        </w:tabs>
        <w:rPr>
          <w:rFonts w:ascii="Arial" w:hAnsi="Arial" w:cs="Arial"/>
          <w:snapToGrid w:val="0"/>
          <w:color w:val="000000"/>
          <w:sz w:val="24"/>
          <w:szCs w:val="24"/>
        </w:rPr>
      </w:pPr>
      <w:r w:rsidRPr="00B8122D">
        <w:rPr>
          <w:rFonts w:ascii="Arial" w:hAnsi="Arial" w:cs="Arial"/>
          <w:snapToGrid w:val="0"/>
          <w:color w:val="000000"/>
          <w:sz w:val="24"/>
          <w:szCs w:val="24"/>
        </w:rPr>
        <w:t xml:space="preserve">Inflation/pension increase </w:t>
      </w:r>
      <w:r w:rsidR="00BE73B4" w:rsidRPr="00B8122D">
        <w:rPr>
          <w:rFonts w:ascii="Arial" w:hAnsi="Arial" w:cs="Arial"/>
          <w:snapToGrid w:val="0"/>
          <w:color w:val="000000"/>
          <w:sz w:val="24"/>
          <w:szCs w:val="24"/>
        </w:rPr>
        <w:t>rate</w:t>
      </w:r>
      <w:r w:rsidRPr="00B8122D">
        <w:rPr>
          <w:rFonts w:ascii="Arial" w:hAnsi="Arial" w:cs="Arial"/>
          <w:snapToGrid w:val="0"/>
          <w:color w:val="000000"/>
          <w:sz w:val="24"/>
          <w:szCs w:val="24"/>
        </w:rPr>
        <w:t xml:space="preserve"> assumption</w:t>
      </w:r>
      <w:r w:rsidR="00BE73B4" w:rsidRPr="00B8122D">
        <w:rPr>
          <w:rFonts w:ascii="Arial" w:hAnsi="Arial" w:cs="Arial"/>
          <w:snapToGrid w:val="0"/>
          <w:color w:val="000000"/>
          <w:sz w:val="24"/>
          <w:szCs w:val="24"/>
        </w:rPr>
        <w:tab/>
      </w:r>
      <w:r w:rsidR="00BE73B4" w:rsidRPr="00B8122D">
        <w:rPr>
          <w:rFonts w:ascii="Arial" w:hAnsi="Arial" w:cs="Arial"/>
          <w:snapToGrid w:val="0"/>
          <w:color w:val="000000"/>
          <w:sz w:val="24"/>
          <w:szCs w:val="24"/>
        </w:rPr>
        <w:tab/>
      </w:r>
      <w:r w:rsidRPr="00B8122D">
        <w:rPr>
          <w:rFonts w:ascii="Arial" w:hAnsi="Arial" w:cs="Arial"/>
          <w:snapToGrid w:val="0"/>
          <w:color w:val="000000"/>
          <w:sz w:val="24"/>
          <w:szCs w:val="24"/>
        </w:rPr>
        <w:t>2</w:t>
      </w:r>
      <w:r w:rsidR="00E05105" w:rsidRPr="00B8122D">
        <w:rPr>
          <w:rFonts w:ascii="Arial" w:hAnsi="Arial" w:cs="Arial"/>
          <w:snapToGrid w:val="0"/>
          <w:color w:val="000000"/>
          <w:sz w:val="24"/>
          <w:szCs w:val="24"/>
        </w:rPr>
        <w:t>.</w:t>
      </w:r>
      <w:r w:rsidRPr="00B8122D">
        <w:rPr>
          <w:rFonts w:ascii="Arial" w:hAnsi="Arial" w:cs="Arial"/>
          <w:snapToGrid w:val="0"/>
          <w:color w:val="000000"/>
          <w:sz w:val="24"/>
          <w:szCs w:val="24"/>
        </w:rPr>
        <w:t>8</w:t>
      </w:r>
      <w:r w:rsidR="00BE73B4" w:rsidRPr="00B8122D">
        <w:rPr>
          <w:rFonts w:ascii="Arial" w:hAnsi="Arial" w:cs="Arial"/>
          <w:snapToGrid w:val="0"/>
          <w:color w:val="000000"/>
          <w:sz w:val="24"/>
          <w:szCs w:val="24"/>
        </w:rPr>
        <w:t>%</w:t>
      </w:r>
    </w:p>
    <w:p w:rsidR="00BE73B4" w:rsidRPr="00B8122D" w:rsidRDefault="00A459D3" w:rsidP="00BE73B4">
      <w:pPr>
        <w:widowControl w:val="0"/>
        <w:tabs>
          <w:tab w:val="left" w:pos="600"/>
          <w:tab w:val="right" w:pos="3060"/>
          <w:tab w:val="right" w:pos="4150"/>
        </w:tabs>
        <w:rPr>
          <w:rFonts w:ascii="Arial" w:hAnsi="Arial" w:cs="Arial"/>
          <w:snapToGrid w:val="0"/>
          <w:color w:val="000000"/>
          <w:sz w:val="24"/>
          <w:szCs w:val="24"/>
        </w:rPr>
      </w:pPr>
      <w:r w:rsidRPr="00B8122D">
        <w:rPr>
          <w:rFonts w:ascii="Arial" w:hAnsi="Arial" w:cs="Arial"/>
          <w:snapToGrid w:val="0"/>
          <w:color w:val="000000"/>
          <w:sz w:val="24"/>
          <w:szCs w:val="24"/>
        </w:rPr>
        <w:t>Salary increase rate</w:t>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t>5.1</w:t>
      </w:r>
      <w:r w:rsidR="00BE73B4" w:rsidRPr="00B8122D">
        <w:rPr>
          <w:rFonts w:ascii="Arial" w:hAnsi="Arial" w:cs="Arial"/>
          <w:snapToGrid w:val="0"/>
          <w:color w:val="000000"/>
          <w:sz w:val="24"/>
          <w:szCs w:val="24"/>
        </w:rPr>
        <w:t>%</w:t>
      </w:r>
    </w:p>
    <w:p w:rsidR="00BE73B4" w:rsidRPr="00B8122D" w:rsidRDefault="00A459D3" w:rsidP="00BE73B4">
      <w:pPr>
        <w:widowControl w:val="0"/>
        <w:tabs>
          <w:tab w:val="left" w:pos="600"/>
          <w:tab w:val="right" w:pos="3060"/>
          <w:tab w:val="right" w:pos="4150"/>
        </w:tabs>
        <w:rPr>
          <w:rFonts w:ascii="Arial" w:hAnsi="Arial" w:cs="Arial"/>
          <w:snapToGrid w:val="0"/>
          <w:color w:val="000000"/>
          <w:sz w:val="24"/>
          <w:szCs w:val="24"/>
        </w:rPr>
      </w:pPr>
      <w:r w:rsidRPr="00B8122D">
        <w:rPr>
          <w:rFonts w:ascii="Arial" w:hAnsi="Arial" w:cs="Arial"/>
          <w:snapToGrid w:val="0"/>
          <w:color w:val="000000"/>
          <w:sz w:val="24"/>
          <w:szCs w:val="24"/>
        </w:rPr>
        <w:t>Discount rate</w:t>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r>
      <w:r w:rsidRPr="00B8122D">
        <w:rPr>
          <w:rFonts w:ascii="Arial" w:hAnsi="Arial" w:cs="Arial"/>
          <w:snapToGrid w:val="0"/>
          <w:color w:val="000000"/>
          <w:sz w:val="24"/>
          <w:szCs w:val="24"/>
        </w:rPr>
        <w:tab/>
        <w:t>4.</w:t>
      </w:r>
      <w:r w:rsidR="00BE73B4" w:rsidRPr="00B8122D">
        <w:rPr>
          <w:rFonts w:ascii="Arial" w:hAnsi="Arial" w:cs="Arial"/>
          <w:snapToGrid w:val="0"/>
          <w:color w:val="000000"/>
          <w:sz w:val="24"/>
          <w:szCs w:val="24"/>
        </w:rPr>
        <w:t>5%</w:t>
      </w:r>
    </w:p>
    <w:p w:rsidR="008B7AFE" w:rsidRPr="003D2F7A" w:rsidRDefault="008B7AFE" w:rsidP="008B7AFE">
      <w:pPr>
        <w:rPr>
          <w:rFonts w:ascii="Arial" w:hAnsi="Arial" w:cs="Arial"/>
          <w:snapToGrid w:val="0"/>
          <w:color w:val="000000"/>
          <w:sz w:val="24"/>
          <w:highlight w:val="yellow"/>
        </w:rPr>
      </w:pPr>
    </w:p>
    <w:p w:rsidR="00ED2A9F" w:rsidRPr="003D2F7A" w:rsidRDefault="00ED2A9F" w:rsidP="008B7AFE">
      <w:pPr>
        <w:rPr>
          <w:rFonts w:ascii="Arial" w:hAnsi="Arial" w:cs="Arial"/>
          <w:snapToGrid w:val="0"/>
          <w:color w:val="000000"/>
          <w:sz w:val="24"/>
          <w:highlight w:val="yellow"/>
        </w:rPr>
      </w:pPr>
    </w:p>
    <w:p w:rsidR="00B7354F" w:rsidRDefault="00B7354F">
      <w:pPr>
        <w:rPr>
          <w:rFonts w:ascii="Arial" w:hAnsi="Arial" w:cs="Arial"/>
          <w:b/>
          <w:snapToGrid w:val="0"/>
          <w:color w:val="000000"/>
          <w:sz w:val="24"/>
        </w:rPr>
      </w:pPr>
      <w:r>
        <w:rPr>
          <w:rFonts w:ascii="Arial" w:hAnsi="Arial" w:cs="Arial"/>
          <w:b/>
          <w:snapToGrid w:val="0"/>
          <w:color w:val="000000"/>
          <w:sz w:val="24"/>
        </w:rPr>
        <w:br w:type="page"/>
      </w:r>
    </w:p>
    <w:p w:rsidR="00ED2A9F" w:rsidRPr="00DF285C" w:rsidRDefault="00F666FC" w:rsidP="008B7AFE">
      <w:pPr>
        <w:rPr>
          <w:rFonts w:ascii="Arial" w:hAnsi="Arial" w:cs="Arial"/>
          <w:b/>
          <w:snapToGrid w:val="0"/>
          <w:color w:val="000000"/>
          <w:sz w:val="24"/>
        </w:rPr>
      </w:pPr>
      <w:r>
        <w:rPr>
          <w:rFonts w:ascii="Arial" w:hAnsi="Arial" w:cs="Arial"/>
          <w:b/>
          <w:snapToGrid w:val="0"/>
          <w:color w:val="000000"/>
          <w:sz w:val="24"/>
        </w:rPr>
        <w:lastRenderedPageBreak/>
        <w:t>19</w:t>
      </w:r>
      <w:r w:rsidR="00774EEE" w:rsidRPr="00DF285C">
        <w:rPr>
          <w:rFonts w:ascii="Arial" w:hAnsi="Arial" w:cs="Arial"/>
          <w:b/>
          <w:snapToGrid w:val="0"/>
          <w:color w:val="000000"/>
          <w:sz w:val="24"/>
        </w:rPr>
        <w:t>.  Current assets</w:t>
      </w:r>
    </w:p>
    <w:p w:rsidR="0096128C" w:rsidRPr="00DF285C" w:rsidRDefault="0096128C" w:rsidP="008B7AFE">
      <w:pPr>
        <w:rPr>
          <w:rFonts w:ascii="Arial" w:hAnsi="Arial" w:cs="Arial"/>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1920"/>
        <w:gridCol w:w="1920"/>
      </w:tblGrid>
      <w:tr w:rsidR="0096128C" w:rsidRPr="00DF285C" w:rsidTr="00FD202D">
        <w:tc>
          <w:tcPr>
            <w:tcW w:w="4188" w:type="dxa"/>
          </w:tcPr>
          <w:p w:rsidR="0096128C" w:rsidRPr="00DF285C" w:rsidRDefault="0096128C"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96128C" w:rsidRPr="00DF285C" w:rsidRDefault="00E612C4"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31 March 20</w:t>
            </w:r>
            <w:r w:rsidR="00214D20" w:rsidRPr="00DF285C">
              <w:rPr>
                <w:rFonts w:ascii="Arial" w:hAnsi="Arial" w:cs="Arial"/>
                <w:b/>
                <w:snapToGrid w:val="0"/>
                <w:color w:val="000000"/>
                <w:sz w:val="24"/>
              </w:rPr>
              <w:t>12</w:t>
            </w:r>
          </w:p>
        </w:tc>
        <w:tc>
          <w:tcPr>
            <w:tcW w:w="1920" w:type="dxa"/>
          </w:tcPr>
          <w:p w:rsidR="0096128C" w:rsidRPr="00DF285C" w:rsidRDefault="00E612C4"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31 March 20</w:t>
            </w:r>
            <w:r w:rsidR="0096128C" w:rsidRPr="00DF285C">
              <w:rPr>
                <w:rFonts w:ascii="Arial" w:hAnsi="Arial" w:cs="Arial"/>
                <w:b/>
                <w:snapToGrid w:val="0"/>
                <w:color w:val="000000"/>
                <w:sz w:val="24"/>
              </w:rPr>
              <w:t>1</w:t>
            </w:r>
            <w:r w:rsidR="00214D20" w:rsidRPr="00DF285C">
              <w:rPr>
                <w:rFonts w:ascii="Arial" w:hAnsi="Arial" w:cs="Arial"/>
                <w:b/>
                <w:snapToGrid w:val="0"/>
                <w:color w:val="000000"/>
                <w:sz w:val="24"/>
              </w:rPr>
              <w:t>3</w:t>
            </w:r>
          </w:p>
        </w:tc>
      </w:tr>
      <w:tr w:rsidR="0096128C" w:rsidRPr="00DF285C" w:rsidTr="00FD202D">
        <w:tc>
          <w:tcPr>
            <w:tcW w:w="4188" w:type="dxa"/>
          </w:tcPr>
          <w:p w:rsidR="0096128C" w:rsidRPr="00DF285C" w:rsidRDefault="0096128C"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96128C" w:rsidRPr="00DF285C" w:rsidRDefault="0096128C"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£’000</w:t>
            </w:r>
          </w:p>
        </w:tc>
        <w:tc>
          <w:tcPr>
            <w:tcW w:w="1920" w:type="dxa"/>
          </w:tcPr>
          <w:p w:rsidR="0096128C" w:rsidRPr="00DF285C" w:rsidRDefault="0096128C"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£’000</w:t>
            </w:r>
          </w:p>
        </w:tc>
      </w:tr>
      <w:tr w:rsidR="0096128C" w:rsidRPr="00DF285C" w:rsidTr="00FD202D">
        <w:tc>
          <w:tcPr>
            <w:tcW w:w="4188" w:type="dxa"/>
          </w:tcPr>
          <w:p w:rsidR="0096128C" w:rsidRPr="00DF285C" w:rsidRDefault="0096128C" w:rsidP="00E73B9F">
            <w:pPr>
              <w:widowControl w:val="0"/>
              <w:tabs>
                <w:tab w:val="left" w:pos="180"/>
                <w:tab w:val="right" w:pos="3060"/>
                <w:tab w:val="right" w:pos="4150"/>
              </w:tabs>
              <w:rPr>
                <w:rFonts w:ascii="Arial" w:hAnsi="Arial" w:cs="Arial"/>
                <w:b/>
                <w:snapToGrid w:val="0"/>
                <w:color w:val="000000"/>
                <w:sz w:val="24"/>
              </w:rPr>
            </w:pPr>
          </w:p>
        </w:tc>
        <w:tc>
          <w:tcPr>
            <w:tcW w:w="1920" w:type="dxa"/>
          </w:tcPr>
          <w:p w:rsidR="0096128C" w:rsidRPr="00DF285C" w:rsidRDefault="0096128C" w:rsidP="00E73B9F">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96128C" w:rsidRPr="00DF285C" w:rsidRDefault="0096128C" w:rsidP="00E73B9F">
            <w:pPr>
              <w:widowControl w:val="0"/>
              <w:tabs>
                <w:tab w:val="left" w:pos="180"/>
                <w:tab w:val="right" w:pos="3060"/>
                <w:tab w:val="right" w:pos="4150"/>
              </w:tabs>
              <w:jc w:val="right"/>
              <w:rPr>
                <w:rFonts w:ascii="Arial" w:hAnsi="Arial" w:cs="Arial"/>
                <w:snapToGrid w:val="0"/>
                <w:color w:val="000000"/>
                <w:sz w:val="24"/>
              </w:rPr>
            </w:pPr>
          </w:p>
        </w:tc>
      </w:tr>
      <w:tr w:rsidR="00F3704C" w:rsidRPr="00DF285C" w:rsidTr="00FD202D">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Debtors:</w:t>
            </w:r>
          </w:p>
        </w:tc>
        <w:tc>
          <w:tcPr>
            <w:tcW w:w="1920" w:type="dxa"/>
          </w:tcPr>
          <w:p w:rsidR="00F3704C" w:rsidRPr="00DF285C" w:rsidRDefault="00F3704C" w:rsidP="00E73B9F">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F3704C" w:rsidRPr="00DF285C" w:rsidRDefault="00F3704C" w:rsidP="00E73B9F">
            <w:pPr>
              <w:widowControl w:val="0"/>
              <w:tabs>
                <w:tab w:val="left" w:pos="180"/>
                <w:tab w:val="right" w:pos="3060"/>
                <w:tab w:val="right" w:pos="4150"/>
              </w:tabs>
              <w:jc w:val="right"/>
              <w:rPr>
                <w:rFonts w:ascii="Arial" w:hAnsi="Arial" w:cs="Arial"/>
                <w:snapToGrid w:val="0"/>
                <w:color w:val="000000"/>
                <w:sz w:val="24"/>
              </w:rPr>
            </w:pPr>
          </w:p>
        </w:tc>
      </w:tr>
      <w:tr w:rsidR="0096128C" w:rsidRPr="00DF285C" w:rsidTr="00FD202D">
        <w:tc>
          <w:tcPr>
            <w:tcW w:w="4188" w:type="dxa"/>
          </w:tcPr>
          <w:p w:rsidR="0096128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 Contributions due</w:t>
            </w:r>
            <w:r w:rsidR="00241B51" w:rsidRPr="00DF285C">
              <w:rPr>
                <w:rFonts w:ascii="Arial" w:hAnsi="Arial" w:cs="Arial"/>
                <w:snapToGrid w:val="0"/>
                <w:color w:val="000000"/>
                <w:sz w:val="24"/>
              </w:rPr>
              <w:t xml:space="preserve"> </w:t>
            </w:r>
            <w:r w:rsidR="00404FED">
              <w:rPr>
                <w:rFonts w:ascii="Arial" w:hAnsi="Arial" w:cs="Arial"/>
                <w:snapToGrid w:val="0"/>
                <w:color w:val="000000"/>
                <w:sz w:val="24"/>
              </w:rPr>
              <w:t>–</w:t>
            </w:r>
            <w:r w:rsidR="00241B51" w:rsidRPr="00DF285C">
              <w:rPr>
                <w:rFonts w:ascii="Arial" w:hAnsi="Arial" w:cs="Arial"/>
                <w:snapToGrid w:val="0"/>
                <w:color w:val="000000"/>
                <w:sz w:val="24"/>
              </w:rPr>
              <w:t xml:space="preserve"> employees</w:t>
            </w:r>
          </w:p>
        </w:tc>
        <w:tc>
          <w:tcPr>
            <w:tcW w:w="1920" w:type="dxa"/>
          </w:tcPr>
          <w:p w:rsidR="0096128C" w:rsidRPr="00DF285C" w:rsidRDefault="0075659D" w:rsidP="00E73B9F">
            <w:pPr>
              <w:widowControl w:val="0"/>
              <w:tabs>
                <w:tab w:val="left" w:pos="180"/>
                <w:tab w:val="right" w:pos="3060"/>
                <w:tab w:val="right" w:pos="4150"/>
              </w:tabs>
              <w:jc w:val="right"/>
              <w:rPr>
                <w:rFonts w:ascii="Arial" w:hAnsi="Arial" w:cs="Arial"/>
                <w:snapToGrid w:val="0"/>
                <w:color w:val="000000"/>
                <w:sz w:val="24"/>
              </w:rPr>
            </w:pPr>
            <w:r w:rsidRPr="00DF285C">
              <w:rPr>
                <w:rFonts w:ascii="Arial" w:hAnsi="Arial" w:cs="Arial"/>
                <w:snapToGrid w:val="0"/>
                <w:color w:val="000000"/>
                <w:sz w:val="24"/>
              </w:rPr>
              <w:t>10</w:t>
            </w:r>
            <w:r w:rsidR="00E92C1A">
              <w:rPr>
                <w:rFonts w:ascii="Arial" w:hAnsi="Arial" w:cs="Arial"/>
                <w:snapToGrid w:val="0"/>
                <w:color w:val="000000"/>
                <w:sz w:val="24"/>
              </w:rPr>
              <w:t>3</w:t>
            </w:r>
          </w:p>
        </w:tc>
        <w:tc>
          <w:tcPr>
            <w:tcW w:w="1920" w:type="dxa"/>
          </w:tcPr>
          <w:p w:rsidR="0096128C" w:rsidRPr="00C920F2" w:rsidRDefault="00A51576" w:rsidP="00E73B9F">
            <w:pPr>
              <w:widowControl w:val="0"/>
              <w:tabs>
                <w:tab w:val="left" w:pos="180"/>
                <w:tab w:val="right" w:pos="3060"/>
                <w:tab w:val="right" w:pos="4150"/>
              </w:tabs>
              <w:jc w:val="right"/>
              <w:rPr>
                <w:rFonts w:ascii="Arial" w:hAnsi="Arial" w:cs="Arial"/>
                <w:snapToGrid w:val="0"/>
                <w:color w:val="000000"/>
                <w:sz w:val="24"/>
              </w:rPr>
            </w:pPr>
            <w:r w:rsidRPr="00C920F2">
              <w:rPr>
                <w:rFonts w:ascii="Arial" w:hAnsi="Arial" w:cs="Arial"/>
                <w:snapToGrid w:val="0"/>
                <w:color w:val="000000"/>
                <w:sz w:val="24"/>
              </w:rPr>
              <w:t>146</w:t>
            </w:r>
          </w:p>
        </w:tc>
      </w:tr>
      <w:tr w:rsidR="00241B51" w:rsidRPr="00DF285C" w:rsidTr="00FD202D">
        <w:tc>
          <w:tcPr>
            <w:tcW w:w="4188" w:type="dxa"/>
          </w:tcPr>
          <w:p w:rsidR="00241B51" w:rsidRPr="00DF285C" w:rsidRDefault="00241B51" w:rsidP="00241B51">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 xml:space="preserve">- Contributions due </w:t>
            </w:r>
            <w:r w:rsidR="00404FED">
              <w:rPr>
                <w:rFonts w:ascii="Arial" w:hAnsi="Arial" w:cs="Arial"/>
                <w:snapToGrid w:val="0"/>
                <w:color w:val="000000"/>
                <w:sz w:val="24"/>
              </w:rPr>
              <w:t>–</w:t>
            </w:r>
            <w:r w:rsidRPr="00DF285C">
              <w:rPr>
                <w:rFonts w:ascii="Arial" w:hAnsi="Arial" w:cs="Arial"/>
                <w:snapToGrid w:val="0"/>
                <w:color w:val="000000"/>
                <w:sz w:val="24"/>
              </w:rPr>
              <w:t xml:space="preserve"> employers</w:t>
            </w:r>
          </w:p>
        </w:tc>
        <w:tc>
          <w:tcPr>
            <w:tcW w:w="1920" w:type="dxa"/>
          </w:tcPr>
          <w:p w:rsidR="00241B51" w:rsidRPr="00DF285C" w:rsidRDefault="0075659D" w:rsidP="00BB6E58">
            <w:pPr>
              <w:widowControl w:val="0"/>
              <w:tabs>
                <w:tab w:val="left" w:pos="180"/>
                <w:tab w:val="right" w:pos="3060"/>
                <w:tab w:val="right" w:pos="4150"/>
              </w:tabs>
              <w:jc w:val="right"/>
              <w:rPr>
                <w:rFonts w:ascii="Arial" w:hAnsi="Arial" w:cs="Arial"/>
                <w:snapToGrid w:val="0"/>
                <w:color w:val="000000"/>
                <w:sz w:val="24"/>
              </w:rPr>
            </w:pPr>
            <w:r w:rsidRPr="00DF285C">
              <w:rPr>
                <w:rFonts w:ascii="Arial" w:hAnsi="Arial" w:cs="Arial"/>
                <w:snapToGrid w:val="0"/>
                <w:color w:val="000000"/>
                <w:sz w:val="24"/>
              </w:rPr>
              <w:t>2,10</w:t>
            </w:r>
            <w:r w:rsidR="00E92C1A">
              <w:rPr>
                <w:rFonts w:ascii="Arial" w:hAnsi="Arial" w:cs="Arial"/>
                <w:snapToGrid w:val="0"/>
                <w:color w:val="000000"/>
                <w:sz w:val="24"/>
              </w:rPr>
              <w:t>2</w:t>
            </w:r>
          </w:p>
        </w:tc>
        <w:tc>
          <w:tcPr>
            <w:tcW w:w="1920" w:type="dxa"/>
          </w:tcPr>
          <w:p w:rsidR="00241B51" w:rsidRPr="00C920F2" w:rsidRDefault="00C920F2" w:rsidP="00241B51">
            <w:pPr>
              <w:widowControl w:val="0"/>
              <w:tabs>
                <w:tab w:val="left" w:pos="180"/>
                <w:tab w:val="right" w:pos="3060"/>
                <w:tab w:val="right" w:pos="4150"/>
              </w:tabs>
              <w:jc w:val="right"/>
              <w:rPr>
                <w:rFonts w:ascii="Arial" w:hAnsi="Arial" w:cs="Arial"/>
                <w:snapToGrid w:val="0"/>
                <w:color w:val="000000"/>
                <w:sz w:val="24"/>
              </w:rPr>
            </w:pPr>
            <w:r w:rsidRPr="00C920F2">
              <w:rPr>
                <w:rFonts w:ascii="Arial" w:hAnsi="Arial" w:cs="Arial"/>
                <w:snapToGrid w:val="0"/>
                <w:color w:val="000000"/>
                <w:sz w:val="24"/>
              </w:rPr>
              <w:t>2,596</w:t>
            </w:r>
          </w:p>
        </w:tc>
      </w:tr>
      <w:tr w:rsidR="0096128C" w:rsidRPr="00DF285C" w:rsidTr="00FD202D">
        <w:tc>
          <w:tcPr>
            <w:tcW w:w="4188" w:type="dxa"/>
          </w:tcPr>
          <w:p w:rsidR="0096128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 Sundry debtors</w:t>
            </w:r>
          </w:p>
        </w:tc>
        <w:tc>
          <w:tcPr>
            <w:tcW w:w="1920" w:type="dxa"/>
          </w:tcPr>
          <w:p w:rsidR="0096128C" w:rsidRPr="00DF285C" w:rsidRDefault="00F3704C" w:rsidP="00E73B9F">
            <w:pPr>
              <w:widowControl w:val="0"/>
              <w:tabs>
                <w:tab w:val="left" w:pos="180"/>
                <w:tab w:val="right" w:pos="3060"/>
                <w:tab w:val="right" w:pos="4150"/>
              </w:tabs>
              <w:jc w:val="right"/>
              <w:rPr>
                <w:rFonts w:ascii="Arial" w:hAnsi="Arial" w:cs="Arial"/>
                <w:snapToGrid w:val="0"/>
                <w:color w:val="000000"/>
                <w:sz w:val="24"/>
              </w:rPr>
            </w:pPr>
            <w:r w:rsidRPr="00DF285C">
              <w:rPr>
                <w:rFonts w:ascii="Arial" w:hAnsi="Arial" w:cs="Arial"/>
                <w:snapToGrid w:val="0"/>
                <w:color w:val="000000"/>
                <w:sz w:val="24"/>
              </w:rPr>
              <w:t>1</w:t>
            </w:r>
            <w:r w:rsidR="0075659D" w:rsidRPr="00DF285C">
              <w:rPr>
                <w:rFonts w:ascii="Arial" w:hAnsi="Arial" w:cs="Arial"/>
                <w:snapToGrid w:val="0"/>
                <w:color w:val="000000"/>
                <w:sz w:val="24"/>
              </w:rPr>
              <w:t>,159</w:t>
            </w:r>
          </w:p>
        </w:tc>
        <w:tc>
          <w:tcPr>
            <w:tcW w:w="1920" w:type="dxa"/>
          </w:tcPr>
          <w:p w:rsidR="0096128C" w:rsidRPr="00C920F2" w:rsidRDefault="00C920F2" w:rsidP="00E73B9F">
            <w:pPr>
              <w:widowControl w:val="0"/>
              <w:tabs>
                <w:tab w:val="left" w:pos="180"/>
                <w:tab w:val="right" w:pos="3060"/>
                <w:tab w:val="right" w:pos="4150"/>
              </w:tabs>
              <w:jc w:val="right"/>
              <w:rPr>
                <w:rFonts w:ascii="Arial" w:hAnsi="Arial" w:cs="Arial"/>
                <w:snapToGrid w:val="0"/>
                <w:color w:val="000000"/>
                <w:sz w:val="24"/>
              </w:rPr>
            </w:pPr>
            <w:r w:rsidRPr="00C920F2">
              <w:rPr>
                <w:rFonts w:ascii="Arial" w:hAnsi="Arial" w:cs="Arial"/>
                <w:snapToGrid w:val="0"/>
                <w:color w:val="000000"/>
                <w:sz w:val="24"/>
              </w:rPr>
              <w:t>384</w:t>
            </w:r>
          </w:p>
        </w:tc>
      </w:tr>
      <w:tr w:rsidR="0096128C" w:rsidRPr="00DF285C" w:rsidTr="00FD202D">
        <w:tc>
          <w:tcPr>
            <w:tcW w:w="4188" w:type="dxa"/>
          </w:tcPr>
          <w:p w:rsidR="0096128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Cash balances</w:t>
            </w:r>
          </w:p>
        </w:tc>
        <w:tc>
          <w:tcPr>
            <w:tcW w:w="1920" w:type="dxa"/>
          </w:tcPr>
          <w:p w:rsidR="0096128C" w:rsidRPr="00DF285C" w:rsidRDefault="00BB6E58" w:rsidP="00E73B9F">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5,59</w:t>
            </w:r>
            <w:r w:rsidR="00D60875">
              <w:rPr>
                <w:rFonts w:ascii="Arial" w:hAnsi="Arial" w:cs="Arial"/>
                <w:snapToGrid w:val="0"/>
                <w:color w:val="000000"/>
                <w:sz w:val="24"/>
              </w:rPr>
              <w:t>1</w:t>
            </w:r>
          </w:p>
        </w:tc>
        <w:tc>
          <w:tcPr>
            <w:tcW w:w="1920" w:type="dxa"/>
          </w:tcPr>
          <w:p w:rsidR="0096128C" w:rsidRPr="00C920F2" w:rsidRDefault="001616BD" w:rsidP="00E73B9F">
            <w:pPr>
              <w:widowControl w:val="0"/>
              <w:tabs>
                <w:tab w:val="left" w:pos="180"/>
                <w:tab w:val="right" w:pos="3060"/>
                <w:tab w:val="right" w:pos="4150"/>
              </w:tabs>
              <w:jc w:val="right"/>
              <w:rPr>
                <w:rFonts w:ascii="Arial" w:hAnsi="Arial" w:cs="Arial"/>
                <w:snapToGrid w:val="0"/>
                <w:color w:val="000000"/>
                <w:sz w:val="24"/>
              </w:rPr>
            </w:pPr>
            <w:r w:rsidRPr="00C920F2">
              <w:rPr>
                <w:rFonts w:ascii="Arial" w:hAnsi="Arial" w:cs="Arial"/>
                <w:snapToGrid w:val="0"/>
                <w:color w:val="000000"/>
                <w:sz w:val="24"/>
              </w:rPr>
              <w:t>5,534</w:t>
            </w:r>
          </w:p>
        </w:tc>
      </w:tr>
      <w:tr w:rsidR="0096128C" w:rsidRPr="00DF285C" w:rsidTr="00FD202D">
        <w:tc>
          <w:tcPr>
            <w:tcW w:w="4188" w:type="dxa"/>
          </w:tcPr>
          <w:p w:rsidR="0096128C" w:rsidRPr="00DF285C" w:rsidRDefault="0096128C" w:rsidP="00E73B9F">
            <w:pPr>
              <w:widowControl w:val="0"/>
              <w:tabs>
                <w:tab w:val="left" w:pos="180"/>
                <w:tab w:val="right" w:pos="3060"/>
                <w:tab w:val="right" w:pos="4150"/>
              </w:tabs>
              <w:rPr>
                <w:rFonts w:ascii="Arial" w:hAnsi="Arial" w:cs="Arial"/>
                <w:snapToGrid w:val="0"/>
                <w:color w:val="000000"/>
                <w:sz w:val="24"/>
                <w:szCs w:val="24"/>
              </w:rPr>
            </w:pPr>
          </w:p>
        </w:tc>
        <w:tc>
          <w:tcPr>
            <w:tcW w:w="1920" w:type="dxa"/>
            <w:tcBorders>
              <w:bottom w:val="single" w:sz="4" w:space="0" w:color="auto"/>
            </w:tcBorders>
          </w:tcPr>
          <w:p w:rsidR="0096128C" w:rsidRPr="00DF285C" w:rsidRDefault="0096128C" w:rsidP="00E73B9F">
            <w:pPr>
              <w:widowControl w:val="0"/>
              <w:tabs>
                <w:tab w:val="left" w:pos="180"/>
                <w:tab w:val="right" w:pos="3060"/>
                <w:tab w:val="right" w:pos="4150"/>
              </w:tabs>
              <w:jc w:val="right"/>
              <w:rPr>
                <w:rFonts w:ascii="Arial" w:hAnsi="Arial" w:cs="Arial"/>
                <w:snapToGrid w:val="0"/>
                <w:color w:val="000000"/>
                <w:sz w:val="14"/>
                <w:szCs w:val="14"/>
              </w:rPr>
            </w:pPr>
          </w:p>
        </w:tc>
        <w:tc>
          <w:tcPr>
            <w:tcW w:w="1920" w:type="dxa"/>
            <w:tcBorders>
              <w:bottom w:val="single" w:sz="4" w:space="0" w:color="auto"/>
            </w:tcBorders>
          </w:tcPr>
          <w:p w:rsidR="0096128C" w:rsidRPr="00C920F2" w:rsidRDefault="0096128C" w:rsidP="00E73B9F">
            <w:pPr>
              <w:widowControl w:val="0"/>
              <w:tabs>
                <w:tab w:val="left" w:pos="180"/>
                <w:tab w:val="right" w:pos="3060"/>
                <w:tab w:val="right" w:pos="4150"/>
              </w:tabs>
              <w:jc w:val="right"/>
              <w:rPr>
                <w:rFonts w:ascii="Arial" w:hAnsi="Arial" w:cs="Arial"/>
                <w:snapToGrid w:val="0"/>
                <w:color w:val="000000"/>
                <w:sz w:val="14"/>
                <w:szCs w:val="14"/>
              </w:rPr>
            </w:pPr>
          </w:p>
        </w:tc>
      </w:tr>
      <w:tr w:rsidR="0096128C" w:rsidRPr="00DF285C" w:rsidTr="00FD202D">
        <w:tc>
          <w:tcPr>
            <w:tcW w:w="4188" w:type="dxa"/>
          </w:tcPr>
          <w:p w:rsidR="0096128C" w:rsidRPr="00DF285C" w:rsidRDefault="0096128C" w:rsidP="00E73B9F">
            <w:pPr>
              <w:widowControl w:val="0"/>
              <w:tabs>
                <w:tab w:val="left" w:pos="180"/>
                <w:tab w:val="right" w:pos="3060"/>
                <w:tab w:val="right" w:pos="4150"/>
              </w:tabs>
              <w:rPr>
                <w:rFonts w:ascii="Arial" w:hAnsi="Arial" w:cs="Arial"/>
                <w:b/>
                <w:snapToGrid w:val="0"/>
                <w:color w:val="000000"/>
                <w:sz w:val="24"/>
              </w:rPr>
            </w:pPr>
            <w:r w:rsidRPr="00DF285C">
              <w:rPr>
                <w:rFonts w:ascii="Arial" w:hAnsi="Arial" w:cs="Arial"/>
                <w:b/>
                <w:snapToGrid w:val="0"/>
                <w:color w:val="000000"/>
                <w:sz w:val="24"/>
              </w:rPr>
              <w:t>Total</w:t>
            </w:r>
          </w:p>
        </w:tc>
        <w:tc>
          <w:tcPr>
            <w:tcW w:w="1920" w:type="dxa"/>
            <w:tcBorders>
              <w:top w:val="single" w:sz="4" w:space="0" w:color="auto"/>
            </w:tcBorders>
          </w:tcPr>
          <w:p w:rsidR="0096128C" w:rsidRPr="00DF285C" w:rsidRDefault="00BB6E58" w:rsidP="00D60875">
            <w:pPr>
              <w:widowControl w:val="0"/>
              <w:tabs>
                <w:tab w:val="left" w:pos="180"/>
                <w:tab w:val="right" w:pos="3060"/>
                <w:tab w:val="right" w:pos="4150"/>
              </w:tabs>
              <w:jc w:val="right"/>
              <w:rPr>
                <w:rFonts w:ascii="Arial" w:hAnsi="Arial" w:cs="Arial"/>
                <w:b/>
                <w:snapToGrid w:val="0"/>
                <w:color w:val="000000"/>
                <w:sz w:val="24"/>
              </w:rPr>
            </w:pPr>
            <w:r>
              <w:rPr>
                <w:rFonts w:ascii="Arial" w:hAnsi="Arial" w:cs="Arial"/>
                <w:b/>
                <w:snapToGrid w:val="0"/>
                <w:color w:val="000000"/>
                <w:sz w:val="24"/>
              </w:rPr>
              <w:t>8,95</w:t>
            </w:r>
            <w:r w:rsidR="00D60875">
              <w:rPr>
                <w:rFonts w:ascii="Arial" w:hAnsi="Arial" w:cs="Arial"/>
                <w:b/>
                <w:snapToGrid w:val="0"/>
                <w:color w:val="000000"/>
                <w:sz w:val="24"/>
              </w:rPr>
              <w:t>5</w:t>
            </w:r>
          </w:p>
        </w:tc>
        <w:tc>
          <w:tcPr>
            <w:tcW w:w="1920" w:type="dxa"/>
            <w:tcBorders>
              <w:top w:val="single" w:sz="4" w:space="0" w:color="auto"/>
            </w:tcBorders>
          </w:tcPr>
          <w:p w:rsidR="0096128C" w:rsidRPr="00C920F2" w:rsidRDefault="00C920F2" w:rsidP="00E73B9F">
            <w:pPr>
              <w:widowControl w:val="0"/>
              <w:tabs>
                <w:tab w:val="left" w:pos="180"/>
                <w:tab w:val="right" w:pos="3060"/>
                <w:tab w:val="right" w:pos="4150"/>
              </w:tabs>
              <w:jc w:val="right"/>
              <w:rPr>
                <w:rFonts w:ascii="Arial" w:hAnsi="Arial" w:cs="Arial"/>
                <w:b/>
                <w:snapToGrid w:val="0"/>
                <w:color w:val="000000"/>
                <w:sz w:val="24"/>
              </w:rPr>
            </w:pPr>
            <w:r w:rsidRPr="00C920F2">
              <w:rPr>
                <w:rFonts w:ascii="Arial" w:hAnsi="Arial" w:cs="Arial"/>
                <w:b/>
                <w:snapToGrid w:val="0"/>
                <w:color w:val="000000"/>
                <w:sz w:val="24"/>
              </w:rPr>
              <w:t>8,660</w:t>
            </w:r>
          </w:p>
        </w:tc>
      </w:tr>
    </w:tbl>
    <w:p w:rsidR="00F3704C" w:rsidRPr="00DF285C" w:rsidRDefault="00F3704C" w:rsidP="008B7AFE">
      <w:pPr>
        <w:rPr>
          <w:rFonts w:ascii="Arial" w:hAnsi="Arial" w:cs="Arial"/>
          <w:snapToGrid w:val="0"/>
          <w:color w:val="000000"/>
          <w:sz w:val="24"/>
        </w:rPr>
      </w:pPr>
    </w:p>
    <w:p w:rsidR="0096128C" w:rsidRPr="00DF285C" w:rsidRDefault="00F3704C" w:rsidP="008B7AFE">
      <w:pPr>
        <w:rPr>
          <w:rFonts w:ascii="Arial" w:hAnsi="Arial" w:cs="Arial"/>
          <w:snapToGrid w:val="0"/>
          <w:color w:val="000000"/>
          <w:sz w:val="24"/>
        </w:rPr>
      </w:pPr>
      <w:r w:rsidRPr="00DF285C">
        <w:rPr>
          <w:rFonts w:ascii="Arial" w:hAnsi="Arial" w:cs="Arial"/>
          <w:b/>
          <w:snapToGrid w:val="0"/>
          <w:color w:val="000000"/>
          <w:sz w:val="24"/>
        </w:rPr>
        <w:t>Analysis of debtors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1920"/>
        <w:gridCol w:w="1920"/>
      </w:tblGrid>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F3704C" w:rsidRPr="00DF285C" w:rsidRDefault="00E612C4"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31 March 20</w:t>
            </w:r>
            <w:r w:rsidR="00214D20" w:rsidRPr="00DF285C">
              <w:rPr>
                <w:rFonts w:ascii="Arial" w:hAnsi="Arial" w:cs="Arial"/>
                <w:b/>
                <w:snapToGrid w:val="0"/>
                <w:color w:val="000000"/>
                <w:sz w:val="24"/>
              </w:rPr>
              <w:t>12</w:t>
            </w:r>
          </w:p>
        </w:tc>
        <w:tc>
          <w:tcPr>
            <w:tcW w:w="1920" w:type="dxa"/>
          </w:tcPr>
          <w:p w:rsidR="00F3704C" w:rsidRPr="00DF285C" w:rsidRDefault="00E612C4"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31 March 20</w:t>
            </w:r>
            <w:r w:rsidR="00214D20" w:rsidRPr="00DF285C">
              <w:rPr>
                <w:rFonts w:ascii="Arial" w:hAnsi="Arial" w:cs="Arial"/>
                <w:b/>
                <w:snapToGrid w:val="0"/>
                <w:color w:val="000000"/>
                <w:sz w:val="24"/>
              </w:rPr>
              <w:t>13</w:t>
            </w:r>
          </w:p>
        </w:tc>
      </w:tr>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F3704C" w:rsidRPr="00DF285C" w:rsidRDefault="00F3704C"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£’000</w:t>
            </w:r>
          </w:p>
        </w:tc>
        <w:tc>
          <w:tcPr>
            <w:tcW w:w="1920" w:type="dxa"/>
          </w:tcPr>
          <w:p w:rsidR="00F3704C" w:rsidRPr="00DF285C" w:rsidRDefault="00F3704C"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£’000</w:t>
            </w:r>
          </w:p>
        </w:tc>
      </w:tr>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b/>
                <w:snapToGrid w:val="0"/>
                <w:color w:val="000000"/>
                <w:sz w:val="24"/>
              </w:rPr>
            </w:pPr>
          </w:p>
        </w:tc>
        <w:tc>
          <w:tcPr>
            <w:tcW w:w="1920" w:type="dxa"/>
          </w:tcPr>
          <w:p w:rsidR="00F3704C" w:rsidRPr="00DF285C" w:rsidRDefault="00F3704C" w:rsidP="00E73B9F">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F3704C" w:rsidRPr="00DF285C" w:rsidRDefault="00F3704C" w:rsidP="00E73B9F">
            <w:pPr>
              <w:widowControl w:val="0"/>
              <w:tabs>
                <w:tab w:val="left" w:pos="180"/>
                <w:tab w:val="right" w:pos="3060"/>
                <w:tab w:val="right" w:pos="4150"/>
              </w:tabs>
              <w:jc w:val="right"/>
              <w:rPr>
                <w:rFonts w:ascii="Arial" w:hAnsi="Arial" w:cs="Arial"/>
                <w:snapToGrid w:val="0"/>
                <w:color w:val="000000"/>
                <w:sz w:val="24"/>
              </w:rPr>
            </w:pPr>
          </w:p>
        </w:tc>
      </w:tr>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Central government bodies</w:t>
            </w:r>
          </w:p>
        </w:tc>
        <w:tc>
          <w:tcPr>
            <w:tcW w:w="1920" w:type="dxa"/>
          </w:tcPr>
          <w:p w:rsidR="00F3704C" w:rsidRPr="00DF285C" w:rsidRDefault="00036A4B" w:rsidP="00E73B9F">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112</w:t>
            </w:r>
          </w:p>
        </w:tc>
        <w:tc>
          <w:tcPr>
            <w:tcW w:w="1920" w:type="dxa"/>
          </w:tcPr>
          <w:p w:rsidR="00F3704C" w:rsidRPr="00A53715" w:rsidRDefault="006D302B" w:rsidP="00E73B9F">
            <w:pPr>
              <w:widowControl w:val="0"/>
              <w:tabs>
                <w:tab w:val="left" w:pos="180"/>
                <w:tab w:val="right" w:pos="3060"/>
                <w:tab w:val="right" w:pos="4150"/>
              </w:tabs>
              <w:jc w:val="right"/>
              <w:rPr>
                <w:rFonts w:ascii="Arial" w:hAnsi="Arial" w:cs="Arial"/>
                <w:snapToGrid w:val="0"/>
                <w:color w:val="000000"/>
                <w:sz w:val="24"/>
              </w:rPr>
            </w:pPr>
            <w:r w:rsidRPr="00A53715">
              <w:rPr>
                <w:rFonts w:ascii="Arial" w:hAnsi="Arial" w:cs="Arial"/>
                <w:snapToGrid w:val="0"/>
                <w:color w:val="000000"/>
                <w:sz w:val="24"/>
              </w:rPr>
              <w:t>245</w:t>
            </w:r>
          </w:p>
        </w:tc>
      </w:tr>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Other local authorities</w:t>
            </w:r>
          </w:p>
        </w:tc>
        <w:tc>
          <w:tcPr>
            <w:tcW w:w="1920" w:type="dxa"/>
          </w:tcPr>
          <w:p w:rsidR="00F3704C" w:rsidRPr="00DF285C" w:rsidRDefault="007C103F" w:rsidP="00E73B9F">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2,</w:t>
            </w:r>
            <w:r w:rsidR="0005790B">
              <w:rPr>
                <w:rFonts w:ascii="Arial" w:hAnsi="Arial" w:cs="Arial"/>
                <w:snapToGrid w:val="0"/>
                <w:color w:val="000000"/>
                <w:sz w:val="24"/>
              </w:rPr>
              <w:t>449</w:t>
            </w:r>
          </w:p>
        </w:tc>
        <w:tc>
          <w:tcPr>
            <w:tcW w:w="1920" w:type="dxa"/>
          </w:tcPr>
          <w:p w:rsidR="00F3704C" w:rsidRPr="00A53715" w:rsidRDefault="00A53715" w:rsidP="00E73B9F">
            <w:pPr>
              <w:widowControl w:val="0"/>
              <w:tabs>
                <w:tab w:val="left" w:pos="180"/>
                <w:tab w:val="right" w:pos="3060"/>
                <w:tab w:val="right" w:pos="4150"/>
              </w:tabs>
              <w:jc w:val="right"/>
              <w:rPr>
                <w:rFonts w:ascii="Arial" w:hAnsi="Arial" w:cs="Arial"/>
                <w:snapToGrid w:val="0"/>
                <w:color w:val="000000"/>
                <w:sz w:val="24"/>
              </w:rPr>
            </w:pPr>
            <w:r w:rsidRPr="00A53715">
              <w:rPr>
                <w:rFonts w:ascii="Arial" w:hAnsi="Arial" w:cs="Arial"/>
                <w:snapToGrid w:val="0"/>
                <w:color w:val="000000"/>
                <w:sz w:val="24"/>
              </w:rPr>
              <w:t>2,742</w:t>
            </w:r>
          </w:p>
        </w:tc>
      </w:tr>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rPr>
            </w:pPr>
            <w:r w:rsidRPr="00DF285C">
              <w:rPr>
                <w:rFonts w:ascii="Arial" w:hAnsi="Arial" w:cs="Arial"/>
                <w:snapToGrid w:val="0"/>
                <w:color w:val="000000"/>
                <w:sz w:val="24"/>
              </w:rPr>
              <w:t>Other entities and individuals</w:t>
            </w:r>
          </w:p>
        </w:tc>
        <w:tc>
          <w:tcPr>
            <w:tcW w:w="1920" w:type="dxa"/>
          </w:tcPr>
          <w:p w:rsidR="00F3704C" w:rsidRPr="00DF285C" w:rsidRDefault="00036A4B" w:rsidP="00E73B9F">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803</w:t>
            </w:r>
          </w:p>
        </w:tc>
        <w:tc>
          <w:tcPr>
            <w:tcW w:w="1920" w:type="dxa"/>
          </w:tcPr>
          <w:p w:rsidR="00F3704C" w:rsidRPr="00A53715" w:rsidRDefault="00A53715" w:rsidP="00E73B9F">
            <w:pPr>
              <w:widowControl w:val="0"/>
              <w:tabs>
                <w:tab w:val="left" w:pos="180"/>
                <w:tab w:val="right" w:pos="3060"/>
                <w:tab w:val="right" w:pos="4150"/>
              </w:tabs>
              <w:jc w:val="right"/>
              <w:rPr>
                <w:rFonts w:ascii="Arial" w:hAnsi="Arial" w:cs="Arial"/>
                <w:snapToGrid w:val="0"/>
                <w:color w:val="000000"/>
                <w:sz w:val="24"/>
              </w:rPr>
            </w:pPr>
            <w:r w:rsidRPr="00A53715">
              <w:rPr>
                <w:rFonts w:ascii="Arial" w:hAnsi="Arial" w:cs="Arial"/>
                <w:snapToGrid w:val="0"/>
                <w:color w:val="000000"/>
                <w:sz w:val="24"/>
              </w:rPr>
              <w:t>139</w:t>
            </w:r>
          </w:p>
        </w:tc>
      </w:tr>
      <w:tr w:rsidR="00F3704C" w:rsidRPr="00DF285C"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snapToGrid w:val="0"/>
                <w:color w:val="000000"/>
                <w:sz w:val="24"/>
                <w:szCs w:val="24"/>
              </w:rPr>
            </w:pPr>
          </w:p>
        </w:tc>
        <w:tc>
          <w:tcPr>
            <w:tcW w:w="1920" w:type="dxa"/>
            <w:tcBorders>
              <w:bottom w:val="single" w:sz="4" w:space="0" w:color="auto"/>
            </w:tcBorders>
          </w:tcPr>
          <w:p w:rsidR="00F3704C" w:rsidRPr="00DF285C" w:rsidRDefault="00F3704C" w:rsidP="00E73B9F">
            <w:pPr>
              <w:widowControl w:val="0"/>
              <w:tabs>
                <w:tab w:val="left" w:pos="180"/>
                <w:tab w:val="right" w:pos="3060"/>
                <w:tab w:val="right" w:pos="4150"/>
              </w:tabs>
              <w:jc w:val="right"/>
              <w:rPr>
                <w:rFonts w:ascii="Arial" w:hAnsi="Arial" w:cs="Arial"/>
                <w:snapToGrid w:val="0"/>
                <w:color w:val="000000"/>
                <w:sz w:val="14"/>
                <w:szCs w:val="14"/>
              </w:rPr>
            </w:pPr>
          </w:p>
        </w:tc>
        <w:tc>
          <w:tcPr>
            <w:tcW w:w="1920" w:type="dxa"/>
            <w:tcBorders>
              <w:bottom w:val="single" w:sz="4" w:space="0" w:color="auto"/>
            </w:tcBorders>
          </w:tcPr>
          <w:p w:rsidR="00F3704C" w:rsidRPr="00281AAE" w:rsidRDefault="00F3704C" w:rsidP="00E73B9F">
            <w:pPr>
              <w:widowControl w:val="0"/>
              <w:tabs>
                <w:tab w:val="left" w:pos="180"/>
                <w:tab w:val="right" w:pos="3060"/>
                <w:tab w:val="right" w:pos="4150"/>
              </w:tabs>
              <w:jc w:val="right"/>
              <w:rPr>
                <w:rFonts w:ascii="Arial" w:hAnsi="Arial" w:cs="Arial"/>
                <w:snapToGrid w:val="0"/>
                <w:color w:val="000000"/>
                <w:sz w:val="14"/>
                <w:szCs w:val="14"/>
                <w:highlight w:val="yellow"/>
              </w:rPr>
            </w:pPr>
          </w:p>
        </w:tc>
      </w:tr>
      <w:tr w:rsidR="00F3704C" w:rsidRPr="003D2F7A" w:rsidTr="00E612C4">
        <w:tc>
          <w:tcPr>
            <w:tcW w:w="4188" w:type="dxa"/>
          </w:tcPr>
          <w:p w:rsidR="00F3704C" w:rsidRPr="00DF285C" w:rsidRDefault="00F3704C" w:rsidP="00E73B9F">
            <w:pPr>
              <w:widowControl w:val="0"/>
              <w:tabs>
                <w:tab w:val="left" w:pos="180"/>
                <w:tab w:val="right" w:pos="3060"/>
                <w:tab w:val="right" w:pos="4150"/>
              </w:tabs>
              <w:rPr>
                <w:rFonts w:ascii="Arial" w:hAnsi="Arial" w:cs="Arial"/>
                <w:b/>
                <w:snapToGrid w:val="0"/>
                <w:color w:val="000000"/>
                <w:sz w:val="24"/>
              </w:rPr>
            </w:pPr>
            <w:r w:rsidRPr="00DF285C">
              <w:rPr>
                <w:rFonts w:ascii="Arial" w:hAnsi="Arial" w:cs="Arial"/>
                <w:b/>
                <w:snapToGrid w:val="0"/>
                <w:color w:val="000000"/>
                <w:sz w:val="24"/>
              </w:rPr>
              <w:t>Total</w:t>
            </w:r>
          </w:p>
        </w:tc>
        <w:tc>
          <w:tcPr>
            <w:tcW w:w="1920" w:type="dxa"/>
            <w:tcBorders>
              <w:top w:val="single" w:sz="4" w:space="0" w:color="auto"/>
            </w:tcBorders>
          </w:tcPr>
          <w:p w:rsidR="00F3704C" w:rsidRPr="00DF285C" w:rsidRDefault="000218C5" w:rsidP="00E73B9F">
            <w:pPr>
              <w:widowControl w:val="0"/>
              <w:tabs>
                <w:tab w:val="left" w:pos="180"/>
                <w:tab w:val="right" w:pos="3060"/>
                <w:tab w:val="right" w:pos="4150"/>
              </w:tabs>
              <w:jc w:val="right"/>
              <w:rPr>
                <w:rFonts w:ascii="Arial" w:hAnsi="Arial" w:cs="Arial"/>
                <w:b/>
                <w:snapToGrid w:val="0"/>
                <w:color w:val="000000"/>
                <w:sz w:val="24"/>
              </w:rPr>
            </w:pPr>
            <w:r w:rsidRPr="00DF285C">
              <w:rPr>
                <w:rFonts w:ascii="Arial" w:hAnsi="Arial" w:cs="Arial"/>
                <w:b/>
                <w:snapToGrid w:val="0"/>
                <w:color w:val="000000"/>
                <w:sz w:val="24"/>
              </w:rPr>
              <w:t>3</w:t>
            </w:r>
            <w:r w:rsidR="005671B0" w:rsidRPr="00DF285C">
              <w:rPr>
                <w:rFonts w:ascii="Arial" w:hAnsi="Arial" w:cs="Arial"/>
                <w:b/>
                <w:snapToGrid w:val="0"/>
                <w:color w:val="000000"/>
                <w:sz w:val="24"/>
              </w:rPr>
              <w:t>,36</w:t>
            </w:r>
            <w:r w:rsidR="00C3699D">
              <w:rPr>
                <w:rFonts w:ascii="Arial" w:hAnsi="Arial" w:cs="Arial"/>
                <w:b/>
                <w:snapToGrid w:val="0"/>
                <w:color w:val="000000"/>
                <w:sz w:val="24"/>
              </w:rPr>
              <w:t>4</w:t>
            </w:r>
          </w:p>
        </w:tc>
        <w:tc>
          <w:tcPr>
            <w:tcW w:w="1920" w:type="dxa"/>
            <w:tcBorders>
              <w:top w:val="single" w:sz="4" w:space="0" w:color="auto"/>
            </w:tcBorders>
          </w:tcPr>
          <w:p w:rsidR="00F3704C" w:rsidRPr="00281AAE" w:rsidRDefault="00305BFC" w:rsidP="00E73B9F">
            <w:pPr>
              <w:widowControl w:val="0"/>
              <w:tabs>
                <w:tab w:val="left" w:pos="180"/>
                <w:tab w:val="right" w:pos="3060"/>
                <w:tab w:val="right" w:pos="4150"/>
              </w:tabs>
              <w:jc w:val="right"/>
              <w:rPr>
                <w:rFonts w:ascii="Arial" w:hAnsi="Arial" w:cs="Arial"/>
                <w:b/>
                <w:snapToGrid w:val="0"/>
                <w:color w:val="000000"/>
                <w:sz w:val="24"/>
                <w:highlight w:val="yellow"/>
              </w:rPr>
            </w:pPr>
            <w:r w:rsidRPr="00305BFC">
              <w:rPr>
                <w:rFonts w:ascii="Arial" w:hAnsi="Arial" w:cs="Arial"/>
                <w:b/>
                <w:snapToGrid w:val="0"/>
                <w:color w:val="000000"/>
                <w:sz w:val="24"/>
              </w:rPr>
              <w:t>3,126</w:t>
            </w:r>
          </w:p>
        </w:tc>
      </w:tr>
    </w:tbl>
    <w:p w:rsidR="0096128C" w:rsidRPr="003D2F7A" w:rsidRDefault="0096128C" w:rsidP="008B7AFE">
      <w:pPr>
        <w:rPr>
          <w:rFonts w:ascii="Arial" w:hAnsi="Arial" w:cs="Arial"/>
          <w:snapToGrid w:val="0"/>
          <w:color w:val="000000"/>
          <w:sz w:val="24"/>
          <w:highlight w:val="yellow"/>
        </w:rPr>
      </w:pPr>
    </w:p>
    <w:p w:rsidR="00EE371A" w:rsidRPr="00E64DA5" w:rsidRDefault="00EE371A" w:rsidP="00EE371A">
      <w:pPr>
        <w:widowControl w:val="0"/>
        <w:tabs>
          <w:tab w:val="right" w:pos="7200"/>
        </w:tabs>
        <w:rPr>
          <w:rFonts w:ascii="Arial" w:hAnsi="Arial" w:cs="Arial"/>
          <w:snapToGrid w:val="0"/>
          <w:color w:val="000000"/>
          <w:sz w:val="24"/>
        </w:rPr>
      </w:pPr>
    </w:p>
    <w:p w:rsidR="00EE371A" w:rsidRPr="00E64DA5" w:rsidRDefault="00EE371A" w:rsidP="00EE371A">
      <w:pPr>
        <w:widowControl w:val="0"/>
        <w:tabs>
          <w:tab w:val="right" w:pos="7200"/>
        </w:tabs>
        <w:rPr>
          <w:rFonts w:ascii="Arial" w:hAnsi="Arial" w:cs="Arial"/>
          <w:b/>
          <w:snapToGrid w:val="0"/>
          <w:color w:val="000000"/>
          <w:sz w:val="24"/>
        </w:rPr>
      </w:pPr>
      <w:r w:rsidRPr="00E64DA5">
        <w:rPr>
          <w:rFonts w:ascii="Arial" w:hAnsi="Arial" w:cs="Arial"/>
          <w:b/>
          <w:snapToGrid w:val="0"/>
          <w:color w:val="000000"/>
          <w:sz w:val="24"/>
        </w:rPr>
        <w:t>2</w:t>
      </w:r>
      <w:r w:rsidR="00F666FC">
        <w:rPr>
          <w:rFonts w:ascii="Arial" w:hAnsi="Arial" w:cs="Arial"/>
          <w:b/>
          <w:snapToGrid w:val="0"/>
          <w:color w:val="000000"/>
          <w:sz w:val="24"/>
        </w:rPr>
        <w:t>0</w:t>
      </w:r>
      <w:r w:rsidRPr="00E64DA5">
        <w:rPr>
          <w:rFonts w:ascii="Arial" w:hAnsi="Arial" w:cs="Arial"/>
          <w:b/>
          <w:snapToGrid w:val="0"/>
          <w:color w:val="000000"/>
          <w:sz w:val="24"/>
        </w:rPr>
        <w:t>.  Non current assets</w:t>
      </w:r>
    </w:p>
    <w:p w:rsidR="00EE371A" w:rsidRPr="00E64DA5" w:rsidRDefault="00EE371A" w:rsidP="00EE371A">
      <w:pPr>
        <w:widowControl w:val="0"/>
        <w:tabs>
          <w:tab w:val="right" w:pos="7200"/>
        </w:tabs>
        <w:rPr>
          <w:rFonts w:ascii="Arial" w:hAnsi="Arial" w:cs="Arial"/>
          <w:b/>
          <w:snapToGrid w:val="0"/>
          <w:color w:val="000000"/>
          <w:sz w:val="24"/>
        </w:rPr>
      </w:pPr>
    </w:p>
    <w:tbl>
      <w:tblPr>
        <w:tblStyle w:val="TableGrid"/>
        <w:tblW w:w="47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1921"/>
        <w:gridCol w:w="1919"/>
      </w:tblGrid>
      <w:tr w:rsidR="00EE371A" w:rsidRPr="00E64DA5" w:rsidTr="00090CD7">
        <w:tc>
          <w:tcPr>
            <w:tcW w:w="2535" w:type="pct"/>
          </w:tcPr>
          <w:p w:rsidR="00EE371A" w:rsidRPr="00E64DA5" w:rsidRDefault="00EE371A" w:rsidP="00090CD7">
            <w:pPr>
              <w:widowControl w:val="0"/>
              <w:tabs>
                <w:tab w:val="right" w:pos="7200"/>
              </w:tabs>
              <w:ind w:left="132" w:hanging="132"/>
              <w:rPr>
                <w:rFonts w:ascii="Arial" w:hAnsi="Arial" w:cs="Arial"/>
                <w:snapToGrid w:val="0"/>
                <w:color w:val="000000"/>
                <w:sz w:val="24"/>
              </w:rPr>
            </w:pPr>
          </w:p>
        </w:tc>
        <w:tc>
          <w:tcPr>
            <w:tcW w:w="1233" w:type="pct"/>
          </w:tcPr>
          <w:p w:rsidR="00EE371A" w:rsidRPr="00E64DA5" w:rsidRDefault="00EE371A" w:rsidP="00090CD7">
            <w:pPr>
              <w:widowControl w:val="0"/>
              <w:tabs>
                <w:tab w:val="right" w:pos="7200"/>
              </w:tabs>
              <w:ind w:left="132" w:hanging="132"/>
              <w:jc w:val="right"/>
              <w:rPr>
                <w:rFonts w:ascii="Arial" w:hAnsi="Arial" w:cs="Arial"/>
                <w:b/>
                <w:snapToGrid w:val="0"/>
                <w:color w:val="000000"/>
                <w:sz w:val="24"/>
              </w:rPr>
            </w:pPr>
            <w:r w:rsidRPr="00E64DA5">
              <w:rPr>
                <w:rFonts w:ascii="Arial" w:hAnsi="Arial" w:cs="Arial"/>
                <w:b/>
                <w:snapToGrid w:val="0"/>
                <w:color w:val="000000"/>
                <w:sz w:val="24"/>
              </w:rPr>
              <w:t>31 March 2012</w:t>
            </w:r>
          </w:p>
        </w:tc>
        <w:tc>
          <w:tcPr>
            <w:tcW w:w="1233" w:type="pct"/>
          </w:tcPr>
          <w:p w:rsidR="00EE371A" w:rsidRPr="00E64DA5" w:rsidRDefault="00EE371A" w:rsidP="00090CD7">
            <w:pPr>
              <w:widowControl w:val="0"/>
              <w:tabs>
                <w:tab w:val="right" w:pos="7200"/>
              </w:tabs>
              <w:ind w:left="132" w:hanging="132"/>
              <w:jc w:val="right"/>
              <w:rPr>
                <w:rFonts w:ascii="Arial" w:hAnsi="Arial" w:cs="Arial"/>
                <w:b/>
                <w:snapToGrid w:val="0"/>
                <w:color w:val="000000"/>
                <w:sz w:val="24"/>
              </w:rPr>
            </w:pPr>
            <w:r w:rsidRPr="00E64DA5">
              <w:rPr>
                <w:rFonts w:ascii="Arial" w:hAnsi="Arial" w:cs="Arial"/>
                <w:b/>
                <w:snapToGrid w:val="0"/>
                <w:color w:val="000000"/>
                <w:sz w:val="24"/>
              </w:rPr>
              <w:t>31 March 2013</w:t>
            </w:r>
          </w:p>
        </w:tc>
      </w:tr>
      <w:tr w:rsidR="00EE371A" w:rsidRPr="00E64DA5" w:rsidTr="00090CD7">
        <w:tc>
          <w:tcPr>
            <w:tcW w:w="2535" w:type="pct"/>
          </w:tcPr>
          <w:p w:rsidR="00EE371A" w:rsidRPr="00E64DA5" w:rsidRDefault="00EE371A" w:rsidP="00090CD7">
            <w:pPr>
              <w:widowControl w:val="0"/>
              <w:tabs>
                <w:tab w:val="right" w:pos="7200"/>
              </w:tabs>
              <w:ind w:left="132" w:hanging="132"/>
              <w:rPr>
                <w:rFonts w:ascii="Arial" w:hAnsi="Arial" w:cs="Arial"/>
                <w:snapToGrid w:val="0"/>
                <w:color w:val="000000"/>
                <w:sz w:val="24"/>
              </w:rPr>
            </w:pPr>
          </w:p>
        </w:tc>
        <w:tc>
          <w:tcPr>
            <w:tcW w:w="1233" w:type="pct"/>
          </w:tcPr>
          <w:p w:rsidR="00EE371A" w:rsidRPr="00E64DA5" w:rsidRDefault="00EE371A" w:rsidP="00090CD7">
            <w:pPr>
              <w:widowControl w:val="0"/>
              <w:tabs>
                <w:tab w:val="right" w:pos="7200"/>
              </w:tabs>
              <w:ind w:left="132" w:hanging="132"/>
              <w:jc w:val="right"/>
              <w:rPr>
                <w:rFonts w:ascii="Arial" w:hAnsi="Arial" w:cs="Arial"/>
                <w:b/>
                <w:snapToGrid w:val="0"/>
                <w:color w:val="000000"/>
                <w:sz w:val="24"/>
              </w:rPr>
            </w:pPr>
            <w:r w:rsidRPr="00E64DA5">
              <w:rPr>
                <w:rFonts w:ascii="Arial" w:hAnsi="Arial" w:cs="Arial"/>
                <w:b/>
                <w:snapToGrid w:val="0"/>
                <w:color w:val="000000"/>
                <w:sz w:val="24"/>
              </w:rPr>
              <w:t>£’000</w:t>
            </w:r>
          </w:p>
        </w:tc>
        <w:tc>
          <w:tcPr>
            <w:tcW w:w="1233" w:type="pct"/>
          </w:tcPr>
          <w:p w:rsidR="00EE371A" w:rsidRPr="00E64DA5" w:rsidRDefault="00EE371A" w:rsidP="00090CD7">
            <w:pPr>
              <w:widowControl w:val="0"/>
              <w:tabs>
                <w:tab w:val="right" w:pos="7200"/>
              </w:tabs>
              <w:ind w:left="132" w:hanging="132"/>
              <w:jc w:val="right"/>
              <w:rPr>
                <w:rFonts w:ascii="Arial" w:hAnsi="Arial" w:cs="Arial"/>
                <w:b/>
                <w:snapToGrid w:val="0"/>
                <w:color w:val="000000"/>
                <w:sz w:val="24"/>
              </w:rPr>
            </w:pPr>
            <w:r w:rsidRPr="00E64DA5">
              <w:rPr>
                <w:rFonts w:ascii="Arial" w:hAnsi="Arial" w:cs="Arial"/>
                <w:b/>
                <w:snapToGrid w:val="0"/>
                <w:color w:val="000000"/>
                <w:sz w:val="24"/>
              </w:rPr>
              <w:t>£’000</w:t>
            </w:r>
          </w:p>
        </w:tc>
      </w:tr>
      <w:tr w:rsidR="00EE371A" w:rsidRPr="00E64DA5" w:rsidTr="00090CD7">
        <w:tc>
          <w:tcPr>
            <w:tcW w:w="2535" w:type="pct"/>
          </w:tcPr>
          <w:p w:rsidR="00EE371A" w:rsidRPr="00E64DA5" w:rsidRDefault="00EE371A" w:rsidP="00090CD7">
            <w:pPr>
              <w:widowControl w:val="0"/>
              <w:tabs>
                <w:tab w:val="right" w:pos="7200"/>
              </w:tabs>
              <w:ind w:left="132" w:hanging="132"/>
              <w:rPr>
                <w:rFonts w:ascii="Arial" w:hAnsi="Arial" w:cs="Arial"/>
                <w:snapToGrid w:val="0"/>
                <w:color w:val="000000"/>
              </w:rPr>
            </w:pPr>
          </w:p>
        </w:tc>
        <w:tc>
          <w:tcPr>
            <w:tcW w:w="1233" w:type="pct"/>
          </w:tcPr>
          <w:p w:rsidR="00EE371A" w:rsidRPr="00E64DA5" w:rsidRDefault="00EE371A" w:rsidP="00090CD7">
            <w:pPr>
              <w:widowControl w:val="0"/>
              <w:tabs>
                <w:tab w:val="right" w:pos="7200"/>
              </w:tabs>
              <w:ind w:left="132" w:hanging="132"/>
              <w:jc w:val="right"/>
              <w:rPr>
                <w:rFonts w:ascii="Arial" w:hAnsi="Arial" w:cs="Arial"/>
                <w:snapToGrid w:val="0"/>
                <w:color w:val="000000"/>
              </w:rPr>
            </w:pPr>
          </w:p>
        </w:tc>
        <w:tc>
          <w:tcPr>
            <w:tcW w:w="1233" w:type="pct"/>
          </w:tcPr>
          <w:p w:rsidR="00EE371A" w:rsidRPr="00E64DA5" w:rsidRDefault="00EE371A" w:rsidP="00090CD7">
            <w:pPr>
              <w:widowControl w:val="0"/>
              <w:tabs>
                <w:tab w:val="right" w:pos="7200"/>
              </w:tabs>
              <w:ind w:left="132" w:hanging="132"/>
              <w:jc w:val="right"/>
              <w:rPr>
                <w:rFonts w:ascii="Arial" w:hAnsi="Arial" w:cs="Arial"/>
                <w:snapToGrid w:val="0"/>
                <w:color w:val="000000"/>
              </w:rPr>
            </w:pPr>
          </w:p>
        </w:tc>
      </w:tr>
      <w:tr w:rsidR="00EE371A" w:rsidRPr="00E64DA5" w:rsidTr="00090CD7">
        <w:tc>
          <w:tcPr>
            <w:tcW w:w="2535" w:type="pct"/>
          </w:tcPr>
          <w:p w:rsidR="00EE371A" w:rsidRPr="00E64DA5" w:rsidRDefault="00EE371A" w:rsidP="00090CD7">
            <w:pPr>
              <w:widowControl w:val="0"/>
              <w:tabs>
                <w:tab w:val="right" w:pos="7200"/>
              </w:tabs>
              <w:ind w:left="132" w:hanging="132"/>
              <w:rPr>
                <w:rFonts w:ascii="Arial" w:hAnsi="Arial" w:cs="Arial"/>
                <w:snapToGrid w:val="0"/>
                <w:color w:val="000000"/>
                <w:sz w:val="24"/>
              </w:rPr>
            </w:pPr>
          </w:p>
        </w:tc>
        <w:tc>
          <w:tcPr>
            <w:tcW w:w="1233" w:type="pct"/>
          </w:tcPr>
          <w:p w:rsidR="00EE371A" w:rsidRPr="00E64DA5" w:rsidRDefault="00EE371A" w:rsidP="00090CD7">
            <w:pPr>
              <w:widowControl w:val="0"/>
              <w:tabs>
                <w:tab w:val="right" w:pos="7200"/>
              </w:tabs>
              <w:ind w:left="132" w:hanging="132"/>
              <w:jc w:val="right"/>
              <w:rPr>
                <w:rFonts w:ascii="Arial" w:hAnsi="Arial" w:cs="Arial"/>
                <w:snapToGrid w:val="0"/>
                <w:color w:val="000000"/>
                <w:sz w:val="24"/>
              </w:rPr>
            </w:pPr>
          </w:p>
        </w:tc>
        <w:tc>
          <w:tcPr>
            <w:tcW w:w="1233" w:type="pct"/>
          </w:tcPr>
          <w:p w:rsidR="00EE371A" w:rsidRPr="00E64DA5" w:rsidRDefault="00EE371A" w:rsidP="00090CD7">
            <w:pPr>
              <w:widowControl w:val="0"/>
              <w:tabs>
                <w:tab w:val="right" w:pos="7200"/>
              </w:tabs>
              <w:ind w:left="132" w:hanging="132"/>
              <w:jc w:val="right"/>
              <w:rPr>
                <w:rFonts w:ascii="Arial" w:hAnsi="Arial" w:cs="Arial"/>
                <w:snapToGrid w:val="0"/>
                <w:color w:val="000000"/>
                <w:sz w:val="24"/>
              </w:rPr>
            </w:pPr>
          </w:p>
        </w:tc>
      </w:tr>
      <w:tr w:rsidR="00EE371A" w:rsidRPr="00E64DA5" w:rsidTr="00090CD7">
        <w:tc>
          <w:tcPr>
            <w:tcW w:w="2535" w:type="pct"/>
          </w:tcPr>
          <w:p w:rsidR="00EE371A" w:rsidRPr="00E64DA5" w:rsidRDefault="00EE371A" w:rsidP="00090CD7">
            <w:pPr>
              <w:widowControl w:val="0"/>
              <w:tabs>
                <w:tab w:val="right" w:pos="7200"/>
              </w:tabs>
              <w:ind w:left="132" w:hanging="132"/>
              <w:rPr>
                <w:rFonts w:ascii="Arial" w:hAnsi="Arial" w:cs="Arial"/>
                <w:snapToGrid w:val="0"/>
                <w:color w:val="000000"/>
                <w:sz w:val="24"/>
              </w:rPr>
            </w:pPr>
            <w:r w:rsidRPr="00E64DA5">
              <w:rPr>
                <w:rFonts w:ascii="Arial" w:hAnsi="Arial" w:cs="Arial"/>
                <w:snapToGrid w:val="0"/>
                <w:color w:val="000000"/>
                <w:sz w:val="24"/>
              </w:rPr>
              <w:t xml:space="preserve">Non current assets                                 </w:t>
            </w:r>
          </w:p>
        </w:tc>
        <w:tc>
          <w:tcPr>
            <w:tcW w:w="1233" w:type="pct"/>
          </w:tcPr>
          <w:p w:rsidR="00EE371A" w:rsidRPr="00E64DA5" w:rsidRDefault="00E94482" w:rsidP="00090CD7">
            <w:pPr>
              <w:widowControl w:val="0"/>
              <w:tabs>
                <w:tab w:val="right" w:pos="7200"/>
              </w:tabs>
              <w:ind w:left="132" w:hanging="132"/>
              <w:jc w:val="right"/>
              <w:rPr>
                <w:rFonts w:ascii="Arial" w:hAnsi="Arial" w:cs="Arial"/>
                <w:snapToGrid w:val="0"/>
                <w:color w:val="000000"/>
                <w:sz w:val="24"/>
              </w:rPr>
            </w:pPr>
            <w:r>
              <w:rPr>
                <w:rFonts w:ascii="Arial" w:hAnsi="Arial" w:cs="Arial"/>
                <w:snapToGrid w:val="0"/>
                <w:color w:val="000000"/>
                <w:sz w:val="24"/>
              </w:rPr>
              <w:t>1,92</w:t>
            </w:r>
            <w:r w:rsidR="00D60875">
              <w:rPr>
                <w:rFonts w:ascii="Arial" w:hAnsi="Arial" w:cs="Arial"/>
                <w:snapToGrid w:val="0"/>
                <w:color w:val="000000"/>
                <w:sz w:val="24"/>
              </w:rPr>
              <w:t>1</w:t>
            </w:r>
          </w:p>
        </w:tc>
        <w:tc>
          <w:tcPr>
            <w:tcW w:w="1233" w:type="pct"/>
          </w:tcPr>
          <w:p w:rsidR="00EE371A" w:rsidRPr="00C0271E" w:rsidRDefault="00257EDA" w:rsidP="00090CD7">
            <w:pPr>
              <w:widowControl w:val="0"/>
              <w:tabs>
                <w:tab w:val="right" w:pos="7200"/>
              </w:tabs>
              <w:ind w:left="132" w:hanging="132"/>
              <w:jc w:val="right"/>
              <w:rPr>
                <w:rFonts w:ascii="Arial" w:hAnsi="Arial" w:cs="Arial"/>
                <w:snapToGrid w:val="0"/>
                <w:color w:val="000000"/>
                <w:sz w:val="24"/>
              </w:rPr>
            </w:pPr>
            <w:r w:rsidRPr="00C0271E">
              <w:rPr>
                <w:rFonts w:ascii="Arial" w:hAnsi="Arial" w:cs="Arial"/>
                <w:snapToGrid w:val="0"/>
                <w:color w:val="000000"/>
                <w:sz w:val="24"/>
              </w:rPr>
              <w:t>1,357</w:t>
            </w:r>
          </w:p>
        </w:tc>
      </w:tr>
      <w:tr w:rsidR="00EE371A" w:rsidRPr="00E64DA5" w:rsidTr="00090CD7">
        <w:tc>
          <w:tcPr>
            <w:tcW w:w="2535" w:type="pct"/>
          </w:tcPr>
          <w:p w:rsidR="00EE371A" w:rsidRPr="00E64DA5" w:rsidRDefault="00EE371A" w:rsidP="00090CD7">
            <w:pPr>
              <w:widowControl w:val="0"/>
              <w:tabs>
                <w:tab w:val="right" w:pos="7200"/>
              </w:tabs>
              <w:ind w:left="132" w:hanging="132"/>
              <w:rPr>
                <w:rFonts w:ascii="Arial" w:hAnsi="Arial" w:cs="Arial"/>
                <w:b/>
                <w:snapToGrid w:val="0"/>
                <w:color w:val="000000"/>
                <w:sz w:val="24"/>
              </w:rPr>
            </w:pPr>
          </w:p>
        </w:tc>
        <w:tc>
          <w:tcPr>
            <w:tcW w:w="1233" w:type="pct"/>
            <w:tcBorders>
              <w:bottom w:val="single" w:sz="4" w:space="0" w:color="auto"/>
            </w:tcBorders>
          </w:tcPr>
          <w:p w:rsidR="00EE371A" w:rsidRPr="00E64DA5" w:rsidRDefault="00EE371A" w:rsidP="00090CD7">
            <w:pPr>
              <w:widowControl w:val="0"/>
              <w:tabs>
                <w:tab w:val="right" w:pos="7200"/>
              </w:tabs>
              <w:ind w:left="132" w:hanging="132"/>
              <w:jc w:val="right"/>
              <w:rPr>
                <w:rFonts w:ascii="Arial" w:hAnsi="Arial" w:cs="Arial"/>
                <w:b/>
                <w:snapToGrid w:val="0"/>
                <w:color w:val="000000"/>
                <w:sz w:val="24"/>
              </w:rPr>
            </w:pPr>
          </w:p>
        </w:tc>
        <w:tc>
          <w:tcPr>
            <w:tcW w:w="1233" w:type="pct"/>
            <w:tcBorders>
              <w:bottom w:val="single" w:sz="4" w:space="0" w:color="auto"/>
            </w:tcBorders>
          </w:tcPr>
          <w:p w:rsidR="00EE371A" w:rsidRPr="00C0271E" w:rsidRDefault="00EE371A" w:rsidP="00090CD7">
            <w:pPr>
              <w:widowControl w:val="0"/>
              <w:tabs>
                <w:tab w:val="right" w:pos="7200"/>
              </w:tabs>
              <w:ind w:left="132" w:hanging="132"/>
              <w:jc w:val="right"/>
              <w:rPr>
                <w:rFonts w:ascii="Arial" w:hAnsi="Arial" w:cs="Arial"/>
                <w:b/>
                <w:snapToGrid w:val="0"/>
                <w:color w:val="000000"/>
                <w:sz w:val="24"/>
              </w:rPr>
            </w:pPr>
          </w:p>
        </w:tc>
      </w:tr>
      <w:tr w:rsidR="00EE371A" w:rsidRPr="003D2F7A" w:rsidTr="00090CD7">
        <w:tc>
          <w:tcPr>
            <w:tcW w:w="2535" w:type="pct"/>
          </w:tcPr>
          <w:p w:rsidR="00EE371A" w:rsidRPr="00E64DA5" w:rsidRDefault="00EE371A" w:rsidP="00090CD7">
            <w:pPr>
              <w:widowControl w:val="0"/>
              <w:tabs>
                <w:tab w:val="right" w:pos="7200"/>
              </w:tabs>
              <w:ind w:left="132" w:hanging="132"/>
              <w:rPr>
                <w:rFonts w:ascii="Arial" w:hAnsi="Arial" w:cs="Arial"/>
                <w:b/>
                <w:snapToGrid w:val="0"/>
                <w:color w:val="000000"/>
                <w:sz w:val="24"/>
              </w:rPr>
            </w:pPr>
            <w:r w:rsidRPr="00E64DA5">
              <w:rPr>
                <w:rFonts w:ascii="Arial" w:hAnsi="Arial" w:cs="Arial"/>
                <w:b/>
                <w:snapToGrid w:val="0"/>
                <w:color w:val="000000"/>
                <w:sz w:val="24"/>
              </w:rPr>
              <w:t>Total</w:t>
            </w:r>
          </w:p>
        </w:tc>
        <w:tc>
          <w:tcPr>
            <w:tcW w:w="1233" w:type="pct"/>
            <w:tcBorders>
              <w:top w:val="single" w:sz="4" w:space="0" w:color="auto"/>
            </w:tcBorders>
          </w:tcPr>
          <w:p w:rsidR="00EE371A" w:rsidRPr="00E64DA5" w:rsidRDefault="00EE371A" w:rsidP="00090CD7">
            <w:pPr>
              <w:widowControl w:val="0"/>
              <w:tabs>
                <w:tab w:val="right" w:pos="7200"/>
              </w:tabs>
              <w:ind w:left="132" w:hanging="132"/>
              <w:jc w:val="right"/>
              <w:rPr>
                <w:rFonts w:ascii="Arial" w:hAnsi="Arial" w:cs="Arial"/>
                <w:b/>
                <w:snapToGrid w:val="0"/>
                <w:color w:val="000000"/>
                <w:sz w:val="24"/>
              </w:rPr>
            </w:pPr>
            <w:r w:rsidRPr="00E64DA5">
              <w:rPr>
                <w:rFonts w:ascii="Arial" w:hAnsi="Arial" w:cs="Arial"/>
                <w:b/>
                <w:snapToGrid w:val="0"/>
                <w:color w:val="000000"/>
                <w:sz w:val="24"/>
              </w:rPr>
              <w:t>1,</w:t>
            </w:r>
            <w:r w:rsidR="00E94482">
              <w:rPr>
                <w:rFonts w:ascii="Arial" w:hAnsi="Arial" w:cs="Arial"/>
                <w:b/>
                <w:snapToGrid w:val="0"/>
                <w:color w:val="000000"/>
                <w:sz w:val="24"/>
              </w:rPr>
              <w:t>92</w:t>
            </w:r>
            <w:r w:rsidR="00D60875">
              <w:rPr>
                <w:rFonts w:ascii="Arial" w:hAnsi="Arial" w:cs="Arial"/>
                <w:b/>
                <w:snapToGrid w:val="0"/>
                <w:color w:val="000000"/>
                <w:sz w:val="24"/>
              </w:rPr>
              <w:t>1</w:t>
            </w:r>
          </w:p>
        </w:tc>
        <w:tc>
          <w:tcPr>
            <w:tcW w:w="1233" w:type="pct"/>
            <w:tcBorders>
              <w:top w:val="single" w:sz="4" w:space="0" w:color="auto"/>
            </w:tcBorders>
          </w:tcPr>
          <w:p w:rsidR="00EE371A" w:rsidRPr="00C0271E" w:rsidRDefault="00257EDA" w:rsidP="00090CD7">
            <w:pPr>
              <w:widowControl w:val="0"/>
              <w:tabs>
                <w:tab w:val="right" w:pos="7200"/>
              </w:tabs>
              <w:ind w:left="132" w:hanging="132"/>
              <w:jc w:val="right"/>
              <w:rPr>
                <w:rFonts w:ascii="Arial" w:hAnsi="Arial" w:cs="Arial"/>
                <w:b/>
                <w:snapToGrid w:val="0"/>
                <w:color w:val="000000"/>
                <w:sz w:val="24"/>
              </w:rPr>
            </w:pPr>
            <w:r w:rsidRPr="00C0271E">
              <w:rPr>
                <w:rFonts w:ascii="Arial" w:hAnsi="Arial" w:cs="Arial"/>
                <w:b/>
                <w:snapToGrid w:val="0"/>
                <w:color w:val="000000"/>
                <w:sz w:val="24"/>
              </w:rPr>
              <w:t>1,357</w:t>
            </w:r>
          </w:p>
        </w:tc>
      </w:tr>
    </w:tbl>
    <w:p w:rsidR="00EE371A" w:rsidRDefault="00EE371A" w:rsidP="00EE371A">
      <w:pPr>
        <w:widowControl w:val="0"/>
        <w:tabs>
          <w:tab w:val="right" w:pos="7200"/>
        </w:tabs>
        <w:rPr>
          <w:rFonts w:ascii="Arial" w:hAnsi="Arial" w:cs="Arial"/>
          <w:b/>
          <w:snapToGrid w:val="0"/>
          <w:color w:val="000000"/>
          <w:sz w:val="24"/>
          <w:highlight w:val="yellow"/>
        </w:rPr>
      </w:pPr>
    </w:p>
    <w:p w:rsidR="00EE371A" w:rsidRDefault="00EE371A" w:rsidP="00EE371A">
      <w:pPr>
        <w:widowControl w:val="0"/>
        <w:tabs>
          <w:tab w:val="right" w:pos="7200"/>
        </w:tabs>
        <w:rPr>
          <w:rFonts w:ascii="Arial" w:hAnsi="Arial" w:cs="Arial"/>
          <w:b/>
          <w:snapToGrid w:val="0"/>
          <w:color w:val="000000"/>
          <w:sz w:val="24"/>
          <w:highlight w:val="yellow"/>
        </w:rPr>
      </w:pPr>
    </w:p>
    <w:p w:rsidR="00EE371A" w:rsidRPr="00E64DA5" w:rsidRDefault="00EE371A" w:rsidP="00EE371A">
      <w:pPr>
        <w:widowControl w:val="0"/>
        <w:tabs>
          <w:tab w:val="right" w:pos="7200"/>
        </w:tabs>
        <w:rPr>
          <w:rFonts w:ascii="Arial" w:hAnsi="Arial" w:cs="Arial"/>
          <w:snapToGrid w:val="0"/>
          <w:color w:val="000000"/>
          <w:sz w:val="24"/>
        </w:rPr>
      </w:pPr>
      <w:r w:rsidRPr="00E64DA5">
        <w:rPr>
          <w:rFonts w:ascii="Arial" w:hAnsi="Arial" w:cs="Arial"/>
          <w:snapToGrid w:val="0"/>
          <w:color w:val="000000"/>
          <w:sz w:val="24"/>
        </w:rPr>
        <w:t>Non current assets comprises of contributions due from employers, repayable later than a year of the Balance Sheet date.</w:t>
      </w:r>
    </w:p>
    <w:p w:rsidR="00EE371A" w:rsidRDefault="00EE371A" w:rsidP="00EE371A">
      <w:pPr>
        <w:widowControl w:val="0"/>
        <w:tabs>
          <w:tab w:val="right" w:pos="7200"/>
        </w:tabs>
        <w:rPr>
          <w:rFonts w:ascii="Arial" w:hAnsi="Arial" w:cs="Arial"/>
          <w:b/>
          <w:snapToGrid w:val="0"/>
          <w:color w:val="000000"/>
          <w:sz w:val="24"/>
          <w:highlight w:val="yellow"/>
        </w:rPr>
      </w:pPr>
    </w:p>
    <w:p w:rsidR="00EE371A" w:rsidRDefault="00EE371A" w:rsidP="000218C5">
      <w:pPr>
        <w:rPr>
          <w:rFonts w:ascii="Arial" w:hAnsi="Arial" w:cs="Arial"/>
          <w:b/>
          <w:snapToGrid w:val="0"/>
          <w:color w:val="000000"/>
          <w:sz w:val="24"/>
          <w:highlight w:val="yellow"/>
        </w:rPr>
      </w:pPr>
    </w:p>
    <w:p w:rsidR="00B7354F" w:rsidRDefault="00B7354F">
      <w:pPr>
        <w:rPr>
          <w:rFonts w:ascii="Arial" w:hAnsi="Arial" w:cs="Arial"/>
          <w:b/>
          <w:snapToGrid w:val="0"/>
          <w:color w:val="000000"/>
          <w:sz w:val="24"/>
        </w:rPr>
      </w:pPr>
      <w:r>
        <w:rPr>
          <w:rFonts w:ascii="Arial" w:hAnsi="Arial" w:cs="Arial"/>
          <w:b/>
          <w:snapToGrid w:val="0"/>
          <w:color w:val="000000"/>
          <w:sz w:val="24"/>
        </w:rPr>
        <w:br w:type="page"/>
      </w:r>
    </w:p>
    <w:p w:rsidR="008B7AFE" w:rsidRPr="00EE6176" w:rsidRDefault="00F666FC" w:rsidP="000218C5">
      <w:pPr>
        <w:rPr>
          <w:rFonts w:ascii="Arial" w:hAnsi="Arial" w:cs="Arial"/>
          <w:snapToGrid w:val="0"/>
          <w:color w:val="000000"/>
          <w:sz w:val="24"/>
        </w:rPr>
      </w:pPr>
      <w:r>
        <w:rPr>
          <w:rFonts w:ascii="Arial" w:hAnsi="Arial" w:cs="Arial"/>
          <w:b/>
          <w:snapToGrid w:val="0"/>
          <w:color w:val="000000"/>
          <w:sz w:val="24"/>
        </w:rPr>
        <w:lastRenderedPageBreak/>
        <w:t>21</w:t>
      </w:r>
      <w:r w:rsidR="00774EEE" w:rsidRPr="00EE6176">
        <w:rPr>
          <w:rFonts w:ascii="Arial" w:hAnsi="Arial" w:cs="Arial"/>
          <w:b/>
          <w:snapToGrid w:val="0"/>
          <w:color w:val="000000"/>
          <w:sz w:val="24"/>
        </w:rPr>
        <w:t>.  Current liabilities</w:t>
      </w:r>
    </w:p>
    <w:p w:rsidR="000218C5" w:rsidRPr="00EE6176" w:rsidRDefault="000218C5" w:rsidP="005A653B">
      <w:pPr>
        <w:widowControl w:val="0"/>
        <w:tabs>
          <w:tab w:val="right" w:pos="7200"/>
        </w:tabs>
        <w:rPr>
          <w:rFonts w:ascii="Arial" w:hAnsi="Arial" w:cs="Arial"/>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1920"/>
        <w:gridCol w:w="1920"/>
      </w:tblGrid>
      <w:tr w:rsidR="000218C5" w:rsidRPr="00EE6176" w:rsidTr="00E612C4">
        <w:tc>
          <w:tcPr>
            <w:tcW w:w="4188" w:type="dxa"/>
          </w:tcPr>
          <w:p w:rsidR="000218C5" w:rsidRPr="00EE6176" w:rsidRDefault="000218C5"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0218C5" w:rsidRPr="00EE6176" w:rsidRDefault="00E612C4" w:rsidP="00E73B9F">
            <w:pPr>
              <w:widowControl w:val="0"/>
              <w:tabs>
                <w:tab w:val="left" w:pos="180"/>
                <w:tab w:val="right" w:pos="3060"/>
                <w:tab w:val="right" w:pos="4150"/>
              </w:tabs>
              <w:jc w:val="right"/>
              <w:rPr>
                <w:rFonts w:ascii="Arial" w:hAnsi="Arial" w:cs="Arial"/>
                <w:b/>
                <w:snapToGrid w:val="0"/>
                <w:color w:val="000000"/>
                <w:sz w:val="24"/>
              </w:rPr>
            </w:pPr>
            <w:r w:rsidRPr="00EE6176">
              <w:rPr>
                <w:rFonts w:ascii="Arial" w:hAnsi="Arial" w:cs="Arial"/>
                <w:b/>
                <w:snapToGrid w:val="0"/>
                <w:color w:val="000000"/>
                <w:sz w:val="24"/>
              </w:rPr>
              <w:t>31 March 20</w:t>
            </w:r>
            <w:r w:rsidR="0066290E" w:rsidRPr="00EE6176">
              <w:rPr>
                <w:rFonts w:ascii="Arial" w:hAnsi="Arial" w:cs="Arial"/>
                <w:b/>
                <w:snapToGrid w:val="0"/>
                <w:color w:val="000000"/>
                <w:sz w:val="24"/>
              </w:rPr>
              <w:t>12</w:t>
            </w:r>
          </w:p>
        </w:tc>
        <w:tc>
          <w:tcPr>
            <w:tcW w:w="1920" w:type="dxa"/>
          </w:tcPr>
          <w:p w:rsidR="000218C5" w:rsidRPr="00EE6176" w:rsidRDefault="00E612C4" w:rsidP="00E73B9F">
            <w:pPr>
              <w:widowControl w:val="0"/>
              <w:tabs>
                <w:tab w:val="left" w:pos="180"/>
                <w:tab w:val="right" w:pos="3060"/>
                <w:tab w:val="right" w:pos="4150"/>
              </w:tabs>
              <w:jc w:val="right"/>
              <w:rPr>
                <w:rFonts w:ascii="Arial" w:hAnsi="Arial" w:cs="Arial"/>
                <w:b/>
                <w:snapToGrid w:val="0"/>
                <w:color w:val="000000"/>
                <w:sz w:val="24"/>
              </w:rPr>
            </w:pPr>
            <w:r w:rsidRPr="00EE6176">
              <w:rPr>
                <w:rFonts w:ascii="Arial" w:hAnsi="Arial" w:cs="Arial"/>
                <w:b/>
                <w:snapToGrid w:val="0"/>
                <w:color w:val="000000"/>
                <w:sz w:val="24"/>
              </w:rPr>
              <w:t>31 March 20</w:t>
            </w:r>
            <w:r w:rsidR="0066290E" w:rsidRPr="00EE6176">
              <w:rPr>
                <w:rFonts w:ascii="Arial" w:hAnsi="Arial" w:cs="Arial"/>
                <w:b/>
                <w:snapToGrid w:val="0"/>
                <w:color w:val="000000"/>
                <w:sz w:val="24"/>
              </w:rPr>
              <w:t>13</w:t>
            </w:r>
          </w:p>
        </w:tc>
      </w:tr>
      <w:tr w:rsidR="000218C5" w:rsidRPr="00EE6176" w:rsidTr="00E612C4">
        <w:tc>
          <w:tcPr>
            <w:tcW w:w="4188" w:type="dxa"/>
          </w:tcPr>
          <w:p w:rsidR="000218C5" w:rsidRPr="00EE6176" w:rsidRDefault="000218C5"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0218C5" w:rsidRPr="00EE6176" w:rsidRDefault="000218C5" w:rsidP="00E73B9F">
            <w:pPr>
              <w:widowControl w:val="0"/>
              <w:tabs>
                <w:tab w:val="left" w:pos="180"/>
                <w:tab w:val="right" w:pos="3060"/>
                <w:tab w:val="right" w:pos="4150"/>
              </w:tabs>
              <w:jc w:val="right"/>
              <w:rPr>
                <w:rFonts w:ascii="Arial" w:hAnsi="Arial" w:cs="Arial"/>
                <w:b/>
                <w:snapToGrid w:val="0"/>
                <w:color w:val="000000"/>
                <w:sz w:val="24"/>
              </w:rPr>
            </w:pPr>
            <w:r w:rsidRPr="00EE6176">
              <w:rPr>
                <w:rFonts w:ascii="Arial" w:hAnsi="Arial" w:cs="Arial"/>
                <w:b/>
                <w:snapToGrid w:val="0"/>
                <w:color w:val="000000"/>
                <w:sz w:val="24"/>
              </w:rPr>
              <w:t>£’000</w:t>
            </w:r>
          </w:p>
        </w:tc>
        <w:tc>
          <w:tcPr>
            <w:tcW w:w="1920" w:type="dxa"/>
          </w:tcPr>
          <w:p w:rsidR="000218C5" w:rsidRPr="00EE6176" w:rsidRDefault="000218C5" w:rsidP="00E73B9F">
            <w:pPr>
              <w:widowControl w:val="0"/>
              <w:tabs>
                <w:tab w:val="left" w:pos="180"/>
                <w:tab w:val="right" w:pos="3060"/>
                <w:tab w:val="right" w:pos="4150"/>
              </w:tabs>
              <w:jc w:val="right"/>
              <w:rPr>
                <w:rFonts w:ascii="Arial" w:hAnsi="Arial" w:cs="Arial"/>
                <w:b/>
                <w:snapToGrid w:val="0"/>
                <w:color w:val="000000"/>
                <w:sz w:val="24"/>
              </w:rPr>
            </w:pPr>
            <w:r w:rsidRPr="00EE6176">
              <w:rPr>
                <w:rFonts w:ascii="Arial" w:hAnsi="Arial" w:cs="Arial"/>
                <w:b/>
                <w:snapToGrid w:val="0"/>
                <w:color w:val="000000"/>
                <w:sz w:val="24"/>
              </w:rPr>
              <w:t>£’000</w:t>
            </w:r>
          </w:p>
        </w:tc>
      </w:tr>
      <w:tr w:rsidR="000218C5" w:rsidRPr="00EE6176" w:rsidTr="00E612C4">
        <w:tc>
          <w:tcPr>
            <w:tcW w:w="4188" w:type="dxa"/>
          </w:tcPr>
          <w:p w:rsidR="000218C5" w:rsidRPr="00EE6176" w:rsidRDefault="000218C5" w:rsidP="00E73B9F">
            <w:pPr>
              <w:widowControl w:val="0"/>
              <w:tabs>
                <w:tab w:val="left" w:pos="180"/>
                <w:tab w:val="right" w:pos="3060"/>
                <w:tab w:val="right" w:pos="4150"/>
              </w:tabs>
              <w:rPr>
                <w:rFonts w:ascii="Arial" w:hAnsi="Arial" w:cs="Arial"/>
                <w:b/>
                <w:snapToGrid w:val="0"/>
                <w:color w:val="000000"/>
                <w:sz w:val="24"/>
              </w:rPr>
            </w:pPr>
          </w:p>
        </w:tc>
        <w:tc>
          <w:tcPr>
            <w:tcW w:w="1920" w:type="dxa"/>
          </w:tcPr>
          <w:p w:rsidR="000218C5" w:rsidRPr="00EE6176" w:rsidRDefault="000218C5" w:rsidP="00E73B9F">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0218C5" w:rsidRPr="00EE6176" w:rsidRDefault="000218C5" w:rsidP="00E73B9F">
            <w:pPr>
              <w:widowControl w:val="0"/>
              <w:tabs>
                <w:tab w:val="left" w:pos="180"/>
                <w:tab w:val="right" w:pos="3060"/>
                <w:tab w:val="right" w:pos="4150"/>
              </w:tabs>
              <w:jc w:val="right"/>
              <w:rPr>
                <w:rFonts w:ascii="Arial" w:hAnsi="Arial" w:cs="Arial"/>
                <w:snapToGrid w:val="0"/>
                <w:color w:val="000000"/>
                <w:sz w:val="24"/>
              </w:rPr>
            </w:pP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rPr>
            </w:pPr>
            <w:r w:rsidRPr="00C370FB">
              <w:rPr>
                <w:rFonts w:ascii="Arial" w:hAnsi="Arial" w:cs="Arial"/>
                <w:snapToGrid w:val="0"/>
                <w:color w:val="000000"/>
                <w:sz w:val="24"/>
              </w:rPr>
              <w:t>Sundry creditors</w:t>
            </w:r>
          </w:p>
        </w:tc>
        <w:tc>
          <w:tcPr>
            <w:tcW w:w="1920" w:type="dxa"/>
          </w:tcPr>
          <w:p w:rsidR="000218C5" w:rsidRPr="00C370FB" w:rsidRDefault="00DF285C" w:rsidP="00E73B9F">
            <w:pPr>
              <w:widowControl w:val="0"/>
              <w:tabs>
                <w:tab w:val="left" w:pos="180"/>
                <w:tab w:val="right" w:pos="3060"/>
                <w:tab w:val="right" w:pos="4150"/>
              </w:tabs>
              <w:jc w:val="right"/>
              <w:rPr>
                <w:rFonts w:ascii="Arial" w:hAnsi="Arial" w:cs="Arial"/>
                <w:snapToGrid w:val="0"/>
                <w:color w:val="000000"/>
                <w:sz w:val="24"/>
              </w:rPr>
            </w:pPr>
            <w:r w:rsidRPr="00C370FB">
              <w:rPr>
                <w:rFonts w:ascii="Arial" w:hAnsi="Arial" w:cs="Arial"/>
                <w:snapToGrid w:val="0"/>
                <w:color w:val="000000"/>
                <w:sz w:val="24"/>
              </w:rPr>
              <w:t>1,803</w:t>
            </w:r>
          </w:p>
        </w:tc>
        <w:tc>
          <w:tcPr>
            <w:tcW w:w="1920" w:type="dxa"/>
          </w:tcPr>
          <w:p w:rsidR="000218C5" w:rsidRPr="00C370FB" w:rsidRDefault="00D7563B" w:rsidP="00E73B9F">
            <w:pPr>
              <w:widowControl w:val="0"/>
              <w:tabs>
                <w:tab w:val="left" w:pos="180"/>
                <w:tab w:val="right" w:pos="3060"/>
                <w:tab w:val="right" w:pos="4150"/>
              </w:tabs>
              <w:jc w:val="right"/>
              <w:rPr>
                <w:rFonts w:ascii="Arial" w:hAnsi="Arial" w:cs="Arial"/>
                <w:snapToGrid w:val="0"/>
                <w:color w:val="000000"/>
                <w:sz w:val="24"/>
              </w:rPr>
            </w:pPr>
            <w:r w:rsidRPr="00C370FB">
              <w:rPr>
                <w:rFonts w:ascii="Arial" w:hAnsi="Arial" w:cs="Arial"/>
                <w:snapToGrid w:val="0"/>
                <w:color w:val="000000"/>
                <w:sz w:val="24"/>
              </w:rPr>
              <w:t>431</w:t>
            </w: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szCs w:val="24"/>
              </w:rPr>
            </w:pPr>
          </w:p>
        </w:tc>
        <w:tc>
          <w:tcPr>
            <w:tcW w:w="1920" w:type="dxa"/>
            <w:tcBorders>
              <w:bottom w:val="single" w:sz="4" w:space="0" w:color="auto"/>
            </w:tcBorders>
          </w:tcPr>
          <w:p w:rsidR="000218C5" w:rsidRPr="00C370FB" w:rsidRDefault="000218C5" w:rsidP="00E73B9F">
            <w:pPr>
              <w:widowControl w:val="0"/>
              <w:tabs>
                <w:tab w:val="left" w:pos="180"/>
                <w:tab w:val="right" w:pos="3060"/>
                <w:tab w:val="right" w:pos="4150"/>
              </w:tabs>
              <w:jc w:val="right"/>
              <w:rPr>
                <w:rFonts w:ascii="Arial" w:hAnsi="Arial" w:cs="Arial"/>
                <w:snapToGrid w:val="0"/>
                <w:color w:val="000000"/>
                <w:sz w:val="14"/>
                <w:szCs w:val="14"/>
              </w:rPr>
            </w:pPr>
          </w:p>
        </w:tc>
        <w:tc>
          <w:tcPr>
            <w:tcW w:w="1920" w:type="dxa"/>
            <w:tcBorders>
              <w:bottom w:val="single" w:sz="4" w:space="0" w:color="auto"/>
            </w:tcBorders>
          </w:tcPr>
          <w:p w:rsidR="000218C5" w:rsidRPr="00C370FB" w:rsidRDefault="000218C5" w:rsidP="00E73B9F">
            <w:pPr>
              <w:widowControl w:val="0"/>
              <w:tabs>
                <w:tab w:val="left" w:pos="180"/>
                <w:tab w:val="right" w:pos="3060"/>
                <w:tab w:val="right" w:pos="4150"/>
              </w:tabs>
              <w:jc w:val="right"/>
              <w:rPr>
                <w:rFonts w:ascii="Arial" w:hAnsi="Arial" w:cs="Arial"/>
                <w:snapToGrid w:val="0"/>
                <w:color w:val="000000"/>
                <w:sz w:val="14"/>
                <w:szCs w:val="14"/>
              </w:rPr>
            </w:pP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b/>
                <w:snapToGrid w:val="0"/>
                <w:color w:val="000000"/>
                <w:sz w:val="24"/>
              </w:rPr>
            </w:pPr>
            <w:r w:rsidRPr="00C370FB">
              <w:rPr>
                <w:rFonts w:ascii="Arial" w:hAnsi="Arial" w:cs="Arial"/>
                <w:b/>
                <w:snapToGrid w:val="0"/>
                <w:color w:val="000000"/>
                <w:sz w:val="24"/>
              </w:rPr>
              <w:t>Total</w:t>
            </w:r>
          </w:p>
        </w:tc>
        <w:tc>
          <w:tcPr>
            <w:tcW w:w="1920" w:type="dxa"/>
            <w:tcBorders>
              <w:top w:val="single" w:sz="4" w:space="0" w:color="auto"/>
            </w:tcBorders>
          </w:tcPr>
          <w:p w:rsidR="000218C5" w:rsidRPr="00C370FB" w:rsidRDefault="00DF285C"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1,803</w:t>
            </w:r>
          </w:p>
        </w:tc>
        <w:tc>
          <w:tcPr>
            <w:tcW w:w="1920" w:type="dxa"/>
            <w:tcBorders>
              <w:top w:val="single" w:sz="4" w:space="0" w:color="auto"/>
            </w:tcBorders>
          </w:tcPr>
          <w:p w:rsidR="000218C5" w:rsidRPr="00C370FB" w:rsidRDefault="00D7563B"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431</w:t>
            </w:r>
          </w:p>
        </w:tc>
      </w:tr>
    </w:tbl>
    <w:p w:rsidR="000218C5" w:rsidRPr="00C370FB" w:rsidRDefault="000218C5" w:rsidP="005A653B">
      <w:pPr>
        <w:widowControl w:val="0"/>
        <w:tabs>
          <w:tab w:val="right" w:pos="7200"/>
        </w:tabs>
        <w:rPr>
          <w:rFonts w:ascii="Arial" w:hAnsi="Arial" w:cs="Arial"/>
          <w:snapToGrid w:val="0"/>
          <w:color w:val="000000"/>
          <w:sz w:val="24"/>
        </w:rPr>
      </w:pPr>
    </w:p>
    <w:p w:rsidR="000218C5" w:rsidRPr="00C370FB" w:rsidRDefault="000218C5" w:rsidP="000218C5">
      <w:pPr>
        <w:rPr>
          <w:rFonts w:ascii="Arial" w:hAnsi="Arial" w:cs="Arial"/>
          <w:snapToGrid w:val="0"/>
          <w:color w:val="000000"/>
          <w:sz w:val="24"/>
        </w:rPr>
      </w:pPr>
      <w:r w:rsidRPr="00C370FB">
        <w:rPr>
          <w:rFonts w:ascii="Arial" w:hAnsi="Arial" w:cs="Arial"/>
          <w:b/>
          <w:snapToGrid w:val="0"/>
          <w:color w:val="000000"/>
          <w:sz w:val="24"/>
        </w:rPr>
        <w:t>Analysis of creditors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1920"/>
        <w:gridCol w:w="1920"/>
      </w:tblGrid>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0218C5" w:rsidRPr="00C370FB" w:rsidRDefault="00E612C4"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31 March 20</w:t>
            </w:r>
            <w:r w:rsidR="00214D20" w:rsidRPr="00C370FB">
              <w:rPr>
                <w:rFonts w:ascii="Arial" w:hAnsi="Arial" w:cs="Arial"/>
                <w:b/>
                <w:snapToGrid w:val="0"/>
                <w:color w:val="000000"/>
                <w:sz w:val="24"/>
              </w:rPr>
              <w:t>12</w:t>
            </w:r>
          </w:p>
        </w:tc>
        <w:tc>
          <w:tcPr>
            <w:tcW w:w="1920" w:type="dxa"/>
          </w:tcPr>
          <w:p w:rsidR="000218C5" w:rsidRPr="00C370FB" w:rsidRDefault="00E612C4"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31 March 20</w:t>
            </w:r>
            <w:r w:rsidR="00214D20" w:rsidRPr="00C370FB">
              <w:rPr>
                <w:rFonts w:ascii="Arial" w:hAnsi="Arial" w:cs="Arial"/>
                <w:b/>
                <w:snapToGrid w:val="0"/>
                <w:color w:val="000000"/>
                <w:sz w:val="24"/>
              </w:rPr>
              <w:t>13</w:t>
            </w: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rPr>
            </w:pPr>
          </w:p>
        </w:tc>
        <w:tc>
          <w:tcPr>
            <w:tcW w:w="1920" w:type="dxa"/>
          </w:tcPr>
          <w:p w:rsidR="000218C5" w:rsidRPr="00C370FB" w:rsidRDefault="000218C5"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£’000</w:t>
            </w:r>
          </w:p>
        </w:tc>
        <w:tc>
          <w:tcPr>
            <w:tcW w:w="1920" w:type="dxa"/>
          </w:tcPr>
          <w:p w:rsidR="000218C5" w:rsidRPr="00C370FB" w:rsidRDefault="000218C5"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£’000</w:t>
            </w: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b/>
                <w:snapToGrid w:val="0"/>
                <w:color w:val="000000"/>
                <w:sz w:val="24"/>
              </w:rPr>
            </w:pPr>
          </w:p>
        </w:tc>
        <w:tc>
          <w:tcPr>
            <w:tcW w:w="1920" w:type="dxa"/>
          </w:tcPr>
          <w:p w:rsidR="000218C5" w:rsidRPr="00C370FB" w:rsidRDefault="000218C5" w:rsidP="00E73B9F">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0218C5" w:rsidRPr="00C370FB" w:rsidRDefault="000218C5" w:rsidP="00E73B9F">
            <w:pPr>
              <w:widowControl w:val="0"/>
              <w:tabs>
                <w:tab w:val="left" w:pos="180"/>
                <w:tab w:val="right" w:pos="3060"/>
                <w:tab w:val="right" w:pos="4150"/>
              </w:tabs>
              <w:jc w:val="right"/>
              <w:rPr>
                <w:rFonts w:ascii="Arial" w:hAnsi="Arial" w:cs="Arial"/>
                <w:snapToGrid w:val="0"/>
                <w:color w:val="000000"/>
                <w:sz w:val="24"/>
              </w:rPr>
            </w:pP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rPr>
            </w:pPr>
            <w:r w:rsidRPr="00C370FB">
              <w:rPr>
                <w:rFonts w:ascii="Arial" w:hAnsi="Arial" w:cs="Arial"/>
                <w:snapToGrid w:val="0"/>
                <w:color w:val="000000"/>
                <w:sz w:val="24"/>
              </w:rPr>
              <w:t>Central government bodies</w:t>
            </w:r>
          </w:p>
        </w:tc>
        <w:tc>
          <w:tcPr>
            <w:tcW w:w="1920" w:type="dxa"/>
          </w:tcPr>
          <w:p w:rsidR="000218C5" w:rsidRPr="00C370FB" w:rsidRDefault="00D93E81" w:rsidP="00E73B9F">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10</w:t>
            </w:r>
          </w:p>
        </w:tc>
        <w:tc>
          <w:tcPr>
            <w:tcW w:w="1920" w:type="dxa"/>
          </w:tcPr>
          <w:p w:rsidR="000218C5" w:rsidRPr="00C370FB" w:rsidRDefault="00744B5C" w:rsidP="00E73B9F">
            <w:pPr>
              <w:widowControl w:val="0"/>
              <w:tabs>
                <w:tab w:val="left" w:pos="180"/>
                <w:tab w:val="right" w:pos="3060"/>
                <w:tab w:val="right" w:pos="4150"/>
              </w:tabs>
              <w:jc w:val="right"/>
              <w:rPr>
                <w:rFonts w:ascii="Arial" w:hAnsi="Arial" w:cs="Arial"/>
                <w:snapToGrid w:val="0"/>
                <w:color w:val="000000"/>
                <w:sz w:val="24"/>
              </w:rPr>
            </w:pPr>
            <w:r w:rsidRPr="00C370FB">
              <w:rPr>
                <w:rFonts w:ascii="Arial" w:hAnsi="Arial" w:cs="Arial"/>
                <w:snapToGrid w:val="0"/>
                <w:color w:val="000000"/>
                <w:sz w:val="24"/>
              </w:rPr>
              <w:t>5</w:t>
            </w: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rPr>
            </w:pPr>
            <w:r w:rsidRPr="00C370FB">
              <w:rPr>
                <w:rFonts w:ascii="Arial" w:hAnsi="Arial" w:cs="Arial"/>
                <w:snapToGrid w:val="0"/>
                <w:color w:val="000000"/>
                <w:sz w:val="24"/>
              </w:rPr>
              <w:t>Other entities and individuals</w:t>
            </w:r>
          </w:p>
        </w:tc>
        <w:tc>
          <w:tcPr>
            <w:tcW w:w="1920" w:type="dxa"/>
          </w:tcPr>
          <w:p w:rsidR="000218C5" w:rsidRPr="00C370FB" w:rsidRDefault="00D93E81" w:rsidP="00E73B9F">
            <w:pPr>
              <w:widowControl w:val="0"/>
              <w:tabs>
                <w:tab w:val="left" w:pos="180"/>
                <w:tab w:val="right" w:pos="3060"/>
                <w:tab w:val="right" w:pos="4150"/>
              </w:tabs>
              <w:jc w:val="right"/>
              <w:rPr>
                <w:rFonts w:ascii="Arial" w:hAnsi="Arial" w:cs="Arial"/>
                <w:snapToGrid w:val="0"/>
                <w:color w:val="000000"/>
                <w:sz w:val="24"/>
              </w:rPr>
            </w:pPr>
            <w:r>
              <w:rPr>
                <w:rFonts w:ascii="Arial" w:hAnsi="Arial" w:cs="Arial"/>
                <w:snapToGrid w:val="0"/>
                <w:color w:val="000000"/>
                <w:sz w:val="24"/>
              </w:rPr>
              <w:t>1,79</w:t>
            </w:r>
            <w:r w:rsidR="00DB3AAE" w:rsidRPr="00C370FB">
              <w:rPr>
                <w:rFonts w:ascii="Arial" w:hAnsi="Arial" w:cs="Arial"/>
                <w:snapToGrid w:val="0"/>
                <w:color w:val="000000"/>
                <w:sz w:val="24"/>
              </w:rPr>
              <w:t>3</w:t>
            </w:r>
          </w:p>
        </w:tc>
        <w:tc>
          <w:tcPr>
            <w:tcW w:w="1920" w:type="dxa"/>
          </w:tcPr>
          <w:p w:rsidR="000218C5" w:rsidRPr="00C370FB" w:rsidRDefault="008F039F" w:rsidP="00E73B9F">
            <w:pPr>
              <w:widowControl w:val="0"/>
              <w:tabs>
                <w:tab w:val="left" w:pos="180"/>
                <w:tab w:val="right" w:pos="3060"/>
                <w:tab w:val="right" w:pos="4150"/>
              </w:tabs>
              <w:jc w:val="right"/>
              <w:rPr>
                <w:rFonts w:ascii="Arial" w:hAnsi="Arial" w:cs="Arial"/>
                <w:snapToGrid w:val="0"/>
                <w:color w:val="000000"/>
                <w:sz w:val="24"/>
              </w:rPr>
            </w:pPr>
            <w:r w:rsidRPr="00C370FB">
              <w:rPr>
                <w:rFonts w:ascii="Arial" w:hAnsi="Arial" w:cs="Arial"/>
                <w:snapToGrid w:val="0"/>
                <w:color w:val="000000"/>
                <w:sz w:val="24"/>
              </w:rPr>
              <w:t>4</w:t>
            </w:r>
            <w:r w:rsidR="00C370FB" w:rsidRPr="00C370FB">
              <w:rPr>
                <w:rFonts w:ascii="Arial" w:hAnsi="Arial" w:cs="Arial"/>
                <w:snapToGrid w:val="0"/>
                <w:color w:val="000000"/>
                <w:sz w:val="24"/>
              </w:rPr>
              <w:t>26</w:t>
            </w:r>
          </w:p>
        </w:tc>
      </w:tr>
      <w:tr w:rsidR="000218C5" w:rsidRPr="00C370FB"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snapToGrid w:val="0"/>
                <w:color w:val="000000"/>
                <w:sz w:val="24"/>
                <w:szCs w:val="24"/>
              </w:rPr>
            </w:pPr>
          </w:p>
        </w:tc>
        <w:tc>
          <w:tcPr>
            <w:tcW w:w="1920" w:type="dxa"/>
            <w:tcBorders>
              <w:bottom w:val="single" w:sz="4" w:space="0" w:color="auto"/>
            </w:tcBorders>
          </w:tcPr>
          <w:p w:rsidR="000218C5" w:rsidRPr="00C370FB" w:rsidRDefault="000218C5" w:rsidP="00E73B9F">
            <w:pPr>
              <w:widowControl w:val="0"/>
              <w:tabs>
                <w:tab w:val="left" w:pos="180"/>
                <w:tab w:val="right" w:pos="3060"/>
                <w:tab w:val="right" w:pos="4150"/>
              </w:tabs>
              <w:jc w:val="right"/>
              <w:rPr>
                <w:rFonts w:ascii="Arial" w:hAnsi="Arial" w:cs="Arial"/>
                <w:snapToGrid w:val="0"/>
                <w:color w:val="000000"/>
                <w:sz w:val="14"/>
                <w:szCs w:val="14"/>
              </w:rPr>
            </w:pPr>
          </w:p>
        </w:tc>
        <w:tc>
          <w:tcPr>
            <w:tcW w:w="1920" w:type="dxa"/>
            <w:tcBorders>
              <w:bottom w:val="single" w:sz="4" w:space="0" w:color="auto"/>
            </w:tcBorders>
          </w:tcPr>
          <w:p w:rsidR="000218C5" w:rsidRPr="00C370FB" w:rsidRDefault="000218C5" w:rsidP="00E73B9F">
            <w:pPr>
              <w:widowControl w:val="0"/>
              <w:tabs>
                <w:tab w:val="left" w:pos="180"/>
                <w:tab w:val="right" w:pos="3060"/>
                <w:tab w:val="right" w:pos="4150"/>
              </w:tabs>
              <w:jc w:val="right"/>
              <w:rPr>
                <w:rFonts w:ascii="Arial" w:hAnsi="Arial" w:cs="Arial"/>
                <w:snapToGrid w:val="0"/>
                <w:color w:val="000000"/>
                <w:sz w:val="14"/>
                <w:szCs w:val="14"/>
              </w:rPr>
            </w:pPr>
          </w:p>
        </w:tc>
      </w:tr>
      <w:tr w:rsidR="000218C5" w:rsidRPr="003D2F7A" w:rsidTr="00E612C4">
        <w:tc>
          <w:tcPr>
            <w:tcW w:w="4188" w:type="dxa"/>
          </w:tcPr>
          <w:p w:rsidR="000218C5" w:rsidRPr="00C370FB" w:rsidRDefault="000218C5" w:rsidP="00E73B9F">
            <w:pPr>
              <w:widowControl w:val="0"/>
              <w:tabs>
                <w:tab w:val="left" w:pos="180"/>
                <w:tab w:val="right" w:pos="3060"/>
                <w:tab w:val="right" w:pos="4150"/>
              </w:tabs>
              <w:rPr>
                <w:rFonts w:ascii="Arial" w:hAnsi="Arial" w:cs="Arial"/>
                <w:b/>
                <w:snapToGrid w:val="0"/>
                <w:color w:val="000000"/>
                <w:sz w:val="24"/>
              </w:rPr>
            </w:pPr>
            <w:r w:rsidRPr="00C370FB">
              <w:rPr>
                <w:rFonts w:ascii="Arial" w:hAnsi="Arial" w:cs="Arial"/>
                <w:b/>
                <w:snapToGrid w:val="0"/>
                <w:color w:val="000000"/>
                <w:sz w:val="24"/>
              </w:rPr>
              <w:t>Total</w:t>
            </w:r>
          </w:p>
        </w:tc>
        <w:tc>
          <w:tcPr>
            <w:tcW w:w="1920" w:type="dxa"/>
            <w:tcBorders>
              <w:top w:val="single" w:sz="4" w:space="0" w:color="auto"/>
            </w:tcBorders>
          </w:tcPr>
          <w:p w:rsidR="000218C5" w:rsidRPr="00C370FB" w:rsidRDefault="00DB3AAE"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1,803</w:t>
            </w:r>
          </w:p>
        </w:tc>
        <w:tc>
          <w:tcPr>
            <w:tcW w:w="1920" w:type="dxa"/>
            <w:tcBorders>
              <w:top w:val="single" w:sz="4" w:space="0" w:color="auto"/>
            </w:tcBorders>
          </w:tcPr>
          <w:p w:rsidR="000218C5" w:rsidRPr="00C370FB" w:rsidRDefault="00141006" w:rsidP="00E73B9F">
            <w:pPr>
              <w:widowControl w:val="0"/>
              <w:tabs>
                <w:tab w:val="left" w:pos="180"/>
                <w:tab w:val="right" w:pos="3060"/>
                <w:tab w:val="right" w:pos="4150"/>
              </w:tabs>
              <w:jc w:val="right"/>
              <w:rPr>
                <w:rFonts w:ascii="Arial" w:hAnsi="Arial" w:cs="Arial"/>
                <w:b/>
                <w:snapToGrid w:val="0"/>
                <w:color w:val="000000"/>
                <w:sz w:val="24"/>
              </w:rPr>
            </w:pPr>
            <w:r w:rsidRPr="00C370FB">
              <w:rPr>
                <w:rFonts w:ascii="Arial" w:hAnsi="Arial" w:cs="Arial"/>
                <w:b/>
                <w:snapToGrid w:val="0"/>
                <w:color w:val="000000"/>
                <w:sz w:val="24"/>
              </w:rPr>
              <w:t>431</w:t>
            </w:r>
          </w:p>
        </w:tc>
      </w:tr>
    </w:tbl>
    <w:p w:rsidR="000218C5" w:rsidRPr="003D2F7A" w:rsidRDefault="000218C5" w:rsidP="000218C5">
      <w:pPr>
        <w:rPr>
          <w:rFonts w:ascii="Arial" w:hAnsi="Arial" w:cs="Arial"/>
          <w:snapToGrid w:val="0"/>
          <w:color w:val="000000"/>
          <w:sz w:val="24"/>
          <w:highlight w:val="yellow"/>
        </w:rPr>
      </w:pPr>
    </w:p>
    <w:p w:rsidR="00853868" w:rsidRDefault="00853868">
      <w:pPr>
        <w:rPr>
          <w:rFonts w:ascii="Arial" w:hAnsi="Arial" w:cs="Arial"/>
          <w:b/>
          <w:snapToGrid w:val="0"/>
          <w:color w:val="000000"/>
          <w:sz w:val="24"/>
        </w:rPr>
      </w:pPr>
    </w:p>
    <w:p w:rsidR="00A87DEE" w:rsidRPr="00D84872" w:rsidRDefault="00F666FC" w:rsidP="00D84872">
      <w:pPr>
        <w:widowControl w:val="0"/>
        <w:tabs>
          <w:tab w:val="right" w:pos="7200"/>
        </w:tabs>
        <w:rPr>
          <w:rFonts w:ascii="Arial" w:hAnsi="Arial" w:cs="Arial"/>
          <w:snapToGrid w:val="0"/>
          <w:color w:val="000000"/>
          <w:sz w:val="24"/>
        </w:rPr>
      </w:pPr>
      <w:r>
        <w:rPr>
          <w:rFonts w:ascii="Arial" w:hAnsi="Arial" w:cs="Arial"/>
          <w:b/>
          <w:snapToGrid w:val="0"/>
          <w:color w:val="000000"/>
          <w:sz w:val="24"/>
        </w:rPr>
        <w:t>22</w:t>
      </w:r>
      <w:r w:rsidR="00774EEE" w:rsidRPr="00BE080E">
        <w:rPr>
          <w:rFonts w:ascii="Arial" w:hAnsi="Arial" w:cs="Arial"/>
          <w:b/>
          <w:snapToGrid w:val="0"/>
          <w:color w:val="000000"/>
          <w:sz w:val="24"/>
        </w:rPr>
        <w:t>.  Additional voluntary contributions</w:t>
      </w:r>
    </w:p>
    <w:p w:rsidR="00ED6788" w:rsidRPr="00BE080E" w:rsidRDefault="00ED6788" w:rsidP="00A87DEE">
      <w:pPr>
        <w:widowControl w:val="0"/>
        <w:tabs>
          <w:tab w:val="right" w:pos="0"/>
        </w:tabs>
        <w:rPr>
          <w:rFonts w:ascii="Arial" w:hAnsi="Arial" w:cs="Arial"/>
          <w:snapToGrid w:val="0"/>
          <w:color w:val="000000"/>
          <w:sz w:val="24"/>
          <w:szCs w:val="24"/>
        </w:rPr>
      </w:pPr>
    </w:p>
    <w:tbl>
      <w:tblPr>
        <w:tblStyle w:val="TableGrid"/>
        <w:tblW w:w="47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1921"/>
        <w:gridCol w:w="1919"/>
      </w:tblGrid>
      <w:tr w:rsidR="00ED6788" w:rsidRPr="00BE080E" w:rsidTr="007100BB">
        <w:tc>
          <w:tcPr>
            <w:tcW w:w="2535" w:type="pct"/>
          </w:tcPr>
          <w:p w:rsidR="00ED6788" w:rsidRPr="00BE080E" w:rsidRDefault="00ED6788" w:rsidP="002A2D89">
            <w:pPr>
              <w:widowControl w:val="0"/>
              <w:tabs>
                <w:tab w:val="right" w:pos="7200"/>
              </w:tabs>
              <w:ind w:left="132" w:hanging="132"/>
              <w:rPr>
                <w:rFonts w:ascii="Arial" w:hAnsi="Arial" w:cs="Arial"/>
                <w:snapToGrid w:val="0"/>
                <w:color w:val="000000"/>
                <w:sz w:val="24"/>
              </w:rPr>
            </w:pPr>
          </w:p>
        </w:tc>
        <w:tc>
          <w:tcPr>
            <w:tcW w:w="1233" w:type="pct"/>
          </w:tcPr>
          <w:p w:rsidR="00ED6788" w:rsidRPr="00BE080E" w:rsidRDefault="00ED6788" w:rsidP="002A2D89">
            <w:pPr>
              <w:widowControl w:val="0"/>
              <w:tabs>
                <w:tab w:val="right" w:pos="7200"/>
              </w:tabs>
              <w:ind w:left="132" w:hanging="132"/>
              <w:jc w:val="right"/>
              <w:rPr>
                <w:rFonts w:ascii="Arial" w:hAnsi="Arial" w:cs="Arial"/>
                <w:b/>
                <w:snapToGrid w:val="0"/>
                <w:color w:val="000000"/>
                <w:sz w:val="24"/>
              </w:rPr>
            </w:pPr>
            <w:r w:rsidRPr="00BE080E">
              <w:rPr>
                <w:rFonts w:ascii="Arial" w:hAnsi="Arial" w:cs="Arial"/>
                <w:b/>
                <w:snapToGrid w:val="0"/>
                <w:color w:val="000000"/>
                <w:sz w:val="24"/>
              </w:rPr>
              <w:t>Market value</w:t>
            </w:r>
          </w:p>
        </w:tc>
        <w:tc>
          <w:tcPr>
            <w:tcW w:w="1232" w:type="pct"/>
          </w:tcPr>
          <w:p w:rsidR="00ED6788" w:rsidRPr="00BE080E" w:rsidRDefault="00ED6788" w:rsidP="002A2D89">
            <w:pPr>
              <w:widowControl w:val="0"/>
              <w:tabs>
                <w:tab w:val="right" w:pos="7200"/>
              </w:tabs>
              <w:ind w:left="132" w:hanging="132"/>
              <w:jc w:val="right"/>
              <w:rPr>
                <w:rFonts w:ascii="Arial" w:hAnsi="Arial" w:cs="Arial"/>
                <w:b/>
                <w:snapToGrid w:val="0"/>
                <w:color w:val="000000"/>
                <w:sz w:val="24"/>
              </w:rPr>
            </w:pPr>
            <w:r w:rsidRPr="00BE080E">
              <w:rPr>
                <w:rFonts w:ascii="Arial" w:hAnsi="Arial" w:cs="Arial"/>
                <w:b/>
                <w:snapToGrid w:val="0"/>
                <w:color w:val="000000"/>
                <w:sz w:val="24"/>
              </w:rPr>
              <w:t>Market value</w:t>
            </w:r>
          </w:p>
        </w:tc>
      </w:tr>
      <w:tr w:rsidR="00ED6788" w:rsidRPr="00BE080E" w:rsidTr="007100BB">
        <w:tc>
          <w:tcPr>
            <w:tcW w:w="2535" w:type="pct"/>
          </w:tcPr>
          <w:p w:rsidR="00ED6788" w:rsidRPr="00BE080E" w:rsidRDefault="00ED6788" w:rsidP="002A2D89">
            <w:pPr>
              <w:widowControl w:val="0"/>
              <w:tabs>
                <w:tab w:val="right" w:pos="7200"/>
              </w:tabs>
              <w:ind w:left="132" w:hanging="132"/>
              <w:rPr>
                <w:rFonts w:ascii="Arial" w:hAnsi="Arial" w:cs="Arial"/>
                <w:snapToGrid w:val="0"/>
                <w:color w:val="000000"/>
                <w:sz w:val="24"/>
              </w:rPr>
            </w:pPr>
          </w:p>
        </w:tc>
        <w:tc>
          <w:tcPr>
            <w:tcW w:w="1233" w:type="pct"/>
          </w:tcPr>
          <w:p w:rsidR="00ED6788" w:rsidRPr="00BE080E" w:rsidRDefault="00BE080E" w:rsidP="002A2D89">
            <w:pPr>
              <w:widowControl w:val="0"/>
              <w:tabs>
                <w:tab w:val="right" w:pos="7200"/>
              </w:tabs>
              <w:ind w:left="132" w:hanging="132"/>
              <w:jc w:val="right"/>
              <w:rPr>
                <w:rFonts w:ascii="Arial" w:hAnsi="Arial" w:cs="Arial"/>
                <w:b/>
                <w:snapToGrid w:val="0"/>
                <w:color w:val="000000"/>
                <w:sz w:val="24"/>
              </w:rPr>
            </w:pPr>
            <w:r w:rsidRPr="00BE080E">
              <w:rPr>
                <w:rFonts w:ascii="Arial" w:hAnsi="Arial" w:cs="Arial"/>
                <w:b/>
                <w:snapToGrid w:val="0"/>
                <w:color w:val="000000"/>
                <w:sz w:val="24"/>
              </w:rPr>
              <w:t>31 March 2012</w:t>
            </w:r>
          </w:p>
        </w:tc>
        <w:tc>
          <w:tcPr>
            <w:tcW w:w="1232" w:type="pct"/>
          </w:tcPr>
          <w:p w:rsidR="00ED6788" w:rsidRPr="00BE080E" w:rsidRDefault="00BE080E" w:rsidP="002A2D89">
            <w:pPr>
              <w:widowControl w:val="0"/>
              <w:tabs>
                <w:tab w:val="right" w:pos="7200"/>
              </w:tabs>
              <w:ind w:left="132" w:hanging="132"/>
              <w:jc w:val="right"/>
              <w:rPr>
                <w:rFonts w:ascii="Arial" w:hAnsi="Arial" w:cs="Arial"/>
                <w:b/>
                <w:snapToGrid w:val="0"/>
                <w:color w:val="000000"/>
                <w:sz w:val="24"/>
              </w:rPr>
            </w:pPr>
            <w:r w:rsidRPr="00BE080E">
              <w:rPr>
                <w:rFonts w:ascii="Arial" w:hAnsi="Arial" w:cs="Arial"/>
                <w:b/>
                <w:snapToGrid w:val="0"/>
                <w:color w:val="000000"/>
                <w:sz w:val="24"/>
              </w:rPr>
              <w:t>31 March 2013</w:t>
            </w:r>
          </w:p>
        </w:tc>
      </w:tr>
      <w:tr w:rsidR="00ED6788" w:rsidRPr="003D2F7A" w:rsidTr="007100BB">
        <w:tc>
          <w:tcPr>
            <w:tcW w:w="2535" w:type="pct"/>
          </w:tcPr>
          <w:p w:rsidR="00ED6788" w:rsidRPr="00BE080E" w:rsidRDefault="00ED6788" w:rsidP="002A2D89">
            <w:pPr>
              <w:widowControl w:val="0"/>
              <w:tabs>
                <w:tab w:val="right" w:pos="7200"/>
              </w:tabs>
              <w:ind w:left="132" w:hanging="132"/>
              <w:rPr>
                <w:rFonts w:ascii="Arial" w:hAnsi="Arial" w:cs="Arial"/>
                <w:snapToGrid w:val="0"/>
                <w:color w:val="000000"/>
                <w:sz w:val="24"/>
              </w:rPr>
            </w:pPr>
          </w:p>
        </w:tc>
        <w:tc>
          <w:tcPr>
            <w:tcW w:w="1233" w:type="pct"/>
          </w:tcPr>
          <w:p w:rsidR="00ED6788" w:rsidRPr="00BE080E" w:rsidRDefault="00ED6788" w:rsidP="002A2D89">
            <w:pPr>
              <w:widowControl w:val="0"/>
              <w:tabs>
                <w:tab w:val="right" w:pos="7200"/>
              </w:tabs>
              <w:ind w:left="132" w:hanging="132"/>
              <w:jc w:val="right"/>
              <w:rPr>
                <w:rFonts w:ascii="Arial" w:hAnsi="Arial" w:cs="Arial"/>
                <w:b/>
                <w:snapToGrid w:val="0"/>
                <w:color w:val="000000"/>
                <w:sz w:val="24"/>
              </w:rPr>
            </w:pPr>
            <w:r w:rsidRPr="00BE080E">
              <w:rPr>
                <w:rFonts w:ascii="Arial" w:hAnsi="Arial" w:cs="Arial"/>
                <w:b/>
                <w:snapToGrid w:val="0"/>
                <w:color w:val="000000"/>
                <w:sz w:val="24"/>
              </w:rPr>
              <w:t>£’000</w:t>
            </w:r>
          </w:p>
        </w:tc>
        <w:tc>
          <w:tcPr>
            <w:tcW w:w="1232" w:type="pct"/>
          </w:tcPr>
          <w:p w:rsidR="00ED6788" w:rsidRPr="00BE080E" w:rsidRDefault="00ED6788" w:rsidP="002A2D89">
            <w:pPr>
              <w:widowControl w:val="0"/>
              <w:tabs>
                <w:tab w:val="right" w:pos="7200"/>
              </w:tabs>
              <w:ind w:left="132" w:hanging="132"/>
              <w:jc w:val="right"/>
              <w:rPr>
                <w:rFonts w:ascii="Arial" w:hAnsi="Arial" w:cs="Arial"/>
                <w:b/>
                <w:snapToGrid w:val="0"/>
                <w:color w:val="000000"/>
                <w:sz w:val="24"/>
              </w:rPr>
            </w:pPr>
            <w:r w:rsidRPr="00BE080E">
              <w:rPr>
                <w:rFonts w:ascii="Arial" w:hAnsi="Arial" w:cs="Arial"/>
                <w:b/>
                <w:snapToGrid w:val="0"/>
                <w:color w:val="000000"/>
                <w:sz w:val="24"/>
              </w:rPr>
              <w:t>£’000</w:t>
            </w:r>
          </w:p>
        </w:tc>
      </w:tr>
      <w:tr w:rsidR="00ED6788" w:rsidRPr="003D2F7A" w:rsidTr="007100BB">
        <w:tc>
          <w:tcPr>
            <w:tcW w:w="2535" w:type="pct"/>
          </w:tcPr>
          <w:p w:rsidR="00ED6788" w:rsidRPr="003D2F7A" w:rsidRDefault="00ED6788" w:rsidP="002A2D89">
            <w:pPr>
              <w:widowControl w:val="0"/>
              <w:tabs>
                <w:tab w:val="right" w:pos="7200"/>
              </w:tabs>
              <w:ind w:left="132" w:hanging="132"/>
              <w:rPr>
                <w:rFonts w:ascii="Arial" w:hAnsi="Arial" w:cs="Arial"/>
                <w:snapToGrid w:val="0"/>
                <w:color w:val="000000"/>
                <w:highlight w:val="yellow"/>
              </w:rPr>
            </w:pPr>
          </w:p>
        </w:tc>
        <w:tc>
          <w:tcPr>
            <w:tcW w:w="1233" w:type="pct"/>
          </w:tcPr>
          <w:p w:rsidR="00ED6788" w:rsidRPr="003D2F7A" w:rsidRDefault="00ED6788" w:rsidP="002A2D89">
            <w:pPr>
              <w:widowControl w:val="0"/>
              <w:tabs>
                <w:tab w:val="right" w:pos="7200"/>
              </w:tabs>
              <w:ind w:left="132" w:hanging="132"/>
              <w:jc w:val="right"/>
              <w:rPr>
                <w:rFonts w:ascii="Arial" w:hAnsi="Arial" w:cs="Arial"/>
                <w:snapToGrid w:val="0"/>
                <w:color w:val="000000"/>
                <w:highlight w:val="yellow"/>
              </w:rPr>
            </w:pPr>
          </w:p>
        </w:tc>
        <w:tc>
          <w:tcPr>
            <w:tcW w:w="1232" w:type="pct"/>
          </w:tcPr>
          <w:p w:rsidR="00ED6788" w:rsidRPr="003D2F7A" w:rsidRDefault="00ED6788" w:rsidP="002A2D89">
            <w:pPr>
              <w:widowControl w:val="0"/>
              <w:tabs>
                <w:tab w:val="right" w:pos="7200"/>
              </w:tabs>
              <w:ind w:left="132" w:hanging="132"/>
              <w:jc w:val="right"/>
              <w:rPr>
                <w:rFonts w:ascii="Arial" w:hAnsi="Arial" w:cs="Arial"/>
                <w:snapToGrid w:val="0"/>
                <w:color w:val="000000"/>
                <w:highlight w:val="yellow"/>
              </w:rPr>
            </w:pPr>
          </w:p>
        </w:tc>
      </w:tr>
      <w:tr w:rsidR="00ED6788" w:rsidRPr="003D2F7A" w:rsidTr="007100BB">
        <w:tc>
          <w:tcPr>
            <w:tcW w:w="2535" w:type="pct"/>
          </w:tcPr>
          <w:p w:rsidR="00ED6788" w:rsidRPr="003D2F7A" w:rsidRDefault="003A6F32" w:rsidP="002A2D89">
            <w:pPr>
              <w:widowControl w:val="0"/>
              <w:tabs>
                <w:tab w:val="right" w:pos="7200"/>
              </w:tabs>
              <w:ind w:left="132" w:hanging="132"/>
              <w:rPr>
                <w:rFonts w:ascii="Arial" w:hAnsi="Arial" w:cs="Arial"/>
                <w:snapToGrid w:val="0"/>
                <w:color w:val="000000"/>
                <w:sz w:val="24"/>
                <w:highlight w:val="yellow"/>
              </w:rPr>
            </w:pPr>
            <w:r w:rsidRPr="00F66399">
              <w:rPr>
                <w:rFonts w:ascii="Arial" w:hAnsi="Arial" w:cs="Arial"/>
                <w:snapToGrid w:val="0"/>
                <w:color w:val="000000"/>
                <w:sz w:val="24"/>
              </w:rPr>
              <w:t>Clerical Medical</w:t>
            </w:r>
            <w:r w:rsidR="00ED6788" w:rsidRPr="00F66399">
              <w:rPr>
                <w:rFonts w:ascii="Arial" w:hAnsi="Arial" w:cs="Arial"/>
                <w:snapToGrid w:val="0"/>
                <w:color w:val="000000"/>
                <w:sz w:val="24"/>
              </w:rPr>
              <w:t xml:space="preserve">                                </w:t>
            </w:r>
          </w:p>
        </w:tc>
        <w:tc>
          <w:tcPr>
            <w:tcW w:w="1233" w:type="pct"/>
          </w:tcPr>
          <w:p w:rsidR="00724418" w:rsidRPr="00724418" w:rsidRDefault="00724418" w:rsidP="00724418">
            <w:pPr>
              <w:widowControl w:val="0"/>
              <w:tabs>
                <w:tab w:val="right" w:pos="7200"/>
              </w:tabs>
              <w:ind w:left="132" w:hanging="132"/>
              <w:jc w:val="right"/>
              <w:rPr>
                <w:rFonts w:ascii="Arial" w:hAnsi="Arial" w:cs="Arial"/>
                <w:snapToGrid w:val="0"/>
                <w:color w:val="000000"/>
                <w:sz w:val="24"/>
              </w:rPr>
            </w:pPr>
            <w:r w:rsidRPr="00724418">
              <w:rPr>
                <w:rFonts w:ascii="Arial" w:hAnsi="Arial" w:cs="Arial"/>
                <w:snapToGrid w:val="0"/>
                <w:color w:val="000000"/>
                <w:sz w:val="24"/>
              </w:rPr>
              <w:t>1,138</w:t>
            </w:r>
          </w:p>
        </w:tc>
        <w:tc>
          <w:tcPr>
            <w:tcW w:w="1232" w:type="pct"/>
          </w:tcPr>
          <w:p w:rsidR="00ED6788" w:rsidRPr="00724418" w:rsidRDefault="00724418" w:rsidP="002A2D89">
            <w:pPr>
              <w:widowControl w:val="0"/>
              <w:tabs>
                <w:tab w:val="right" w:pos="7200"/>
              </w:tabs>
              <w:ind w:left="132" w:hanging="132"/>
              <w:jc w:val="right"/>
              <w:rPr>
                <w:rFonts w:ascii="Arial" w:hAnsi="Arial" w:cs="Arial"/>
                <w:snapToGrid w:val="0"/>
                <w:color w:val="000000"/>
                <w:sz w:val="24"/>
              </w:rPr>
            </w:pPr>
            <w:r w:rsidRPr="00724418">
              <w:rPr>
                <w:rFonts w:ascii="Arial" w:hAnsi="Arial" w:cs="Arial"/>
                <w:snapToGrid w:val="0"/>
                <w:color w:val="000000"/>
                <w:sz w:val="24"/>
              </w:rPr>
              <w:t>1,190</w:t>
            </w:r>
          </w:p>
        </w:tc>
      </w:tr>
      <w:tr w:rsidR="00ED6788" w:rsidRPr="003D2F7A" w:rsidTr="00F64F1E">
        <w:tc>
          <w:tcPr>
            <w:tcW w:w="2535" w:type="pct"/>
          </w:tcPr>
          <w:p w:rsidR="00ED6788" w:rsidRPr="00F66399" w:rsidRDefault="00ED6788" w:rsidP="002A2D89">
            <w:pPr>
              <w:widowControl w:val="0"/>
              <w:tabs>
                <w:tab w:val="right" w:pos="7200"/>
              </w:tabs>
              <w:ind w:left="132" w:hanging="132"/>
              <w:rPr>
                <w:rFonts w:ascii="Arial" w:hAnsi="Arial" w:cs="Arial"/>
                <w:snapToGrid w:val="0"/>
                <w:color w:val="000000"/>
                <w:sz w:val="24"/>
              </w:rPr>
            </w:pPr>
            <w:r w:rsidRPr="00F66399">
              <w:rPr>
                <w:rFonts w:ascii="Arial" w:hAnsi="Arial" w:cs="Arial"/>
                <w:snapToGrid w:val="0"/>
                <w:color w:val="000000"/>
                <w:sz w:val="24"/>
              </w:rPr>
              <w:t xml:space="preserve">Equitable Life                                               </w:t>
            </w:r>
          </w:p>
        </w:tc>
        <w:tc>
          <w:tcPr>
            <w:tcW w:w="1233" w:type="pct"/>
          </w:tcPr>
          <w:p w:rsidR="00ED6788" w:rsidRPr="00724418" w:rsidRDefault="00ED6788" w:rsidP="002A2D89">
            <w:pPr>
              <w:widowControl w:val="0"/>
              <w:tabs>
                <w:tab w:val="right" w:pos="7200"/>
              </w:tabs>
              <w:ind w:left="132" w:hanging="132"/>
              <w:jc w:val="right"/>
              <w:rPr>
                <w:rFonts w:ascii="Arial" w:hAnsi="Arial" w:cs="Arial"/>
                <w:snapToGrid w:val="0"/>
                <w:color w:val="000000"/>
                <w:sz w:val="24"/>
              </w:rPr>
            </w:pPr>
            <w:r w:rsidRPr="00724418">
              <w:rPr>
                <w:rFonts w:ascii="Arial" w:hAnsi="Arial" w:cs="Arial"/>
                <w:snapToGrid w:val="0"/>
                <w:color w:val="000000"/>
                <w:sz w:val="24"/>
              </w:rPr>
              <w:t>1</w:t>
            </w:r>
            <w:r w:rsidR="003A6F32" w:rsidRPr="00724418">
              <w:rPr>
                <w:rFonts w:ascii="Arial" w:hAnsi="Arial" w:cs="Arial"/>
                <w:snapToGrid w:val="0"/>
                <w:color w:val="000000"/>
                <w:sz w:val="24"/>
              </w:rPr>
              <w:t>75</w:t>
            </w:r>
          </w:p>
        </w:tc>
        <w:tc>
          <w:tcPr>
            <w:tcW w:w="1232" w:type="pct"/>
          </w:tcPr>
          <w:p w:rsidR="00ED6788" w:rsidRPr="00724418" w:rsidRDefault="00ED6788" w:rsidP="002A2D89">
            <w:pPr>
              <w:widowControl w:val="0"/>
              <w:tabs>
                <w:tab w:val="right" w:pos="7200"/>
              </w:tabs>
              <w:ind w:left="132" w:hanging="132"/>
              <w:jc w:val="right"/>
              <w:rPr>
                <w:rFonts w:ascii="Arial" w:hAnsi="Arial" w:cs="Arial"/>
                <w:snapToGrid w:val="0"/>
                <w:color w:val="000000"/>
                <w:sz w:val="24"/>
              </w:rPr>
            </w:pPr>
            <w:r w:rsidRPr="00724418">
              <w:rPr>
                <w:rFonts w:ascii="Arial" w:hAnsi="Arial" w:cs="Arial"/>
                <w:snapToGrid w:val="0"/>
                <w:color w:val="000000"/>
                <w:sz w:val="24"/>
              </w:rPr>
              <w:t>1</w:t>
            </w:r>
            <w:r w:rsidR="00F66399" w:rsidRPr="00724418">
              <w:rPr>
                <w:rFonts w:ascii="Arial" w:hAnsi="Arial" w:cs="Arial"/>
                <w:snapToGrid w:val="0"/>
                <w:color w:val="000000"/>
                <w:sz w:val="24"/>
              </w:rPr>
              <w:t>72</w:t>
            </w:r>
          </w:p>
        </w:tc>
      </w:tr>
      <w:tr w:rsidR="00ED6788" w:rsidRPr="003D2F7A" w:rsidTr="00F64F1E">
        <w:tc>
          <w:tcPr>
            <w:tcW w:w="2535" w:type="pct"/>
          </w:tcPr>
          <w:p w:rsidR="00ED6788" w:rsidRPr="003D2F7A" w:rsidRDefault="00ED6788" w:rsidP="002A2D89">
            <w:pPr>
              <w:widowControl w:val="0"/>
              <w:tabs>
                <w:tab w:val="right" w:pos="7200"/>
              </w:tabs>
              <w:ind w:left="132" w:hanging="132"/>
              <w:rPr>
                <w:rFonts w:ascii="Arial" w:hAnsi="Arial" w:cs="Arial"/>
                <w:snapToGrid w:val="0"/>
                <w:color w:val="000000"/>
                <w:sz w:val="24"/>
                <w:szCs w:val="24"/>
                <w:highlight w:val="yellow"/>
              </w:rPr>
            </w:pPr>
          </w:p>
        </w:tc>
        <w:tc>
          <w:tcPr>
            <w:tcW w:w="1233" w:type="pct"/>
            <w:tcBorders>
              <w:bottom w:val="single" w:sz="4" w:space="0" w:color="auto"/>
            </w:tcBorders>
          </w:tcPr>
          <w:p w:rsidR="00ED6788" w:rsidRPr="00724418" w:rsidRDefault="00ED6788" w:rsidP="002A2D89">
            <w:pPr>
              <w:widowControl w:val="0"/>
              <w:tabs>
                <w:tab w:val="right" w:pos="7200"/>
              </w:tabs>
              <w:ind w:left="132" w:hanging="132"/>
              <w:jc w:val="right"/>
              <w:rPr>
                <w:rFonts w:ascii="Arial" w:hAnsi="Arial" w:cs="Arial"/>
                <w:snapToGrid w:val="0"/>
                <w:color w:val="000000"/>
                <w:sz w:val="24"/>
                <w:szCs w:val="24"/>
              </w:rPr>
            </w:pPr>
          </w:p>
        </w:tc>
        <w:tc>
          <w:tcPr>
            <w:tcW w:w="1232" w:type="pct"/>
            <w:tcBorders>
              <w:bottom w:val="single" w:sz="4" w:space="0" w:color="auto"/>
            </w:tcBorders>
          </w:tcPr>
          <w:p w:rsidR="00ED6788" w:rsidRPr="00724418" w:rsidRDefault="00ED6788" w:rsidP="002A2D89">
            <w:pPr>
              <w:widowControl w:val="0"/>
              <w:tabs>
                <w:tab w:val="right" w:pos="7200"/>
              </w:tabs>
              <w:ind w:left="132" w:hanging="132"/>
              <w:jc w:val="right"/>
              <w:rPr>
                <w:rFonts w:ascii="Arial" w:hAnsi="Arial" w:cs="Arial"/>
                <w:snapToGrid w:val="0"/>
                <w:color w:val="000000"/>
                <w:sz w:val="24"/>
                <w:szCs w:val="24"/>
              </w:rPr>
            </w:pPr>
          </w:p>
        </w:tc>
      </w:tr>
      <w:tr w:rsidR="00ED6788" w:rsidRPr="003D2F7A" w:rsidTr="00F64F1E">
        <w:tc>
          <w:tcPr>
            <w:tcW w:w="2535" w:type="pct"/>
          </w:tcPr>
          <w:p w:rsidR="00ED6788" w:rsidRPr="003D2F7A" w:rsidRDefault="00ED6788" w:rsidP="002A2D89">
            <w:pPr>
              <w:widowControl w:val="0"/>
              <w:tabs>
                <w:tab w:val="right" w:pos="7200"/>
              </w:tabs>
              <w:ind w:left="132" w:hanging="132"/>
              <w:rPr>
                <w:rFonts w:ascii="Arial" w:hAnsi="Arial" w:cs="Arial"/>
                <w:b/>
                <w:snapToGrid w:val="0"/>
                <w:color w:val="000000"/>
                <w:sz w:val="24"/>
                <w:highlight w:val="yellow"/>
              </w:rPr>
            </w:pPr>
            <w:r w:rsidRPr="00F66399">
              <w:rPr>
                <w:rFonts w:ascii="Arial" w:hAnsi="Arial" w:cs="Arial"/>
                <w:b/>
                <w:snapToGrid w:val="0"/>
                <w:color w:val="000000"/>
                <w:sz w:val="24"/>
              </w:rPr>
              <w:t>Total</w:t>
            </w:r>
          </w:p>
        </w:tc>
        <w:tc>
          <w:tcPr>
            <w:tcW w:w="1233" w:type="pct"/>
            <w:tcBorders>
              <w:top w:val="single" w:sz="4" w:space="0" w:color="auto"/>
            </w:tcBorders>
          </w:tcPr>
          <w:p w:rsidR="00ED6788" w:rsidRPr="00724418" w:rsidRDefault="00724418" w:rsidP="002A2D89">
            <w:pPr>
              <w:widowControl w:val="0"/>
              <w:tabs>
                <w:tab w:val="right" w:pos="7200"/>
              </w:tabs>
              <w:ind w:left="132" w:hanging="132"/>
              <w:jc w:val="right"/>
              <w:rPr>
                <w:rFonts w:ascii="Arial" w:hAnsi="Arial" w:cs="Arial"/>
                <w:b/>
                <w:snapToGrid w:val="0"/>
                <w:color w:val="000000"/>
                <w:sz w:val="24"/>
              </w:rPr>
            </w:pPr>
            <w:r w:rsidRPr="00724418">
              <w:rPr>
                <w:rFonts w:ascii="Arial" w:hAnsi="Arial" w:cs="Arial"/>
                <w:b/>
                <w:snapToGrid w:val="0"/>
                <w:color w:val="000000"/>
                <w:sz w:val="24"/>
              </w:rPr>
              <w:t>1,313</w:t>
            </w:r>
          </w:p>
        </w:tc>
        <w:tc>
          <w:tcPr>
            <w:tcW w:w="1232" w:type="pct"/>
            <w:tcBorders>
              <w:top w:val="single" w:sz="4" w:space="0" w:color="auto"/>
            </w:tcBorders>
          </w:tcPr>
          <w:p w:rsidR="00ED6788" w:rsidRPr="00724418" w:rsidRDefault="00724418" w:rsidP="002A2D89">
            <w:pPr>
              <w:widowControl w:val="0"/>
              <w:tabs>
                <w:tab w:val="right" w:pos="7200"/>
              </w:tabs>
              <w:ind w:left="132" w:hanging="132"/>
              <w:jc w:val="right"/>
              <w:rPr>
                <w:rFonts w:ascii="Arial" w:hAnsi="Arial" w:cs="Arial"/>
                <w:b/>
                <w:snapToGrid w:val="0"/>
                <w:color w:val="000000"/>
                <w:sz w:val="24"/>
              </w:rPr>
            </w:pPr>
            <w:r w:rsidRPr="00724418">
              <w:rPr>
                <w:rFonts w:ascii="Arial" w:hAnsi="Arial" w:cs="Arial"/>
                <w:b/>
                <w:snapToGrid w:val="0"/>
                <w:color w:val="000000"/>
                <w:sz w:val="24"/>
              </w:rPr>
              <w:t>1,362</w:t>
            </w:r>
          </w:p>
        </w:tc>
      </w:tr>
    </w:tbl>
    <w:p w:rsidR="00ED6788" w:rsidRPr="00D84872" w:rsidRDefault="00ED6788" w:rsidP="00A87DEE">
      <w:pPr>
        <w:widowControl w:val="0"/>
        <w:tabs>
          <w:tab w:val="right" w:pos="0"/>
        </w:tabs>
        <w:rPr>
          <w:rFonts w:ascii="Arial" w:hAnsi="Arial" w:cs="Arial"/>
          <w:snapToGrid w:val="0"/>
          <w:color w:val="000000"/>
          <w:sz w:val="24"/>
          <w:szCs w:val="24"/>
        </w:rPr>
      </w:pPr>
    </w:p>
    <w:p w:rsidR="007C2669" w:rsidRPr="00D84872" w:rsidRDefault="00481E42" w:rsidP="00A87DEE">
      <w:pPr>
        <w:widowControl w:val="0"/>
        <w:tabs>
          <w:tab w:val="right" w:pos="0"/>
        </w:tabs>
        <w:rPr>
          <w:rFonts w:ascii="Arial" w:hAnsi="Arial" w:cs="Arial"/>
          <w:snapToGrid w:val="0"/>
          <w:color w:val="000000"/>
          <w:sz w:val="24"/>
          <w:szCs w:val="24"/>
        </w:rPr>
      </w:pPr>
      <w:r w:rsidRPr="00D84872">
        <w:rPr>
          <w:rFonts w:ascii="Arial" w:hAnsi="Arial" w:cs="Arial"/>
          <w:snapToGrid w:val="0"/>
          <w:color w:val="000000"/>
          <w:sz w:val="24"/>
          <w:szCs w:val="24"/>
        </w:rPr>
        <w:t>AVC contributions of £79,000</w:t>
      </w:r>
      <w:r w:rsidR="00A35EC6">
        <w:rPr>
          <w:rFonts w:ascii="Arial" w:hAnsi="Arial" w:cs="Arial"/>
          <w:snapToGrid w:val="0"/>
          <w:color w:val="000000"/>
          <w:sz w:val="24"/>
          <w:szCs w:val="24"/>
        </w:rPr>
        <w:t xml:space="preserve"> were paid</w:t>
      </w:r>
      <w:r w:rsidR="007C2669" w:rsidRPr="00D84872">
        <w:rPr>
          <w:rFonts w:ascii="Arial" w:hAnsi="Arial" w:cs="Arial"/>
          <w:snapToGrid w:val="0"/>
          <w:color w:val="000000"/>
          <w:sz w:val="24"/>
          <w:szCs w:val="24"/>
        </w:rPr>
        <w:t xml:space="preserve"> to Clerical Medical during the year (2011/12: £</w:t>
      </w:r>
      <w:r w:rsidR="00D84872" w:rsidRPr="00D84872">
        <w:rPr>
          <w:rFonts w:ascii="Arial" w:hAnsi="Arial" w:cs="Arial"/>
          <w:snapToGrid w:val="0"/>
          <w:color w:val="000000"/>
          <w:sz w:val="24"/>
          <w:szCs w:val="24"/>
        </w:rPr>
        <w:t>88</w:t>
      </w:r>
      <w:r w:rsidR="00B75FEA" w:rsidRPr="00D84872">
        <w:rPr>
          <w:rFonts w:ascii="Arial" w:hAnsi="Arial" w:cs="Arial"/>
          <w:snapToGrid w:val="0"/>
          <w:color w:val="000000"/>
          <w:sz w:val="24"/>
          <w:szCs w:val="24"/>
        </w:rPr>
        <w:t>,000).</w:t>
      </w:r>
      <w:r w:rsidR="00A859B7">
        <w:rPr>
          <w:rFonts w:ascii="Arial" w:hAnsi="Arial" w:cs="Arial"/>
          <w:snapToGrid w:val="0"/>
          <w:color w:val="000000"/>
          <w:sz w:val="24"/>
          <w:szCs w:val="24"/>
        </w:rPr>
        <w:t xml:space="preserve"> </w:t>
      </w:r>
      <w:r w:rsidR="00B50B78">
        <w:rPr>
          <w:rFonts w:ascii="Arial" w:hAnsi="Arial" w:cs="Arial"/>
          <w:snapToGrid w:val="0"/>
          <w:color w:val="000000"/>
          <w:sz w:val="24"/>
          <w:szCs w:val="24"/>
        </w:rPr>
        <w:t>T</w:t>
      </w:r>
      <w:r w:rsidR="00A859B7">
        <w:rPr>
          <w:rFonts w:ascii="Arial" w:hAnsi="Arial" w:cs="Arial"/>
          <w:snapToGrid w:val="0"/>
          <w:color w:val="000000"/>
          <w:sz w:val="24"/>
          <w:szCs w:val="24"/>
        </w:rPr>
        <w:t>he Pension Fund’s former provider, Equitabl</w:t>
      </w:r>
      <w:r w:rsidR="00B50B78">
        <w:rPr>
          <w:rFonts w:ascii="Arial" w:hAnsi="Arial" w:cs="Arial"/>
          <w:snapToGrid w:val="0"/>
          <w:color w:val="000000"/>
          <w:sz w:val="24"/>
          <w:szCs w:val="24"/>
        </w:rPr>
        <w:t>e Life, no longer accepts AVC contributions from Scheme members.</w:t>
      </w:r>
    </w:p>
    <w:p w:rsidR="00A87DEE" w:rsidRPr="003D2F7A" w:rsidRDefault="00A87DEE" w:rsidP="005A653B">
      <w:pPr>
        <w:widowControl w:val="0"/>
        <w:tabs>
          <w:tab w:val="right" w:pos="7200"/>
        </w:tabs>
        <w:rPr>
          <w:rFonts w:ascii="Arial" w:hAnsi="Arial" w:cs="Arial"/>
          <w:snapToGrid w:val="0"/>
          <w:color w:val="000000"/>
          <w:sz w:val="24"/>
          <w:highlight w:val="yellow"/>
        </w:rPr>
      </w:pPr>
    </w:p>
    <w:p w:rsidR="00D1464D" w:rsidRPr="00787735" w:rsidRDefault="00D1464D" w:rsidP="005A653B">
      <w:pPr>
        <w:widowControl w:val="0"/>
        <w:tabs>
          <w:tab w:val="right" w:pos="7200"/>
        </w:tabs>
        <w:rPr>
          <w:rFonts w:ascii="Arial" w:hAnsi="Arial" w:cs="Arial"/>
          <w:snapToGrid w:val="0"/>
          <w:color w:val="000000"/>
          <w:sz w:val="24"/>
        </w:rPr>
      </w:pPr>
    </w:p>
    <w:p w:rsidR="009E0125" w:rsidRPr="00787735" w:rsidRDefault="00F666FC" w:rsidP="009E0125">
      <w:pPr>
        <w:widowControl w:val="0"/>
        <w:tabs>
          <w:tab w:val="right" w:pos="7200"/>
        </w:tabs>
        <w:rPr>
          <w:rFonts w:ascii="Arial" w:hAnsi="Arial" w:cs="Arial"/>
          <w:snapToGrid w:val="0"/>
          <w:color w:val="000000"/>
          <w:sz w:val="24"/>
        </w:rPr>
      </w:pPr>
      <w:r>
        <w:rPr>
          <w:rFonts w:ascii="Arial" w:hAnsi="Arial" w:cs="Arial"/>
          <w:b/>
          <w:snapToGrid w:val="0"/>
          <w:color w:val="000000"/>
          <w:sz w:val="24"/>
        </w:rPr>
        <w:t>23</w:t>
      </w:r>
      <w:r w:rsidR="00774EEE" w:rsidRPr="00787735">
        <w:rPr>
          <w:rFonts w:ascii="Arial" w:hAnsi="Arial" w:cs="Arial"/>
          <w:b/>
          <w:snapToGrid w:val="0"/>
          <w:color w:val="000000"/>
          <w:sz w:val="24"/>
        </w:rPr>
        <w:t>.  Related party transactions</w:t>
      </w:r>
    </w:p>
    <w:p w:rsidR="00776595" w:rsidRPr="00787735" w:rsidRDefault="00776595" w:rsidP="009E0125">
      <w:pPr>
        <w:widowControl w:val="0"/>
        <w:tabs>
          <w:tab w:val="right" w:pos="7200"/>
        </w:tabs>
        <w:rPr>
          <w:rFonts w:ascii="Arial" w:hAnsi="Arial" w:cs="Arial"/>
          <w:snapToGrid w:val="0"/>
          <w:color w:val="000000"/>
          <w:sz w:val="24"/>
        </w:rPr>
      </w:pPr>
    </w:p>
    <w:p w:rsidR="00C3132F" w:rsidRPr="00C3132F" w:rsidRDefault="00C3132F" w:rsidP="0057146B">
      <w:pPr>
        <w:widowControl w:val="0"/>
        <w:tabs>
          <w:tab w:val="right" w:pos="7200"/>
        </w:tabs>
        <w:rPr>
          <w:rFonts w:ascii="Arial" w:hAnsi="Arial" w:cs="Arial"/>
          <w:b/>
          <w:snapToGrid w:val="0"/>
          <w:color w:val="000000"/>
          <w:sz w:val="24"/>
        </w:rPr>
      </w:pPr>
      <w:r w:rsidRPr="00C3132F">
        <w:rPr>
          <w:rFonts w:ascii="Arial" w:hAnsi="Arial" w:cs="Arial"/>
          <w:b/>
          <w:snapToGrid w:val="0"/>
          <w:color w:val="000000"/>
          <w:sz w:val="24"/>
        </w:rPr>
        <w:t>Brent Council</w:t>
      </w:r>
    </w:p>
    <w:p w:rsidR="00C3132F" w:rsidRPr="00C3132F" w:rsidRDefault="00C3132F" w:rsidP="0057146B">
      <w:pPr>
        <w:widowControl w:val="0"/>
        <w:tabs>
          <w:tab w:val="right" w:pos="7200"/>
        </w:tabs>
        <w:rPr>
          <w:rFonts w:ascii="Arial" w:hAnsi="Arial" w:cs="Arial"/>
          <w:snapToGrid w:val="0"/>
          <w:color w:val="000000"/>
          <w:sz w:val="16"/>
          <w:szCs w:val="16"/>
        </w:rPr>
      </w:pPr>
    </w:p>
    <w:p w:rsidR="0057146B" w:rsidRPr="00787735" w:rsidRDefault="009E0125" w:rsidP="0057146B">
      <w:pPr>
        <w:widowControl w:val="0"/>
        <w:tabs>
          <w:tab w:val="right" w:pos="7200"/>
        </w:tabs>
        <w:rPr>
          <w:rFonts w:ascii="Arial" w:hAnsi="Arial" w:cs="Arial"/>
          <w:snapToGrid w:val="0"/>
          <w:color w:val="000000"/>
          <w:sz w:val="24"/>
        </w:rPr>
      </w:pPr>
      <w:r w:rsidRPr="00787735">
        <w:rPr>
          <w:rFonts w:ascii="Arial" w:hAnsi="Arial" w:cs="Arial"/>
          <w:snapToGrid w:val="0"/>
          <w:color w:val="000000"/>
          <w:sz w:val="24"/>
        </w:rPr>
        <w:t xml:space="preserve">The </w:t>
      </w:r>
      <w:r w:rsidR="007A7254" w:rsidRPr="00787735">
        <w:rPr>
          <w:rFonts w:ascii="Arial" w:hAnsi="Arial" w:cs="Arial"/>
          <w:snapToGrid w:val="0"/>
          <w:color w:val="000000"/>
          <w:sz w:val="24"/>
        </w:rPr>
        <w:t>Brent</w:t>
      </w:r>
      <w:r w:rsidR="00153919" w:rsidRPr="00787735">
        <w:rPr>
          <w:rFonts w:ascii="Arial" w:hAnsi="Arial" w:cs="Arial"/>
          <w:snapToGrid w:val="0"/>
          <w:color w:val="000000"/>
          <w:sz w:val="24"/>
        </w:rPr>
        <w:t xml:space="preserve"> Pension Fund is administered by </w:t>
      </w:r>
      <w:r w:rsidR="007A7254" w:rsidRPr="00787735">
        <w:rPr>
          <w:rFonts w:ascii="Arial" w:hAnsi="Arial" w:cs="Arial"/>
          <w:snapToGrid w:val="0"/>
          <w:color w:val="000000"/>
          <w:sz w:val="24"/>
        </w:rPr>
        <w:t>Brent</w:t>
      </w:r>
      <w:r w:rsidRPr="00787735">
        <w:rPr>
          <w:rFonts w:ascii="Arial" w:hAnsi="Arial" w:cs="Arial"/>
          <w:snapToGrid w:val="0"/>
          <w:color w:val="000000"/>
          <w:sz w:val="24"/>
        </w:rPr>
        <w:t xml:space="preserve"> Council</w:t>
      </w:r>
      <w:r w:rsidR="007A7254" w:rsidRPr="00787735">
        <w:rPr>
          <w:rFonts w:ascii="Arial" w:hAnsi="Arial" w:cs="Arial"/>
          <w:snapToGrid w:val="0"/>
          <w:color w:val="000000"/>
          <w:sz w:val="24"/>
        </w:rPr>
        <w:t>. Consequently</w:t>
      </w:r>
      <w:r w:rsidR="00153919" w:rsidRPr="00787735">
        <w:rPr>
          <w:rFonts w:ascii="Arial" w:hAnsi="Arial" w:cs="Arial"/>
          <w:snapToGrid w:val="0"/>
          <w:color w:val="000000"/>
          <w:sz w:val="24"/>
        </w:rPr>
        <w:t xml:space="preserve"> there is a </w:t>
      </w:r>
      <w:r w:rsidR="007A7254" w:rsidRPr="00787735">
        <w:rPr>
          <w:rFonts w:ascii="Arial" w:hAnsi="Arial" w:cs="Arial"/>
          <w:snapToGrid w:val="0"/>
          <w:color w:val="000000"/>
          <w:sz w:val="24"/>
        </w:rPr>
        <w:t>strong relationship between the</w:t>
      </w:r>
      <w:r w:rsidR="00347B5F" w:rsidRPr="00787735">
        <w:rPr>
          <w:rFonts w:ascii="Arial" w:hAnsi="Arial" w:cs="Arial"/>
          <w:snapToGrid w:val="0"/>
          <w:color w:val="000000"/>
          <w:sz w:val="24"/>
        </w:rPr>
        <w:t xml:space="preserve"> </w:t>
      </w:r>
      <w:r w:rsidR="00153919" w:rsidRPr="00787735">
        <w:rPr>
          <w:rFonts w:ascii="Arial" w:hAnsi="Arial" w:cs="Arial"/>
          <w:snapToGrid w:val="0"/>
          <w:color w:val="000000"/>
          <w:sz w:val="24"/>
        </w:rPr>
        <w:t>Council and the Pension Fund.</w:t>
      </w:r>
    </w:p>
    <w:p w:rsidR="007830A6" w:rsidRPr="00C3132F" w:rsidRDefault="007830A6" w:rsidP="009E0125">
      <w:pPr>
        <w:widowControl w:val="0"/>
        <w:tabs>
          <w:tab w:val="right" w:pos="7200"/>
        </w:tabs>
        <w:rPr>
          <w:rFonts w:ascii="Arial" w:hAnsi="Arial" w:cs="Arial"/>
          <w:snapToGrid w:val="0"/>
          <w:color w:val="000000"/>
          <w:sz w:val="16"/>
          <w:szCs w:val="16"/>
        </w:rPr>
      </w:pPr>
    </w:p>
    <w:p w:rsidR="00153919" w:rsidRPr="00E55467" w:rsidRDefault="00153919" w:rsidP="009E0125">
      <w:pPr>
        <w:widowControl w:val="0"/>
        <w:tabs>
          <w:tab w:val="right" w:pos="7200"/>
        </w:tabs>
        <w:rPr>
          <w:rFonts w:ascii="Arial" w:hAnsi="Arial" w:cs="Arial"/>
          <w:snapToGrid w:val="0"/>
          <w:color w:val="000000"/>
          <w:sz w:val="24"/>
        </w:rPr>
      </w:pPr>
      <w:r w:rsidRPr="00E55467">
        <w:rPr>
          <w:rFonts w:ascii="Arial" w:hAnsi="Arial" w:cs="Arial"/>
          <w:snapToGrid w:val="0"/>
          <w:color w:val="000000"/>
          <w:sz w:val="24"/>
        </w:rPr>
        <w:t xml:space="preserve">The Council incurred costs of </w:t>
      </w:r>
      <w:r w:rsidR="006348D0" w:rsidRPr="00E55467">
        <w:rPr>
          <w:rFonts w:ascii="Arial" w:hAnsi="Arial" w:cs="Arial"/>
          <w:snapToGrid w:val="0"/>
          <w:color w:val="000000"/>
          <w:sz w:val="24"/>
        </w:rPr>
        <w:t>£0.987</w:t>
      </w:r>
      <w:r w:rsidR="00787735" w:rsidRPr="00E55467">
        <w:rPr>
          <w:rFonts w:ascii="Arial" w:hAnsi="Arial" w:cs="Arial"/>
          <w:snapToGrid w:val="0"/>
          <w:color w:val="000000"/>
          <w:sz w:val="24"/>
        </w:rPr>
        <w:t>m</w:t>
      </w:r>
      <w:r w:rsidRPr="00E55467">
        <w:rPr>
          <w:rFonts w:ascii="Arial" w:hAnsi="Arial" w:cs="Arial"/>
          <w:snapToGrid w:val="0"/>
          <w:color w:val="000000"/>
          <w:sz w:val="24"/>
        </w:rPr>
        <w:t xml:space="preserve"> (</w:t>
      </w:r>
      <w:r w:rsidR="006348D0" w:rsidRPr="00E55467">
        <w:rPr>
          <w:rFonts w:ascii="Arial" w:hAnsi="Arial" w:cs="Arial"/>
          <w:snapToGrid w:val="0"/>
          <w:color w:val="000000"/>
          <w:sz w:val="24"/>
        </w:rPr>
        <w:t>2011/12</w:t>
      </w:r>
      <w:r w:rsidR="005E2404" w:rsidRPr="00E55467">
        <w:rPr>
          <w:rFonts w:ascii="Arial" w:hAnsi="Arial" w:cs="Arial"/>
          <w:snapToGrid w:val="0"/>
          <w:color w:val="000000"/>
          <w:sz w:val="24"/>
        </w:rPr>
        <w:t xml:space="preserve">: </w:t>
      </w:r>
      <w:r w:rsidR="00445233" w:rsidRPr="00E55467">
        <w:rPr>
          <w:rFonts w:ascii="Arial" w:hAnsi="Arial" w:cs="Arial"/>
          <w:snapToGrid w:val="0"/>
          <w:color w:val="000000"/>
          <w:sz w:val="24"/>
        </w:rPr>
        <w:t>£1</w:t>
      </w:r>
      <w:r w:rsidR="006348D0" w:rsidRPr="00E55467">
        <w:rPr>
          <w:rFonts w:ascii="Arial" w:hAnsi="Arial" w:cs="Arial"/>
          <w:snapToGrid w:val="0"/>
          <w:color w:val="000000"/>
          <w:sz w:val="24"/>
        </w:rPr>
        <w:t>.</w:t>
      </w:r>
      <w:r w:rsidR="00445233" w:rsidRPr="00E55467">
        <w:rPr>
          <w:rFonts w:ascii="Arial" w:hAnsi="Arial" w:cs="Arial"/>
          <w:snapToGrid w:val="0"/>
          <w:color w:val="000000"/>
          <w:sz w:val="24"/>
        </w:rPr>
        <w:t>027</w:t>
      </w:r>
      <w:r w:rsidR="006348D0" w:rsidRPr="00E55467">
        <w:rPr>
          <w:rFonts w:ascii="Arial" w:hAnsi="Arial" w:cs="Arial"/>
          <w:snapToGrid w:val="0"/>
          <w:color w:val="000000"/>
          <w:sz w:val="24"/>
        </w:rPr>
        <w:t>m</w:t>
      </w:r>
      <w:r w:rsidR="005E2404" w:rsidRPr="00E55467">
        <w:rPr>
          <w:rFonts w:ascii="Arial" w:hAnsi="Arial" w:cs="Arial"/>
          <w:snapToGrid w:val="0"/>
          <w:color w:val="000000"/>
          <w:sz w:val="24"/>
        </w:rPr>
        <w:t xml:space="preserve">) in relation to the administration of the Fund and was subsequently reimbursed by the Fund for these expenses. The Council is also the single largest employer of members of the Pension Fund and </w:t>
      </w:r>
      <w:r w:rsidR="005E2404" w:rsidRPr="00EE5595">
        <w:rPr>
          <w:rFonts w:ascii="Arial" w:hAnsi="Arial" w:cs="Arial"/>
          <w:snapToGrid w:val="0"/>
          <w:color w:val="000000"/>
          <w:sz w:val="24"/>
        </w:rPr>
        <w:t xml:space="preserve">contributed </w:t>
      </w:r>
      <w:r w:rsidR="00BF677C" w:rsidRPr="00EE5595">
        <w:rPr>
          <w:rFonts w:ascii="Arial" w:hAnsi="Arial" w:cs="Arial"/>
          <w:snapToGrid w:val="0"/>
          <w:color w:val="000000"/>
          <w:sz w:val="24"/>
        </w:rPr>
        <w:t>£31</w:t>
      </w:r>
      <w:r w:rsidR="00C87A3D" w:rsidRPr="00EE5595">
        <w:rPr>
          <w:rFonts w:ascii="Arial" w:hAnsi="Arial" w:cs="Arial"/>
          <w:snapToGrid w:val="0"/>
          <w:color w:val="000000"/>
          <w:sz w:val="24"/>
        </w:rPr>
        <w:t>.</w:t>
      </w:r>
      <w:r w:rsidR="00BF677C" w:rsidRPr="00EE5595">
        <w:rPr>
          <w:rFonts w:ascii="Arial" w:hAnsi="Arial" w:cs="Arial"/>
          <w:snapToGrid w:val="0"/>
          <w:color w:val="000000"/>
          <w:sz w:val="24"/>
        </w:rPr>
        <w:t>576</w:t>
      </w:r>
      <w:r w:rsidR="005E2404" w:rsidRPr="00EE5595">
        <w:rPr>
          <w:rFonts w:ascii="Arial" w:hAnsi="Arial" w:cs="Arial"/>
          <w:snapToGrid w:val="0"/>
          <w:color w:val="000000"/>
          <w:sz w:val="24"/>
        </w:rPr>
        <w:t>m to</w:t>
      </w:r>
      <w:r w:rsidR="00B668FD" w:rsidRPr="00EE5595">
        <w:rPr>
          <w:rFonts w:ascii="Arial" w:hAnsi="Arial" w:cs="Arial"/>
          <w:snapToGrid w:val="0"/>
          <w:color w:val="000000"/>
          <w:sz w:val="24"/>
        </w:rPr>
        <w:t xml:space="preserve"> the</w:t>
      </w:r>
      <w:r w:rsidR="00B668FD" w:rsidRPr="00E55467">
        <w:rPr>
          <w:rFonts w:ascii="Arial" w:hAnsi="Arial" w:cs="Arial"/>
          <w:snapToGrid w:val="0"/>
          <w:color w:val="000000"/>
          <w:sz w:val="24"/>
        </w:rPr>
        <w:t xml:space="preserve"> Fund in 201</w:t>
      </w:r>
      <w:r w:rsidR="00966F6E" w:rsidRPr="00E55467">
        <w:rPr>
          <w:rFonts w:ascii="Arial" w:hAnsi="Arial" w:cs="Arial"/>
          <w:snapToGrid w:val="0"/>
          <w:color w:val="000000"/>
          <w:sz w:val="24"/>
        </w:rPr>
        <w:t>2</w:t>
      </w:r>
      <w:r w:rsidR="00B668FD" w:rsidRPr="00E55467">
        <w:rPr>
          <w:rFonts w:ascii="Arial" w:hAnsi="Arial" w:cs="Arial"/>
          <w:snapToGrid w:val="0"/>
          <w:color w:val="000000"/>
          <w:sz w:val="24"/>
        </w:rPr>
        <w:t>/1</w:t>
      </w:r>
      <w:r w:rsidR="00966F6E" w:rsidRPr="00E55467">
        <w:rPr>
          <w:rFonts w:ascii="Arial" w:hAnsi="Arial" w:cs="Arial"/>
          <w:snapToGrid w:val="0"/>
          <w:color w:val="000000"/>
          <w:sz w:val="24"/>
        </w:rPr>
        <w:t>3</w:t>
      </w:r>
      <w:r w:rsidR="00B668FD" w:rsidRPr="00E55467">
        <w:rPr>
          <w:rFonts w:ascii="Arial" w:hAnsi="Arial" w:cs="Arial"/>
          <w:snapToGrid w:val="0"/>
          <w:color w:val="000000"/>
          <w:sz w:val="24"/>
        </w:rPr>
        <w:t xml:space="preserve"> (201</w:t>
      </w:r>
      <w:r w:rsidR="00966F6E" w:rsidRPr="00E55467">
        <w:rPr>
          <w:rFonts w:ascii="Arial" w:hAnsi="Arial" w:cs="Arial"/>
          <w:snapToGrid w:val="0"/>
          <w:color w:val="000000"/>
          <w:sz w:val="24"/>
        </w:rPr>
        <w:t>1</w:t>
      </w:r>
      <w:r w:rsidR="00B668FD" w:rsidRPr="00E55467">
        <w:rPr>
          <w:rFonts w:ascii="Arial" w:hAnsi="Arial" w:cs="Arial"/>
          <w:snapToGrid w:val="0"/>
          <w:color w:val="000000"/>
          <w:sz w:val="24"/>
        </w:rPr>
        <w:t>/1</w:t>
      </w:r>
      <w:r w:rsidR="00966F6E" w:rsidRPr="00E55467">
        <w:rPr>
          <w:rFonts w:ascii="Arial" w:hAnsi="Arial" w:cs="Arial"/>
          <w:snapToGrid w:val="0"/>
          <w:color w:val="000000"/>
          <w:sz w:val="24"/>
        </w:rPr>
        <w:t>2</w:t>
      </w:r>
      <w:r w:rsidR="00B668FD" w:rsidRPr="00E55467">
        <w:rPr>
          <w:rFonts w:ascii="Arial" w:hAnsi="Arial" w:cs="Arial"/>
          <w:snapToGrid w:val="0"/>
          <w:color w:val="000000"/>
          <w:sz w:val="24"/>
        </w:rPr>
        <w:t>:</w:t>
      </w:r>
      <w:r w:rsidR="00966F6E" w:rsidRPr="00E55467">
        <w:rPr>
          <w:rFonts w:ascii="Arial" w:hAnsi="Arial" w:cs="Arial"/>
          <w:snapToGrid w:val="0"/>
          <w:color w:val="000000"/>
          <w:sz w:val="24"/>
        </w:rPr>
        <w:t xml:space="preserve"> </w:t>
      </w:r>
      <w:r w:rsidR="005E2404" w:rsidRPr="00E55467">
        <w:rPr>
          <w:rFonts w:ascii="Arial" w:hAnsi="Arial" w:cs="Arial"/>
          <w:snapToGrid w:val="0"/>
          <w:color w:val="000000"/>
          <w:sz w:val="24"/>
        </w:rPr>
        <w:t>£</w:t>
      </w:r>
      <w:r w:rsidR="00B473F7">
        <w:rPr>
          <w:rFonts w:ascii="Arial" w:hAnsi="Arial" w:cs="Arial"/>
          <w:snapToGrid w:val="0"/>
          <w:color w:val="000000"/>
          <w:sz w:val="24"/>
        </w:rPr>
        <w:t>30.482</w:t>
      </w:r>
      <w:r w:rsidR="005E2404" w:rsidRPr="00E55467">
        <w:rPr>
          <w:rFonts w:ascii="Arial" w:hAnsi="Arial" w:cs="Arial"/>
          <w:snapToGrid w:val="0"/>
          <w:color w:val="000000"/>
          <w:sz w:val="24"/>
        </w:rPr>
        <w:t>m).</w:t>
      </w:r>
      <w:r w:rsidR="00453579">
        <w:rPr>
          <w:rFonts w:ascii="Arial" w:hAnsi="Arial" w:cs="Arial"/>
          <w:snapToGrid w:val="0"/>
          <w:color w:val="000000"/>
          <w:sz w:val="24"/>
        </w:rPr>
        <w:t xml:space="preserve"> All monies owi</w:t>
      </w:r>
      <w:r w:rsidR="00831F35">
        <w:rPr>
          <w:rFonts w:ascii="Arial" w:hAnsi="Arial" w:cs="Arial"/>
          <w:snapToGrid w:val="0"/>
          <w:color w:val="000000"/>
          <w:sz w:val="24"/>
        </w:rPr>
        <w:t>n</w:t>
      </w:r>
      <w:r w:rsidR="00453579">
        <w:rPr>
          <w:rFonts w:ascii="Arial" w:hAnsi="Arial" w:cs="Arial"/>
          <w:snapToGrid w:val="0"/>
          <w:color w:val="000000"/>
          <w:sz w:val="24"/>
        </w:rPr>
        <w:t>g to and due from the Fund were paid in year.</w:t>
      </w:r>
    </w:p>
    <w:p w:rsidR="00853868" w:rsidRDefault="00853868" w:rsidP="00761A60">
      <w:pPr>
        <w:widowControl w:val="0"/>
        <w:tabs>
          <w:tab w:val="right" w:pos="7200"/>
        </w:tabs>
        <w:rPr>
          <w:rFonts w:ascii="Arial" w:hAnsi="Arial" w:cs="Arial"/>
          <w:b/>
          <w:snapToGrid w:val="0"/>
          <w:color w:val="000000"/>
          <w:sz w:val="24"/>
        </w:rPr>
      </w:pPr>
    </w:p>
    <w:p w:rsidR="00B7354F" w:rsidRDefault="00B7354F">
      <w:pPr>
        <w:rPr>
          <w:rFonts w:ascii="Arial" w:hAnsi="Arial" w:cs="Arial"/>
          <w:b/>
          <w:snapToGrid w:val="0"/>
          <w:color w:val="000000"/>
          <w:sz w:val="24"/>
        </w:rPr>
      </w:pPr>
      <w:r>
        <w:rPr>
          <w:rFonts w:ascii="Arial" w:hAnsi="Arial" w:cs="Arial"/>
          <w:b/>
          <w:snapToGrid w:val="0"/>
          <w:color w:val="000000"/>
          <w:sz w:val="24"/>
        </w:rPr>
        <w:br w:type="page"/>
      </w:r>
    </w:p>
    <w:p w:rsidR="00761A60" w:rsidRPr="00C3132F" w:rsidRDefault="002E7292" w:rsidP="00761A60">
      <w:pPr>
        <w:widowControl w:val="0"/>
        <w:tabs>
          <w:tab w:val="right" w:pos="7200"/>
        </w:tabs>
        <w:rPr>
          <w:rFonts w:ascii="Arial" w:hAnsi="Arial" w:cs="Arial"/>
          <w:b/>
          <w:snapToGrid w:val="0"/>
          <w:color w:val="000000"/>
          <w:sz w:val="24"/>
        </w:rPr>
      </w:pPr>
      <w:r>
        <w:rPr>
          <w:rFonts w:ascii="Arial" w:hAnsi="Arial" w:cs="Arial"/>
          <w:b/>
          <w:snapToGrid w:val="0"/>
          <w:color w:val="000000"/>
          <w:sz w:val="24"/>
        </w:rPr>
        <w:lastRenderedPageBreak/>
        <w:t>Governance</w:t>
      </w:r>
    </w:p>
    <w:p w:rsidR="00761A60" w:rsidRPr="00761A60" w:rsidRDefault="00761A60" w:rsidP="00761A60">
      <w:pPr>
        <w:widowControl w:val="0"/>
        <w:tabs>
          <w:tab w:val="right" w:pos="7200"/>
        </w:tabs>
        <w:rPr>
          <w:rFonts w:ascii="Arial" w:hAnsi="Arial" w:cs="Arial"/>
          <w:snapToGrid w:val="0"/>
          <w:color w:val="000000"/>
          <w:sz w:val="24"/>
          <w:szCs w:val="24"/>
        </w:rPr>
      </w:pPr>
    </w:p>
    <w:p w:rsidR="00761A60" w:rsidRDefault="002E7292" w:rsidP="00761A60">
      <w:pPr>
        <w:widowControl w:val="0"/>
        <w:tabs>
          <w:tab w:val="right" w:pos="7200"/>
        </w:tabs>
        <w:rPr>
          <w:rFonts w:ascii="Arial" w:hAnsi="Arial" w:cs="Arial"/>
          <w:snapToGrid w:val="0"/>
          <w:color w:val="000000"/>
          <w:sz w:val="24"/>
        </w:rPr>
      </w:pPr>
      <w:r>
        <w:rPr>
          <w:rFonts w:ascii="Arial" w:hAnsi="Arial" w:cs="Arial"/>
          <w:snapToGrid w:val="0"/>
          <w:color w:val="000000"/>
          <w:sz w:val="24"/>
        </w:rPr>
        <w:t>T</w:t>
      </w:r>
      <w:r w:rsidR="007701DD">
        <w:rPr>
          <w:rFonts w:ascii="Arial" w:hAnsi="Arial" w:cs="Arial"/>
          <w:snapToGrid w:val="0"/>
          <w:color w:val="000000"/>
          <w:sz w:val="24"/>
        </w:rPr>
        <w:t>here are no members of the</w:t>
      </w:r>
      <w:r>
        <w:rPr>
          <w:rFonts w:ascii="Arial" w:hAnsi="Arial" w:cs="Arial"/>
          <w:snapToGrid w:val="0"/>
          <w:color w:val="000000"/>
          <w:sz w:val="24"/>
        </w:rPr>
        <w:t xml:space="preserve"> Pension Fund Sub-Committee who are </w:t>
      </w:r>
      <w:r w:rsidR="007701DD">
        <w:rPr>
          <w:rFonts w:ascii="Arial" w:hAnsi="Arial" w:cs="Arial"/>
          <w:snapToGrid w:val="0"/>
          <w:color w:val="000000"/>
          <w:sz w:val="24"/>
        </w:rPr>
        <w:t xml:space="preserve">either </w:t>
      </w:r>
      <w:r>
        <w:rPr>
          <w:rFonts w:ascii="Arial" w:hAnsi="Arial" w:cs="Arial"/>
          <w:snapToGrid w:val="0"/>
          <w:color w:val="000000"/>
          <w:sz w:val="24"/>
        </w:rPr>
        <w:t xml:space="preserve">in receipt of pension benefits from </w:t>
      </w:r>
      <w:r w:rsidR="007701DD">
        <w:rPr>
          <w:rFonts w:ascii="Arial" w:hAnsi="Arial" w:cs="Arial"/>
          <w:snapToGrid w:val="0"/>
          <w:color w:val="000000"/>
          <w:sz w:val="24"/>
        </w:rPr>
        <w:t xml:space="preserve">or active members of </w:t>
      </w:r>
      <w:r>
        <w:rPr>
          <w:rFonts w:ascii="Arial" w:hAnsi="Arial" w:cs="Arial"/>
          <w:snapToGrid w:val="0"/>
          <w:color w:val="000000"/>
          <w:sz w:val="24"/>
        </w:rPr>
        <w:t>the Brent Pension Fund.</w:t>
      </w:r>
    </w:p>
    <w:p w:rsidR="00A43A95" w:rsidRDefault="00A43A95" w:rsidP="00761A60">
      <w:pPr>
        <w:widowControl w:val="0"/>
        <w:tabs>
          <w:tab w:val="right" w:pos="7200"/>
        </w:tabs>
        <w:rPr>
          <w:rFonts w:ascii="Arial" w:hAnsi="Arial" w:cs="Arial"/>
          <w:snapToGrid w:val="0"/>
          <w:color w:val="000000"/>
          <w:sz w:val="24"/>
        </w:rPr>
      </w:pPr>
    </w:p>
    <w:p w:rsidR="00A43A95" w:rsidRDefault="00A43A95" w:rsidP="00761A60">
      <w:pPr>
        <w:widowControl w:val="0"/>
        <w:tabs>
          <w:tab w:val="right" w:pos="7200"/>
        </w:tabs>
        <w:rPr>
          <w:rFonts w:ascii="Arial" w:hAnsi="Arial" w:cs="Arial"/>
          <w:snapToGrid w:val="0"/>
          <w:color w:val="000000"/>
          <w:sz w:val="24"/>
        </w:rPr>
      </w:pPr>
      <w:r>
        <w:rPr>
          <w:rFonts w:ascii="Arial" w:hAnsi="Arial" w:cs="Arial"/>
          <w:snapToGrid w:val="0"/>
          <w:color w:val="000000"/>
          <w:sz w:val="24"/>
        </w:rPr>
        <w:t>Each member of the Pension Fund Sub-Committee is required to declare their interests at each meeting.</w:t>
      </w:r>
    </w:p>
    <w:p w:rsidR="00A43A95" w:rsidRDefault="00A43A95" w:rsidP="00761A60">
      <w:pPr>
        <w:widowControl w:val="0"/>
        <w:tabs>
          <w:tab w:val="right" w:pos="7200"/>
        </w:tabs>
        <w:rPr>
          <w:rFonts w:ascii="Arial" w:hAnsi="Arial" w:cs="Arial"/>
          <w:snapToGrid w:val="0"/>
          <w:color w:val="000000"/>
          <w:sz w:val="24"/>
        </w:rPr>
      </w:pPr>
    </w:p>
    <w:p w:rsidR="00A43A95" w:rsidRPr="00C3132F" w:rsidRDefault="00A43A95" w:rsidP="00A43A95">
      <w:pPr>
        <w:widowControl w:val="0"/>
        <w:tabs>
          <w:tab w:val="right" w:pos="7200"/>
        </w:tabs>
        <w:rPr>
          <w:rFonts w:ascii="Arial" w:hAnsi="Arial" w:cs="Arial"/>
          <w:b/>
          <w:snapToGrid w:val="0"/>
          <w:color w:val="000000"/>
          <w:sz w:val="24"/>
        </w:rPr>
      </w:pPr>
      <w:r>
        <w:rPr>
          <w:rFonts w:ascii="Arial" w:hAnsi="Arial" w:cs="Arial"/>
          <w:b/>
          <w:snapToGrid w:val="0"/>
          <w:color w:val="000000"/>
          <w:sz w:val="24"/>
        </w:rPr>
        <w:t>Key management personnel</w:t>
      </w:r>
    </w:p>
    <w:p w:rsidR="00A43A95" w:rsidRPr="00761A60" w:rsidRDefault="00A43A95" w:rsidP="00A43A95">
      <w:pPr>
        <w:widowControl w:val="0"/>
        <w:tabs>
          <w:tab w:val="right" w:pos="7200"/>
        </w:tabs>
        <w:rPr>
          <w:rFonts w:ascii="Arial" w:hAnsi="Arial" w:cs="Arial"/>
          <w:snapToGrid w:val="0"/>
          <w:color w:val="000000"/>
          <w:sz w:val="24"/>
          <w:szCs w:val="24"/>
        </w:rPr>
      </w:pPr>
    </w:p>
    <w:p w:rsidR="00015D51" w:rsidRDefault="00BD486B" w:rsidP="00A43A95">
      <w:pPr>
        <w:widowControl w:val="0"/>
        <w:tabs>
          <w:tab w:val="right" w:pos="7200"/>
        </w:tabs>
        <w:rPr>
          <w:rFonts w:ascii="Arial" w:hAnsi="Arial" w:cs="Arial"/>
          <w:snapToGrid w:val="0"/>
          <w:color w:val="000000"/>
          <w:sz w:val="24"/>
        </w:rPr>
      </w:pPr>
      <w:r>
        <w:rPr>
          <w:rFonts w:ascii="Arial" w:hAnsi="Arial" w:cs="Arial"/>
          <w:snapToGrid w:val="0"/>
          <w:color w:val="000000"/>
          <w:sz w:val="24"/>
        </w:rPr>
        <w:t>Pa</w:t>
      </w:r>
      <w:r w:rsidR="002C4AB1">
        <w:rPr>
          <w:rFonts w:ascii="Arial" w:hAnsi="Arial" w:cs="Arial"/>
          <w:snapToGrid w:val="0"/>
          <w:color w:val="000000"/>
          <w:sz w:val="24"/>
        </w:rPr>
        <w:t>ragraph  of the</w:t>
      </w:r>
      <w:r>
        <w:rPr>
          <w:rFonts w:ascii="Arial" w:hAnsi="Arial" w:cs="Arial"/>
          <w:snapToGrid w:val="0"/>
          <w:color w:val="000000"/>
          <w:sz w:val="24"/>
        </w:rPr>
        <w:t xml:space="preserve"> </w:t>
      </w:r>
      <w:r w:rsidR="002C4AB1" w:rsidRPr="00E679A6">
        <w:rPr>
          <w:rFonts w:ascii="Arial" w:hAnsi="Arial" w:cs="Arial"/>
          <w:i/>
          <w:snapToGrid w:val="0"/>
          <w:color w:val="000000"/>
          <w:sz w:val="24"/>
        </w:rPr>
        <w:t>Code of Practice on Local Authority Accounting in the United Kingdom 2012/13</w:t>
      </w:r>
      <w:r w:rsidR="002C4AB1">
        <w:rPr>
          <w:rFonts w:ascii="Arial" w:hAnsi="Arial" w:cs="Arial"/>
          <w:i/>
          <w:snapToGrid w:val="0"/>
          <w:color w:val="000000"/>
          <w:sz w:val="24"/>
        </w:rPr>
        <w:t xml:space="preserve"> </w:t>
      </w:r>
      <w:r w:rsidR="002C4AB1">
        <w:rPr>
          <w:rFonts w:ascii="Arial" w:hAnsi="Arial" w:cs="Arial"/>
          <w:snapToGrid w:val="0"/>
          <w:color w:val="000000"/>
          <w:sz w:val="24"/>
        </w:rPr>
        <w:t>(the Code) exempts local authorities from the key management personnel disclosure requirements of IAS 24, on the basis that the disclosure requirements for officer remuneration and members’ allowances detailed in section 3.4 of the Code (which are derived from the requirements of Regulation 7(2)-(4) of the Accounts and Audit (England) Regulations 2011</w:t>
      </w:r>
      <w:r w:rsidR="004C46C6">
        <w:rPr>
          <w:rFonts w:ascii="Arial" w:hAnsi="Arial" w:cs="Arial"/>
          <w:snapToGrid w:val="0"/>
          <w:color w:val="000000"/>
          <w:sz w:val="24"/>
        </w:rPr>
        <w:t>) satisfy the key management personnel disclosure requirements of paragraph 16 of IAS 24. This applies in equal measure to the accounts of the Brent Pension Fund.</w:t>
      </w:r>
    </w:p>
    <w:p w:rsidR="00015D51" w:rsidRDefault="00015D51" w:rsidP="00A43A95">
      <w:pPr>
        <w:widowControl w:val="0"/>
        <w:tabs>
          <w:tab w:val="right" w:pos="7200"/>
        </w:tabs>
        <w:rPr>
          <w:rFonts w:ascii="Arial" w:hAnsi="Arial" w:cs="Arial"/>
          <w:snapToGrid w:val="0"/>
          <w:color w:val="000000"/>
          <w:sz w:val="24"/>
        </w:rPr>
      </w:pPr>
    </w:p>
    <w:p w:rsidR="00A43A95" w:rsidRPr="002C4AB1" w:rsidRDefault="00015D51" w:rsidP="00A43A95">
      <w:pPr>
        <w:widowControl w:val="0"/>
        <w:tabs>
          <w:tab w:val="right" w:pos="7200"/>
        </w:tabs>
        <w:rPr>
          <w:rFonts w:ascii="Arial" w:hAnsi="Arial" w:cs="Arial"/>
          <w:b/>
          <w:snapToGrid w:val="0"/>
          <w:color w:val="000000"/>
          <w:sz w:val="24"/>
          <w:highlight w:val="yellow"/>
        </w:rPr>
      </w:pPr>
      <w:r>
        <w:rPr>
          <w:rFonts w:ascii="Arial" w:hAnsi="Arial" w:cs="Arial"/>
          <w:snapToGrid w:val="0"/>
          <w:color w:val="000000"/>
          <w:sz w:val="24"/>
        </w:rPr>
        <w:t>The disclosures required</w:t>
      </w:r>
      <w:r w:rsidR="002C4AB1">
        <w:rPr>
          <w:rFonts w:ascii="Arial" w:hAnsi="Arial" w:cs="Arial"/>
          <w:snapToGrid w:val="0"/>
          <w:color w:val="000000"/>
          <w:sz w:val="24"/>
        </w:rPr>
        <w:t xml:space="preserve"> </w:t>
      </w:r>
      <w:r>
        <w:rPr>
          <w:rFonts w:ascii="Arial" w:hAnsi="Arial" w:cs="Arial"/>
          <w:snapToGrid w:val="0"/>
          <w:color w:val="000000"/>
          <w:sz w:val="24"/>
        </w:rPr>
        <w:t>by Regulation 7(2)-(4) of the Accounts and Audit (England) Regulations can be found in the main accounts of Brent Council.</w:t>
      </w:r>
    </w:p>
    <w:p w:rsidR="00761A60" w:rsidRDefault="00761A60" w:rsidP="00A87DEE">
      <w:pPr>
        <w:widowControl w:val="0"/>
        <w:tabs>
          <w:tab w:val="right" w:pos="7200"/>
        </w:tabs>
        <w:rPr>
          <w:rFonts w:ascii="Arial" w:hAnsi="Arial" w:cs="Arial"/>
          <w:b/>
          <w:snapToGrid w:val="0"/>
          <w:color w:val="000000"/>
          <w:sz w:val="24"/>
          <w:highlight w:val="yellow"/>
        </w:rPr>
      </w:pPr>
    </w:p>
    <w:p w:rsidR="0026797F" w:rsidRDefault="0026797F" w:rsidP="00A87DEE">
      <w:pPr>
        <w:widowControl w:val="0"/>
        <w:tabs>
          <w:tab w:val="right" w:pos="7200"/>
        </w:tabs>
        <w:rPr>
          <w:rFonts w:ascii="Arial" w:hAnsi="Arial" w:cs="Arial"/>
          <w:b/>
          <w:snapToGrid w:val="0"/>
          <w:color w:val="000000"/>
          <w:sz w:val="24"/>
        </w:rPr>
      </w:pPr>
    </w:p>
    <w:p w:rsidR="00BF6168" w:rsidRPr="00BD3AD4" w:rsidRDefault="00F666FC" w:rsidP="00BF6168">
      <w:pPr>
        <w:widowControl w:val="0"/>
        <w:tabs>
          <w:tab w:val="right" w:pos="7200"/>
        </w:tabs>
        <w:rPr>
          <w:rFonts w:ascii="Arial" w:hAnsi="Arial" w:cs="Arial"/>
          <w:snapToGrid w:val="0"/>
          <w:color w:val="000000"/>
          <w:sz w:val="24"/>
        </w:rPr>
      </w:pPr>
      <w:r>
        <w:rPr>
          <w:rFonts w:ascii="Arial" w:hAnsi="Arial" w:cs="Arial"/>
          <w:b/>
          <w:snapToGrid w:val="0"/>
          <w:color w:val="000000"/>
          <w:sz w:val="24"/>
        </w:rPr>
        <w:t>24</w:t>
      </w:r>
      <w:r w:rsidR="0026797F">
        <w:rPr>
          <w:rFonts w:ascii="Arial" w:hAnsi="Arial" w:cs="Arial"/>
          <w:b/>
          <w:snapToGrid w:val="0"/>
          <w:color w:val="000000"/>
          <w:sz w:val="24"/>
        </w:rPr>
        <w:t xml:space="preserve">.  </w:t>
      </w:r>
      <w:r w:rsidR="00BF6168">
        <w:rPr>
          <w:rFonts w:ascii="Arial" w:hAnsi="Arial" w:cs="Arial"/>
          <w:b/>
          <w:snapToGrid w:val="0"/>
          <w:color w:val="000000"/>
          <w:sz w:val="24"/>
        </w:rPr>
        <w:t>Contingent liabilities</w:t>
      </w:r>
    </w:p>
    <w:p w:rsidR="00BF6168" w:rsidRPr="00BD3AD4" w:rsidRDefault="00BF6168" w:rsidP="00BF6168">
      <w:pPr>
        <w:widowControl w:val="0"/>
        <w:tabs>
          <w:tab w:val="right" w:pos="7200"/>
        </w:tabs>
        <w:rPr>
          <w:rFonts w:ascii="Arial" w:hAnsi="Arial" w:cs="Arial"/>
          <w:snapToGrid w:val="0"/>
          <w:color w:val="000000"/>
          <w:sz w:val="24"/>
        </w:rPr>
      </w:pPr>
    </w:p>
    <w:p w:rsidR="00BF6168" w:rsidRDefault="00BF6168" w:rsidP="00BF6168">
      <w:pPr>
        <w:widowControl w:val="0"/>
        <w:tabs>
          <w:tab w:val="right" w:pos="7200"/>
        </w:tabs>
        <w:rPr>
          <w:rFonts w:ascii="Arial" w:hAnsi="Arial" w:cs="Arial"/>
          <w:b/>
          <w:snapToGrid w:val="0"/>
          <w:color w:val="000000"/>
          <w:sz w:val="24"/>
        </w:rPr>
      </w:pPr>
      <w:r w:rsidRPr="00BD3AD4">
        <w:rPr>
          <w:rFonts w:ascii="Arial" w:hAnsi="Arial" w:cs="Arial"/>
          <w:snapToGrid w:val="0"/>
          <w:color w:val="000000"/>
          <w:sz w:val="24"/>
        </w:rPr>
        <w:t>The Fund had no co</w:t>
      </w:r>
      <w:r>
        <w:rPr>
          <w:rFonts w:ascii="Arial" w:hAnsi="Arial" w:cs="Arial"/>
          <w:snapToGrid w:val="0"/>
          <w:color w:val="000000"/>
          <w:sz w:val="24"/>
        </w:rPr>
        <w:t>ntingent liabilities at</w:t>
      </w:r>
      <w:r w:rsidRPr="00BD3AD4">
        <w:rPr>
          <w:rFonts w:ascii="Arial" w:hAnsi="Arial" w:cs="Arial"/>
          <w:snapToGrid w:val="0"/>
          <w:color w:val="000000"/>
          <w:sz w:val="24"/>
        </w:rPr>
        <w:t xml:space="preserve"> 31 March 2013.</w:t>
      </w:r>
    </w:p>
    <w:p w:rsidR="00BF6168" w:rsidRDefault="00BF6168" w:rsidP="00A87DEE">
      <w:pPr>
        <w:widowControl w:val="0"/>
        <w:tabs>
          <w:tab w:val="right" w:pos="7200"/>
        </w:tabs>
        <w:rPr>
          <w:rFonts w:ascii="Arial" w:hAnsi="Arial" w:cs="Arial"/>
          <w:b/>
          <w:snapToGrid w:val="0"/>
          <w:color w:val="000000"/>
          <w:sz w:val="24"/>
        </w:rPr>
      </w:pPr>
    </w:p>
    <w:p w:rsidR="00BF6168" w:rsidRDefault="00BF6168" w:rsidP="00A87DEE">
      <w:pPr>
        <w:widowControl w:val="0"/>
        <w:tabs>
          <w:tab w:val="right" w:pos="7200"/>
        </w:tabs>
        <w:rPr>
          <w:rFonts w:ascii="Arial" w:hAnsi="Arial" w:cs="Arial"/>
          <w:b/>
          <w:snapToGrid w:val="0"/>
          <w:color w:val="000000"/>
          <w:sz w:val="24"/>
        </w:rPr>
      </w:pPr>
    </w:p>
    <w:p w:rsidR="00A87DEE" w:rsidRPr="00E662A9" w:rsidRDefault="00F666FC" w:rsidP="00A87DEE">
      <w:pPr>
        <w:widowControl w:val="0"/>
        <w:tabs>
          <w:tab w:val="right" w:pos="7200"/>
        </w:tabs>
        <w:rPr>
          <w:rFonts w:ascii="Arial" w:hAnsi="Arial" w:cs="Arial"/>
          <w:snapToGrid w:val="0"/>
          <w:color w:val="000000"/>
          <w:sz w:val="24"/>
        </w:rPr>
      </w:pPr>
      <w:r>
        <w:rPr>
          <w:rFonts w:ascii="Arial" w:hAnsi="Arial" w:cs="Arial"/>
          <w:b/>
          <w:snapToGrid w:val="0"/>
          <w:color w:val="000000"/>
          <w:sz w:val="24"/>
        </w:rPr>
        <w:t>25</w:t>
      </w:r>
      <w:r w:rsidR="00622B89">
        <w:rPr>
          <w:rFonts w:ascii="Arial" w:hAnsi="Arial" w:cs="Arial"/>
          <w:b/>
          <w:snapToGrid w:val="0"/>
          <w:color w:val="000000"/>
          <w:sz w:val="24"/>
        </w:rPr>
        <w:t xml:space="preserve">.  </w:t>
      </w:r>
      <w:r w:rsidR="00291C44">
        <w:rPr>
          <w:rFonts w:ascii="Arial" w:hAnsi="Arial" w:cs="Arial"/>
          <w:b/>
          <w:snapToGrid w:val="0"/>
          <w:color w:val="000000"/>
          <w:sz w:val="24"/>
        </w:rPr>
        <w:t>C</w:t>
      </w:r>
      <w:r w:rsidR="00774EEE" w:rsidRPr="00E662A9">
        <w:rPr>
          <w:rFonts w:ascii="Arial" w:hAnsi="Arial" w:cs="Arial"/>
          <w:b/>
          <w:snapToGrid w:val="0"/>
          <w:color w:val="000000"/>
          <w:sz w:val="24"/>
        </w:rPr>
        <w:t>ontractual commitments</w:t>
      </w:r>
    </w:p>
    <w:p w:rsidR="00A87DEE" w:rsidRPr="00E662A9" w:rsidRDefault="00A87DEE" w:rsidP="00A87DEE">
      <w:pPr>
        <w:widowControl w:val="0"/>
        <w:tabs>
          <w:tab w:val="right" w:pos="7200"/>
        </w:tabs>
        <w:rPr>
          <w:rFonts w:ascii="Arial" w:hAnsi="Arial" w:cs="Arial"/>
          <w:snapToGrid w:val="0"/>
          <w:color w:val="000000"/>
          <w:sz w:val="24"/>
        </w:rPr>
      </w:pPr>
    </w:p>
    <w:p w:rsidR="00232648" w:rsidRPr="00580AC6" w:rsidRDefault="00301A74" w:rsidP="00232648">
      <w:pPr>
        <w:widowControl w:val="0"/>
        <w:tabs>
          <w:tab w:val="right" w:pos="7200"/>
        </w:tabs>
        <w:rPr>
          <w:rFonts w:ascii="Arial" w:hAnsi="Arial" w:cs="Arial"/>
          <w:snapToGrid w:val="0"/>
          <w:color w:val="000000"/>
          <w:sz w:val="24"/>
        </w:rPr>
      </w:pPr>
      <w:r w:rsidRPr="00580AC6">
        <w:rPr>
          <w:rFonts w:ascii="Arial" w:hAnsi="Arial" w:cs="Arial"/>
          <w:snapToGrid w:val="0"/>
          <w:color w:val="000000"/>
          <w:sz w:val="24"/>
        </w:rPr>
        <w:t>Outstanding capital commitments (investments) at 31 March 201</w:t>
      </w:r>
      <w:r w:rsidR="00C74B4E" w:rsidRPr="00580AC6">
        <w:rPr>
          <w:rFonts w:ascii="Arial" w:hAnsi="Arial" w:cs="Arial"/>
          <w:snapToGrid w:val="0"/>
          <w:color w:val="000000"/>
          <w:sz w:val="24"/>
        </w:rPr>
        <w:t>3</w:t>
      </w:r>
      <w:r w:rsidRPr="00580AC6">
        <w:rPr>
          <w:rFonts w:ascii="Arial" w:hAnsi="Arial" w:cs="Arial"/>
          <w:snapToGrid w:val="0"/>
          <w:color w:val="000000"/>
          <w:sz w:val="24"/>
        </w:rPr>
        <w:t xml:space="preserve"> totalled £</w:t>
      </w:r>
      <w:r w:rsidR="006C0F8E" w:rsidRPr="00580AC6">
        <w:rPr>
          <w:rFonts w:ascii="Arial" w:hAnsi="Arial" w:cs="Arial"/>
          <w:snapToGrid w:val="0"/>
          <w:color w:val="000000"/>
          <w:sz w:val="24"/>
        </w:rPr>
        <w:t>64.979</w:t>
      </w:r>
      <w:r w:rsidR="00105357" w:rsidRPr="00580AC6">
        <w:rPr>
          <w:rFonts w:ascii="Arial" w:hAnsi="Arial" w:cs="Arial"/>
          <w:snapToGrid w:val="0"/>
          <w:color w:val="000000"/>
          <w:sz w:val="24"/>
        </w:rPr>
        <w:t>m (31 March 2</w:t>
      </w:r>
      <w:r w:rsidR="00803048" w:rsidRPr="00580AC6">
        <w:rPr>
          <w:rFonts w:ascii="Arial" w:hAnsi="Arial" w:cs="Arial"/>
          <w:snapToGrid w:val="0"/>
          <w:color w:val="000000"/>
          <w:sz w:val="24"/>
        </w:rPr>
        <w:t>012: £89.093</w:t>
      </w:r>
      <w:r w:rsidR="007905AE" w:rsidRPr="00580AC6">
        <w:rPr>
          <w:rFonts w:ascii="Arial" w:hAnsi="Arial" w:cs="Arial"/>
          <w:snapToGrid w:val="0"/>
          <w:color w:val="000000"/>
          <w:sz w:val="24"/>
        </w:rPr>
        <w:t>m)</w:t>
      </w:r>
      <w:r w:rsidR="00626A50" w:rsidRPr="00580AC6">
        <w:rPr>
          <w:rFonts w:ascii="Arial" w:hAnsi="Arial" w:cs="Arial"/>
          <w:snapToGrid w:val="0"/>
          <w:color w:val="000000"/>
          <w:sz w:val="24"/>
        </w:rPr>
        <w:t>.</w:t>
      </w:r>
    </w:p>
    <w:p w:rsidR="0004555A" w:rsidRPr="00580AC6" w:rsidRDefault="0004555A" w:rsidP="00232648">
      <w:pPr>
        <w:widowControl w:val="0"/>
        <w:tabs>
          <w:tab w:val="right" w:pos="7200"/>
        </w:tabs>
        <w:rPr>
          <w:rFonts w:ascii="Arial" w:hAnsi="Arial" w:cs="Arial"/>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1920"/>
        <w:gridCol w:w="1920"/>
      </w:tblGrid>
      <w:tr w:rsidR="00A90597" w:rsidRPr="00580AC6" w:rsidTr="00A90597">
        <w:tc>
          <w:tcPr>
            <w:tcW w:w="4188" w:type="dxa"/>
          </w:tcPr>
          <w:p w:rsidR="00A90597" w:rsidRPr="00580AC6" w:rsidRDefault="00A90597" w:rsidP="00A90597">
            <w:pPr>
              <w:widowControl w:val="0"/>
              <w:tabs>
                <w:tab w:val="left" w:pos="180"/>
                <w:tab w:val="right" w:pos="3060"/>
                <w:tab w:val="right" w:pos="4150"/>
              </w:tabs>
              <w:rPr>
                <w:rFonts w:ascii="Arial" w:hAnsi="Arial" w:cs="Arial"/>
                <w:snapToGrid w:val="0"/>
                <w:color w:val="000000"/>
                <w:sz w:val="24"/>
              </w:rPr>
            </w:pPr>
          </w:p>
        </w:tc>
        <w:tc>
          <w:tcPr>
            <w:tcW w:w="1920" w:type="dxa"/>
          </w:tcPr>
          <w:p w:rsidR="00A90597" w:rsidRPr="00580AC6" w:rsidRDefault="00A90597" w:rsidP="00A90597">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31 March 2012</w:t>
            </w:r>
          </w:p>
        </w:tc>
        <w:tc>
          <w:tcPr>
            <w:tcW w:w="1920" w:type="dxa"/>
          </w:tcPr>
          <w:p w:rsidR="00A90597" w:rsidRPr="00580AC6" w:rsidRDefault="00A90597" w:rsidP="00A90597">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31 March 2013</w:t>
            </w:r>
          </w:p>
        </w:tc>
      </w:tr>
      <w:tr w:rsidR="00A90597" w:rsidRPr="00580AC6" w:rsidTr="00A90597">
        <w:tc>
          <w:tcPr>
            <w:tcW w:w="4188" w:type="dxa"/>
          </w:tcPr>
          <w:p w:rsidR="00A90597" w:rsidRPr="00580AC6" w:rsidRDefault="00A90597" w:rsidP="00A90597">
            <w:pPr>
              <w:widowControl w:val="0"/>
              <w:tabs>
                <w:tab w:val="left" w:pos="180"/>
                <w:tab w:val="right" w:pos="3060"/>
                <w:tab w:val="right" w:pos="4150"/>
              </w:tabs>
              <w:rPr>
                <w:rFonts w:ascii="Arial" w:hAnsi="Arial" w:cs="Arial"/>
                <w:snapToGrid w:val="0"/>
                <w:color w:val="000000"/>
                <w:sz w:val="24"/>
              </w:rPr>
            </w:pPr>
          </w:p>
        </w:tc>
        <w:tc>
          <w:tcPr>
            <w:tcW w:w="1920" w:type="dxa"/>
          </w:tcPr>
          <w:p w:rsidR="00A90597" w:rsidRPr="00580AC6" w:rsidRDefault="00A90597" w:rsidP="00A90597">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£’000</w:t>
            </w:r>
          </w:p>
        </w:tc>
        <w:tc>
          <w:tcPr>
            <w:tcW w:w="1920" w:type="dxa"/>
          </w:tcPr>
          <w:p w:rsidR="00A90597" w:rsidRPr="00580AC6" w:rsidRDefault="00A90597" w:rsidP="00A90597">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£’000</w:t>
            </w:r>
          </w:p>
        </w:tc>
      </w:tr>
      <w:tr w:rsidR="00A90597" w:rsidRPr="00580AC6" w:rsidTr="00A90597">
        <w:tc>
          <w:tcPr>
            <w:tcW w:w="4188" w:type="dxa"/>
          </w:tcPr>
          <w:p w:rsidR="00A90597" w:rsidRPr="00580AC6" w:rsidRDefault="00A90597" w:rsidP="00A90597">
            <w:pPr>
              <w:widowControl w:val="0"/>
              <w:tabs>
                <w:tab w:val="left" w:pos="180"/>
                <w:tab w:val="right" w:pos="3060"/>
                <w:tab w:val="right" w:pos="4150"/>
              </w:tabs>
              <w:rPr>
                <w:rFonts w:ascii="Arial" w:hAnsi="Arial" w:cs="Arial"/>
                <w:b/>
                <w:snapToGrid w:val="0"/>
                <w:color w:val="000000"/>
                <w:sz w:val="24"/>
              </w:rPr>
            </w:pPr>
          </w:p>
        </w:tc>
        <w:tc>
          <w:tcPr>
            <w:tcW w:w="1920" w:type="dxa"/>
          </w:tcPr>
          <w:p w:rsidR="00A90597" w:rsidRPr="00580AC6" w:rsidRDefault="00A90597" w:rsidP="00A90597">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A90597" w:rsidRPr="00580AC6" w:rsidRDefault="00A90597" w:rsidP="00A90597">
            <w:pPr>
              <w:widowControl w:val="0"/>
              <w:tabs>
                <w:tab w:val="left" w:pos="180"/>
                <w:tab w:val="right" w:pos="3060"/>
                <w:tab w:val="right" w:pos="4150"/>
              </w:tabs>
              <w:jc w:val="right"/>
              <w:rPr>
                <w:rFonts w:ascii="Arial" w:hAnsi="Arial" w:cs="Arial"/>
                <w:snapToGrid w:val="0"/>
                <w:color w:val="000000"/>
                <w:sz w:val="24"/>
              </w:rPr>
            </w:pPr>
          </w:p>
        </w:tc>
      </w:tr>
      <w:tr w:rsidR="00A90597" w:rsidRPr="00580AC6" w:rsidTr="00A90597">
        <w:tc>
          <w:tcPr>
            <w:tcW w:w="4188" w:type="dxa"/>
          </w:tcPr>
          <w:p w:rsidR="00A90597" w:rsidRPr="00580AC6" w:rsidRDefault="00803048" w:rsidP="00A90597">
            <w:pPr>
              <w:widowControl w:val="0"/>
              <w:tabs>
                <w:tab w:val="left" w:pos="180"/>
                <w:tab w:val="right" w:pos="3060"/>
                <w:tab w:val="right" w:pos="4150"/>
              </w:tabs>
              <w:rPr>
                <w:rFonts w:ascii="Arial" w:hAnsi="Arial" w:cs="Arial"/>
                <w:snapToGrid w:val="0"/>
                <w:color w:val="000000"/>
                <w:sz w:val="24"/>
              </w:rPr>
            </w:pPr>
            <w:r w:rsidRPr="00580AC6">
              <w:rPr>
                <w:rFonts w:ascii="Arial" w:hAnsi="Arial" w:cs="Arial"/>
                <w:snapToGrid w:val="0"/>
                <w:color w:val="000000"/>
                <w:sz w:val="24"/>
              </w:rPr>
              <w:t>Capital Dynamics</w:t>
            </w:r>
          </w:p>
        </w:tc>
        <w:tc>
          <w:tcPr>
            <w:tcW w:w="1920" w:type="dxa"/>
          </w:tcPr>
          <w:p w:rsidR="00A90597" w:rsidRPr="00580AC6" w:rsidRDefault="00E80657" w:rsidP="00A90597">
            <w:pPr>
              <w:widowControl w:val="0"/>
              <w:tabs>
                <w:tab w:val="left" w:pos="180"/>
                <w:tab w:val="right" w:pos="3060"/>
                <w:tab w:val="right" w:pos="4150"/>
              </w:tabs>
              <w:jc w:val="right"/>
              <w:rPr>
                <w:rFonts w:ascii="Arial" w:hAnsi="Arial" w:cs="Arial"/>
                <w:snapToGrid w:val="0"/>
                <w:color w:val="000000"/>
                <w:sz w:val="24"/>
              </w:rPr>
            </w:pPr>
            <w:r w:rsidRPr="00580AC6">
              <w:rPr>
                <w:rFonts w:ascii="Arial" w:hAnsi="Arial" w:cs="Arial"/>
                <w:snapToGrid w:val="0"/>
                <w:color w:val="000000"/>
                <w:sz w:val="24"/>
              </w:rPr>
              <w:t>77,545</w:t>
            </w:r>
          </w:p>
        </w:tc>
        <w:tc>
          <w:tcPr>
            <w:tcW w:w="1920" w:type="dxa"/>
          </w:tcPr>
          <w:p w:rsidR="00A90597" w:rsidRPr="00580AC6" w:rsidRDefault="00476677" w:rsidP="00A90597">
            <w:pPr>
              <w:widowControl w:val="0"/>
              <w:tabs>
                <w:tab w:val="left" w:pos="180"/>
                <w:tab w:val="right" w:pos="3060"/>
                <w:tab w:val="right" w:pos="4150"/>
              </w:tabs>
              <w:jc w:val="right"/>
              <w:rPr>
                <w:rFonts w:ascii="Arial" w:hAnsi="Arial" w:cs="Arial"/>
                <w:snapToGrid w:val="0"/>
                <w:color w:val="000000"/>
                <w:sz w:val="24"/>
              </w:rPr>
            </w:pPr>
            <w:r w:rsidRPr="00580AC6">
              <w:rPr>
                <w:rFonts w:ascii="Arial" w:hAnsi="Arial" w:cs="Arial"/>
                <w:snapToGrid w:val="0"/>
                <w:color w:val="000000"/>
                <w:sz w:val="24"/>
              </w:rPr>
              <w:t>54,077</w:t>
            </w:r>
          </w:p>
        </w:tc>
      </w:tr>
      <w:tr w:rsidR="00A90597" w:rsidRPr="00580AC6" w:rsidTr="00A90597">
        <w:tc>
          <w:tcPr>
            <w:tcW w:w="4188" w:type="dxa"/>
          </w:tcPr>
          <w:p w:rsidR="00A90597" w:rsidRPr="00580AC6" w:rsidRDefault="00E80657" w:rsidP="00A90597">
            <w:pPr>
              <w:widowControl w:val="0"/>
              <w:tabs>
                <w:tab w:val="left" w:pos="180"/>
                <w:tab w:val="right" w:pos="3060"/>
                <w:tab w:val="right" w:pos="4150"/>
              </w:tabs>
              <w:rPr>
                <w:rFonts w:ascii="Arial" w:hAnsi="Arial" w:cs="Arial"/>
                <w:snapToGrid w:val="0"/>
                <w:color w:val="000000"/>
                <w:sz w:val="24"/>
              </w:rPr>
            </w:pPr>
            <w:r w:rsidRPr="00580AC6">
              <w:rPr>
                <w:rFonts w:ascii="Arial" w:hAnsi="Arial" w:cs="Arial"/>
                <w:snapToGrid w:val="0"/>
                <w:color w:val="000000"/>
                <w:sz w:val="24"/>
              </w:rPr>
              <w:t>Alinda</w:t>
            </w:r>
          </w:p>
        </w:tc>
        <w:tc>
          <w:tcPr>
            <w:tcW w:w="1920" w:type="dxa"/>
          </w:tcPr>
          <w:p w:rsidR="00A90597" w:rsidRPr="00580AC6" w:rsidRDefault="00E80657" w:rsidP="00A90597">
            <w:pPr>
              <w:widowControl w:val="0"/>
              <w:tabs>
                <w:tab w:val="left" w:pos="180"/>
                <w:tab w:val="right" w:pos="3060"/>
                <w:tab w:val="right" w:pos="4150"/>
              </w:tabs>
              <w:jc w:val="right"/>
              <w:rPr>
                <w:rFonts w:ascii="Arial" w:hAnsi="Arial" w:cs="Arial"/>
                <w:snapToGrid w:val="0"/>
                <w:color w:val="000000"/>
                <w:sz w:val="24"/>
              </w:rPr>
            </w:pPr>
            <w:r w:rsidRPr="00580AC6">
              <w:rPr>
                <w:rFonts w:ascii="Arial" w:hAnsi="Arial" w:cs="Arial"/>
                <w:snapToGrid w:val="0"/>
                <w:color w:val="000000"/>
                <w:sz w:val="24"/>
              </w:rPr>
              <w:t>10,435</w:t>
            </w:r>
          </w:p>
        </w:tc>
        <w:tc>
          <w:tcPr>
            <w:tcW w:w="1920" w:type="dxa"/>
          </w:tcPr>
          <w:p w:rsidR="00A90597" w:rsidRPr="00580AC6" w:rsidRDefault="00A87143" w:rsidP="00A90597">
            <w:pPr>
              <w:widowControl w:val="0"/>
              <w:tabs>
                <w:tab w:val="left" w:pos="180"/>
                <w:tab w:val="right" w:pos="3060"/>
                <w:tab w:val="right" w:pos="4150"/>
              </w:tabs>
              <w:jc w:val="right"/>
              <w:rPr>
                <w:rFonts w:ascii="Arial" w:hAnsi="Arial" w:cs="Arial"/>
                <w:snapToGrid w:val="0"/>
                <w:color w:val="000000"/>
                <w:sz w:val="24"/>
              </w:rPr>
            </w:pPr>
            <w:r w:rsidRPr="00580AC6">
              <w:rPr>
                <w:rFonts w:ascii="Arial" w:hAnsi="Arial" w:cs="Arial"/>
                <w:snapToGrid w:val="0"/>
                <w:color w:val="000000"/>
                <w:sz w:val="24"/>
              </w:rPr>
              <w:t>10,636</w:t>
            </w:r>
          </w:p>
        </w:tc>
      </w:tr>
      <w:tr w:rsidR="001B5A2A" w:rsidRPr="00580AC6" w:rsidTr="00A90597">
        <w:tc>
          <w:tcPr>
            <w:tcW w:w="4188" w:type="dxa"/>
          </w:tcPr>
          <w:p w:rsidR="001B5A2A" w:rsidRPr="00580AC6" w:rsidRDefault="00842F9F" w:rsidP="00A90597">
            <w:pPr>
              <w:widowControl w:val="0"/>
              <w:tabs>
                <w:tab w:val="left" w:pos="180"/>
                <w:tab w:val="right" w:pos="3060"/>
                <w:tab w:val="right" w:pos="4150"/>
              </w:tabs>
              <w:rPr>
                <w:rFonts w:ascii="Arial" w:hAnsi="Arial" w:cs="Arial"/>
                <w:snapToGrid w:val="0"/>
                <w:color w:val="000000"/>
                <w:sz w:val="24"/>
              </w:rPr>
            </w:pPr>
            <w:r w:rsidRPr="00580AC6">
              <w:rPr>
                <w:rFonts w:ascii="Arial" w:hAnsi="Arial" w:cs="Arial"/>
                <w:snapToGrid w:val="0"/>
                <w:color w:val="000000"/>
                <w:sz w:val="24"/>
              </w:rPr>
              <w:t>Yorkshire Fund Managers</w:t>
            </w:r>
          </w:p>
        </w:tc>
        <w:tc>
          <w:tcPr>
            <w:tcW w:w="1920" w:type="dxa"/>
          </w:tcPr>
          <w:p w:rsidR="001B5A2A" w:rsidRPr="00580AC6" w:rsidRDefault="001B5A2A" w:rsidP="00A90597">
            <w:pPr>
              <w:widowControl w:val="0"/>
              <w:tabs>
                <w:tab w:val="left" w:pos="180"/>
                <w:tab w:val="right" w:pos="3060"/>
                <w:tab w:val="right" w:pos="4150"/>
              </w:tabs>
              <w:jc w:val="right"/>
              <w:rPr>
                <w:rFonts w:ascii="Arial" w:hAnsi="Arial" w:cs="Arial"/>
                <w:snapToGrid w:val="0"/>
                <w:color w:val="000000"/>
                <w:sz w:val="24"/>
              </w:rPr>
            </w:pPr>
            <w:r w:rsidRPr="00580AC6">
              <w:rPr>
                <w:rFonts w:ascii="Arial" w:hAnsi="Arial" w:cs="Arial"/>
                <w:snapToGrid w:val="0"/>
                <w:color w:val="000000"/>
                <w:sz w:val="24"/>
              </w:rPr>
              <w:t>1,1</w:t>
            </w:r>
            <w:r w:rsidR="00842F9F" w:rsidRPr="00580AC6">
              <w:rPr>
                <w:rFonts w:ascii="Arial" w:hAnsi="Arial" w:cs="Arial"/>
                <w:snapToGrid w:val="0"/>
                <w:color w:val="000000"/>
                <w:sz w:val="24"/>
              </w:rPr>
              <w:t>13</w:t>
            </w:r>
          </w:p>
        </w:tc>
        <w:tc>
          <w:tcPr>
            <w:tcW w:w="1920" w:type="dxa"/>
          </w:tcPr>
          <w:p w:rsidR="001B5A2A" w:rsidRPr="00580AC6" w:rsidRDefault="006C0F8E" w:rsidP="00A90597">
            <w:pPr>
              <w:widowControl w:val="0"/>
              <w:tabs>
                <w:tab w:val="left" w:pos="180"/>
                <w:tab w:val="right" w:pos="3060"/>
                <w:tab w:val="right" w:pos="4150"/>
              </w:tabs>
              <w:jc w:val="right"/>
              <w:rPr>
                <w:rFonts w:ascii="Arial" w:hAnsi="Arial" w:cs="Arial"/>
                <w:snapToGrid w:val="0"/>
                <w:color w:val="000000"/>
                <w:sz w:val="24"/>
              </w:rPr>
            </w:pPr>
            <w:r w:rsidRPr="00580AC6">
              <w:rPr>
                <w:rFonts w:ascii="Arial" w:hAnsi="Arial" w:cs="Arial"/>
                <w:snapToGrid w:val="0"/>
                <w:color w:val="000000"/>
                <w:sz w:val="24"/>
              </w:rPr>
              <w:t>266</w:t>
            </w:r>
          </w:p>
        </w:tc>
      </w:tr>
      <w:tr w:rsidR="00A90597" w:rsidRPr="00580AC6" w:rsidTr="00A90597">
        <w:tc>
          <w:tcPr>
            <w:tcW w:w="4188" w:type="dxa"/>
          </w:tcPr>
          <w:p w:rsidR="00A90597" w:rsidRPr="00580AC6" w:rsidRDefault="00A90597" w:rsidP="00A90597">
            <w:pPr>
              <w:widowControl w:val="0"/>
              <w:tabs>
                <w:tab w:val="left" w:pos="180"/>
                <w:tab w:val="right" w:pos="3060"/>
                <w:tab w:val="right" w:pos="4150"/>
              </w:tabs>
              <w:rPr>
                <w:rFonts w:ascii="Arial" w:hAnsi="Arial" w:cs="Arial"/>
                <w:snapToGrid w:val="0"/>
                <w:color w:val="000000"/>
                <w:sz w:val="24"/>
                <w:szCs w:val="24"/>
              </w:rPr>
            </w:pPr>
          </w:p>
        </w:tc>
        <w:tc>
          <w:tcPr>
            <w:tcW w:w="1920" w:type="dxa"/>
            <w:tcBorders>
              <w:bottom w:val="single" w:sz="4" w:space="0" w:color="auto"/>
            </w:tcBorders>
          </w:tcPr>
          <w:p w:rsidR="00A90597" w:rsidRPr="00580AC6" w:rsidRDefault="00A90597" w:rsidP="00A90597">
            <w:pPr>
              <w:widowControl w:val="0"/>
              <w:tabs>
                <w:tab w:val="left" w:pos="180"/>
                <w:tab w:val="right" w:pos="3060"/>
                <w:tab w:val="right" w:pos="4150"/>
              </w:tabs>
              <w:jc w:val="right"/>
              <w:rPr>
                <w:rFonts w:ascii="Arial" w:hAnsi="Arial" w:cs="Arial"/>
                <w:snapToGrid w:val="0"/>
                <w:color w:val="000000"/>
                <w:sz w:val="14"/>
                <w:szCs w:val="14"/>
              </w:rPr>
            </w:pPr>
          </w:p>
        </w:tc>
        <w:tc>
          <w:tcPr>
            <w:tcW w:w="1920" w:type="dxa"/>
            <w:tcBorders>
              <w:bottom w:val="single" w:sz="4" w:space="0" w:color="auto"/>
            </w:tcBorders>
          </w:tcPr>
          <w:p w:rsidR="00A90597" w:rsidRPr="00580AC6" w:rsidRDefault="00A90597" w:rsidP="00A90597">
            <w:pPr>
              <w:widowControl w:val="0"/>
              <w:tabs>
                <w:tab w:val="left" w:pos="180"/>
                <w:tab w:val="right" w:pos="3060"/>
                <w:tab w:val="right" w:pos="4150"/>
              </w:tabs>
              <w:jc w:val="right"/>
              <w:rPr>
                <w:rFonts w:ascii="Arial" w:hAnsi="Arial" w:cs="Arial"/>
                <w:snapToGrid w:val="0"/>
                <w:color w:val="000000"/>
                <w:sz w:val="14"/>
                <w:szCs w:val="14"/>
              </w:rPr>
            </w:pPr>
          </w:p>
        </w:tc>
      </w:tr>
      <w:tr w:rsidR="00A90597" w:rsidRPr="00EE6176" w:rsidTr="00A90597">
        <w:tc>
          <w:tcPr>
            <w:tcW w:w="4188" w:type="dxa"/>
          </w:tcPr>
          <w:p w:rsidR="00A90597" w:rsidRPr="00580AC6" w:rsidRDefault="00A90597" w:rsidP="00A90597">
            <w:pPr>
              <w:widowControl w:val="0"/>
              <w:tabs>
                <w:tab w:val="left" w:pos="180"/>
                <w:tab w:val="right" w:pos="3060"/>
                <w:tab w:val="right" w:pos="4150"/>
              </w:tabs>
              <w:rPr>
                <w:rFonts w:ascii="Arial" w:hAnsi="Arial" w:cs="Arial"/>
                <w:b/>
                <w:snapToGrid w:val="0"/>
                <w:color w:val="000000"/>
                <w:sz w:val="24"/>
              </w:rPr>
            </w:pPr>
            <w:r w:rsidRPr="00580AC6">
              <w:rPr>
                <w:rFonts w:ascii="Arial" w:hAnsi="Arial" w:cs="Arial"/>
                <w:b/>
                <w:snapToGrid w:val="0"/>
                <w:color w:val="000000"/>
                <w:sz w:val="24"/>
              </w:rPr>
              <w:t>Total</w:t>
            </w:r>
          </w:p>
        </w:tc>
        <w:tc>
          <w:tcPr>
            <w:tcW w:w="1920" w:type="dxa"/>
            <w:tcBorders>
              <w:top w:val="single" w:sz="4" w:space="0" w:color="auto"/>
            </w:tcBorders>
          </w:tcPr>
          <w:p w:rsidR="00A90597" w:rsidRPr="00580AC6" w:rsidRDefault="00720C55" w:rsidP="00A90597">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89,</w:t>
            </w:r>
            <w:r w:rsidR="00842F9F" w:rsidRPr="00580AC6">
              <w:rPr>
                <w:rFonts w:ascii="Arial" w:hAnsi="Arial" w:cs="Arial"/>
                <w:b/>
                <w:snapToGrid w:val="0"/>
                <w:color w:val="000000"/>
                <w:sz w:val="24"/>
              </w:rPr>
              <w:t>093</w:t>
            </w:r>
          </w:p>
        </w:tc>
        <w:tc>
          <w:tcPr>
            <w:tcW w:w="1920" w:type="dxa"/>
            <w:tcBorders>
              <w:top w:val="single" w:sz="4" w:space="0" w:color="auto"/>
            </w:tcBorders>
          </w:tcPr>
          <w:p w:rsidR="00A90597" w:rsidRPr="00580AC6" w:rsidRDefault="006C0F8E" w:rsidP="00A90597">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64,979</w:t>
            </w:r>
          </w:p>
        </w:tc>
      </w:tr>
    </w:tbl>
    <w:p w:rsidR="0004555A" w:rsidRPr="00E662A9" w:rsidRDefault="0004555A" w:rsidP="00232648">
      <w:pPr>
        <w:widowControl w:val="0"/>
        <w:tabs>
          <w:tab w:val="right" w:pos="7200"/>
        </w:tabs>
        <w:rPr>
          <w:rFonts w:ascii="Arial" w:hAnsi="Arial" w:cs="Arial"/>
          <w:snapToGrid w:val="0"/>
          <w:color w:val="000000"/>
          <w:sz w:val="24"/>
        </w:rPr>
      </w:pPr>
    </w:p>
    <w:p w:rsidR="0033119D" w:rsidRDefault="00105357" w:rsidP="00622B89">
      <w:pPr>
        <w:widowControl w:val="0"/>
        <w:tabs>
          <w:tab w:val="right" w:pos="7200"/>
        </w:tabs>
        <w:rPr>
          <w:rFonts w:ascii="Arial" w:hAnsi="Arial" w:cs="Arial"/>
          <w:snapToGrid w:val="0"/>
          <w:color w:val="000000"/>
          <w:sz w:val="24"/>
        </w:rPr>
      </w:pPr>
      <w:r w:rsidRPr="00EF7993">
        <w:rPr>
          <w:rFonts w:ascii="Arial" w:hAnsi="Arial" w:cs="Arial"/>
          <w:snapToGrid w:val="0"/>
          <w:color w:val="000000"/>
          <w:sz w:val="24"/>
        </w:rPr>
        <w:t xml:space="preserve">These commitments relate to outstanding call payments due on unquoted limited partnership funds held in the private equity and infrastructure parts of the portfolio. The amounts ‘called’ </w:t>
      </w:r>
      <w:r w:rsidR="00983E8E" w:rsidRPr="00EF7993">
        <w:rPr>
          <w:rFonts w:ascii="Arial" w:hAnsi="Arial" w:cs="Arial"/>
          <w:snapToGrid w:val="0"/>
          <w:color w:val="000000"/>
          <w:sz w:val="24"/>
        </w:rPr>
        <w:t>by these funds are irregular in both size and timing over a period of between four and six years from the date of each original commitment.</w:t>
      </w:r>
    </w:p>
    <w:p w:rsidR="00122895" w:rsidRDefault="00122895">
      <w:pPr>
        <w:rPr>
          <w:rFonts w:ascii="Arial" w:hAnsi="Arial" w:cs="Arial"/>
          <w:b/>
          <w:snapToGrid w:val="0"/>
          <w:color w:val="000000"/>
          <w:sz w:val="24"/>
        </w:rPr>
      </w:pPr>
      <w:r>
        <w:rPr>
          <w:rFonts w:ascii="Arial" w:hAnsi="Arial" w:cs="Arial"/>
          <w:b/>
          <w:snapToGrid w:val="0"/>
          <w:color w:val="000000"/>
          <w:sz w:val="24"/>
        </w:rPr>
        <w:br w:type="page"/>
      </w:r>
    </w:p>
    <w:p w:rsidR="0008555C" w:rsidRDefault="00F666FC" w:rsidP="00A87DEE">
      <w:pPr>
        <w:widowControl w:val="0"/>
        <w:tabs>
          <w:tab w:val="right" w:pos="7200"/>
        </w:tabs>
        <w:rPr>
          <w:rFonts w:ascii="Arial" w:hAnsi="Arial" w:cs="Arial"/>
          <w:b/>
          <w:snapToGrid w:val="0"/>
          <w:color w:val="000000"/>
          <w:sz w:val="24"/>
        </w:rPr>
      </w:pPr>
      <w:r>
        <w:rPr>
          <w:rFonts w:ascii="Arial" w:hAnsi="Arial" w:cs="Arial"/>
          <w:b/>
          <w:snapToGrid w:val="0"/>
          <w:color w:val="000000"/>
          <w:sz w:val="24"/>
        </w:rPr>
        <w:lastRenderedPageBreak/>
        <w:t>26</w:t>
      </w:r>
      <w:r w:rsidR="00774EEE" w:rsidRPr="00BD3AD4">
        <w:rPr>
          <w:rFonts w:ascii="Arial" w:hAnsi="Arial" w:cs="Arial"/>
          <w:b/>
          <w:snapToGrid w:val="0"/>
          <w:color w:val="000000"/>
          <w:sz w:val="24"/>
        </w:rPr>
        <w:t>.  Contingent assets</w:t>
      </w:r>
    </w:p>
    <w:p w:rsidR="00A87DEE" w:rsidRPr="00BD3AD4" w:rsidRDefault="00A87DEE" w:rsidP="00A87DEE">
      <w:pPr>
        <w:widowControl w:val="0"/>
        <w:tabs>
          <w:tab w:val="right" w:pos="7200"/>
        </w:tabs>
        <w:rPr>
          <w:rFonts w:ascii="Arial" w:hAnsi="Arial" w:cs="Arial"/>
          <w:snapToGrid w:val="0"/>
          <w:color w:val="000000"/>
          <w:sz w:val="24"/>
        </w:rPr>
      </w:pPr>
    </w:p>
    <w:p w:rsidR="00A87DEE" w:rsidRDefault="00932130" w:rsidP="00925ED9">
      <w:pPr>
        <w:widowControl w:val="0"/>
        <w:tabs>
          <w:tab w:val="right" w:pos="7200"/>
        </w:tabs>
        <w:rPr>
          <w:rFonts w:ascii="Arial" w:hAnsi="Arial" w:cs="Arial"/>
          <w:snapToGrid w:val="0"/>
          <w:color w:val="000000"/>
          <w:sz w:val="24"/>
        </w:rPr>
      </w:pPr>
      <w:r>
        <w:rPr>
          <w:rFonts w:ascii="Arial" w:hAnsi="Arial" w:cs="Arial"/>
          <w:snapToGrid w:val="0"/>
          <w:color w:val="000000"/>
          <w:sz w:val="24"/>
        </w:rPr>
        <w:t xml:space="preserve">Five </w:t>
      </w:r>
      <w:r w:rsidR="000B7C5E">
        <w:rPr>
          <w:rFonts w:ascii="Arial" w:hAnsi="Arial" w:cs="Arial"/>
          <w:snapToGrid w:val="0"/>
          <w:color w:val="000000"/>
          <w:sz w:val="24"/>
        </w:rPr>
        <w:t xml:space="preserve">non-associated </w:t>
      </w:r>
      <w:r>
        <w:rPr>
          <w:rFonts w:ascii="Arial" w:hAnsi="Arial" w:cs="Arial"/>
          <w:snapToGrid w:val="0"/>
          <w:color w:val="000000"/>
          <w:sz w:val="24"/>
        </w:rPr>
        <w:t>admitted body employers in the Brent Pension Fund</w:t>
      </w:r>
      <w:r w:rsidR="00983E8E" w:rsidRPr="00BD3AD4">
        <w:rPr>
          <w:rFonts w:ascii="Arial" w:hAnsi="Arial" w:cs="Arial"/>
          <w:snapToGrid w:val="0"/>
          <w:color w:val="000000"/>
          <w:sz w:val="24"/>
        </w:rPr>
        <w:t xml:space="preserve"> </w:t>
      </w:r>
      <w:r w:rsidR="00AC2E1F">
        <w:rPr>
          <w:rFonts w:ascii="Arial" w:hAnsi="Arial" w:cs="Arial"/>
          <w:snapToGrid w:val="0"/>
          <w:color w:val="000000"/>
          <w:sz w:val="24"/>
        </w:rPr>
        <w:t>h</w:t>
      </w:r>
      <w:r w:rsidR="008641D8">
        <w:rPr>
          <w:rFonts w:ascii="Arial" w:hAnsi="Arial" w:cs="Arial"/>
          <w:snapToGrid w:val="0"/>
          <w:color w:val="000000"/>
          <w:sz w:val="24"/>
        </w:rPr>
        <w:t>o</w:t>
      </w:r>
      <w:r w:rsidR="00AC2E1F">
        <w:rPr>
          <w:rFonts w:ascii="Arial" w:hAnsi="Arial" w:cs="Arial"/>
          <w:snapToGrid w:val="0"/>
          <w:color w:val="000000"/>
          <w:sz w:val="24"/>
        </w:rPr>
        <w:t>ld</w:t>
      </w:r>
      <w:r w:rsidR="00E85887">
        <w:rPr>
          <w:rFonts w:ascii="Arial" w:hAnsi="Arial" w:cs="Arial"/>
          <w:snapToGrid w:val="0"/>
          <w:color w:val="000000"/>
          <w:sz w:val="24"/>
        </w:rPr>
        <w:t xml:space="preserve"> </w:t>
      </w:r>
      <w:r w:rsidR="008641D8">
        <w:rPr>
          <w:rFonts w:ascii="Arial" w:hAnsi="Arial" w:cs="Arial"/>
          <w:snapToGrid w:val="0"/>
          <w:color w:val="000000"/>
          <w:sz w:val="24"/>
        </w:rPr>
        <w:t>insurance bonds to guard against the possibility of being unable to meet their pension obligations. These bonds are drawn in favour of the Pension Fund and payment will only be triggered in the event of employer default.</w:t>
      </w:r>
    </w:p>
    <w:p w:rsidR="00B7354F" w:rsidRDefault="00B7354F" w:rsidP="00925ED9">
      <w:pPr>
        <w:widowControl w:val="0"/>
        <w:tabs>
          <w:tab w:val="right" w:pos="7200"/>
        </w:tabs>
        <w:rPr>
          <w:rFonts w:ascii="Arial" w:hAnsi="Arial" w:cs="Arial"/>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1920"/>
        <w:gridCol w:w="1920"/>
      </w:tblGrid>
      <w:tr w:rsidR="002E77EE" w:rsidRPr="00580AC6" w:rsidTr="002E77EE">
        <w:tc>
          <w:tcPr>
            <w:tcW w:w="4188" w:type="dxa"/>
          </w:tcPr>
          <w:p w:rsidR="002E77EE" w:rsidRPr="00580AC6" w:rsidRDefault="002E77EE" w:rsidP="002E77EE">
            <w:pPr>
              <w:widowControl w:val="0"/>
              <w:tabs>
                <w:tab w:val="left" w:pos="180"/>
                <w:tab w:val="right" w:pos="3060"/>
                <w:tab w:val="right" w:pos="4150"/>
              </w:tabs>
              <w:rPr>
                <w:rFonts w:ascii="Arial" w:hAnsi="Arial" w:cs="Arial"/>
                <w:snapToGrid w:val="0"/>
                <w:color w:val="000000"/>
                <w:sz w:val="24"/>
              </w:rPr>
            </w:pPr>
          </w:p>
        </w:tc>
        <w:tc>
          <w:tcPr>
            <w:tcW w:w="1920" w:type="dxa"/>
          </w:tcPr>
          <w:p w:rsidR="002E77EE" w:rsidRPr="00580AC6" w:rsidRDefault="002E77EE" w:rsidP="002E77EE">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31 March 2012</w:t>
            </w:r>
          </w:p>
        </w:tc>
        <w:tc>
          <w:tcPr>
            <w:tcW w:w="1920" w:type="dxa"/>
          </w:tcPr>
          <w:p w:rsidR="002E77EE" w:rsidRPr="00580AC6" w:rsidRDefault="002E77EE" w:rsidP="002E77EE">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31 March 2013</w:t>
            </w:r>
          </w:p>
        </w:tc>
      </w:tr>
      <w:tr w:rsidR="002E77EE" w:rsidRPr="00580AC6" w:rsidTr="002E77EE">
        <w:tc>
          <w:tcPr>
            <w:tcW w:w="4188" w:type="dxa"/>
          </w:tcPr>
          <w:p w:rsidR="002E77EE" w:rsidRPr="00580AC6" w:rsidRDefault="002E77EE" w:rsidP="002E77EE">
            <w:pPr>
              <w:widowControl w:val="0"/>
              <w:tabs>
                <w:tab w:val="left" w:pos="180"/>
                <w:tab w:val="right" w:pos="3060"/>
                <w:tab w:val="right" w:pos="4150"/>
              </w:tabs>
              <w:rPr>
                <w:rFonts w:ascii="Arial" w:hAnsi="Arial" w:cs="Arial"/>
                <w:snapToGrid w:val="0"/>
                <w:color w:val="000000"/>
                <w:sz w:val="24"/>
              </w:rPr>
            </w:pPr>
          </w:p>
        </w:tc>
        <w:tc>
          <w:tcPr>
            <w:tcW w:w="1920" w:type="dxa"/>
          </w:tcPr>
          <w:p w:rsidR="002E77EE" w:rsidRPr="00580AC6" w:rsidRDefault="002E77EE" w:rsidP="002E77EE">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£’000</w:t>
            </w:r>
          </w:p>
        </w:tc>
        <w:tc>
          <w:tcPr>
            <w:tcW w:w="1920" w:type="dxa"/>
          </w:tcPr>
          <w:p w:rsidR="002E77EE" w:rsidRPr="00580AC6" w:rsidRDefault="002E77EE" w:rsidP="002E77EE">
            <w:pPr>
              <w:widowControl w:val="0"/>
              <w:tabs>
                <w:tab w:val="left" w:pos="180"/>
                <w:tab w:val="right" w:pos="3060"/>
                <w:tab w:val="right" w:pos="4150"/>
              </w:tabs>
              <w:jc w:val="right"/>
              <w:rPr>
                <w:rFonts w:ascii="Arial" w:hAnsi="Arial" w:cs="Arial"/>
                <w:b/>
                <w:snapToGrid w:val="0"/>
                <w:color w:val="000000"/>
                <w:sz w:val="24"/>
              </w:rPr>
            </w:pPr>
            <w:r w:rsidRPr="00580AC6">
              <w:rPr>
                <w:rFonts w:ascii="Arial" w:hAnsi="Arial" w:cs="Arial"/>
                <w:b/>
                <w:snapToGrid w:val="0"/>
                <w:color w:val="000000"/>
                <w:sz w:val="24"/>
              </w:rPr>
              <w:t>£’000</w:t>
            </w:r>
          </w:p>
        </w:tc>
      </w:tr>
      <w:tr w:rsidR="002E77EE" w:rsidRPr="00580AC6" w:rsidTr="002E77EE">
        <w:tc>
          <w:tcPr>
            <w:tcW w:w="4188" w:type="dxa"/>
          </w:tcPr>
          <w:p w:rsidR="002E77EE" w:rsidRPr="00580AC6" w:rsidRDefault="002E77EE" w:rsidP="002E77EE">
            <w:pPr>
              <w:widowControl w:val="0"/>
              <w:tabs>
                <w:tab w:val="left" w:pos="180"/>
                <w:tab w:val="right" w:pos="3060"/>
                <w:tab w:val="right" w:pos="4150"/>
              </w:tabs>
              <w:rPr>
                <w:rFonts w:ascii="Arial" w:hAnsi="Arial" w:cs="Arial"/>
                <w:b/>
                <w:snapToGrid w:val="0"/>
                <w:color w:val="000000"/>
                <w:sz w:val="24"/>
              </w:rPr>
            </w:pPr>
          </w:p>
        </w:tc>
        <w:tc>
          <w:tcPr>
            <w:tcW w:w="1920" w:type="dxa"/>
          </w:tcPr>
          <w:p w:rsidR="002E77EE" w:rsidRPr="00580AC6" w:rsidRDefault="002E77EE" w:rsidP="002E77EE">
            <w:pPr>
              <w:widowControl w:val="0"/>
              <w:tabs>
                <w:tab w:val="left" w:pos="180"/>
                <w:tab w:val="right" w:pos="3060"/>
                <w:tab w:val="right" w:pos="4150"/>
              </w:tabs>
              <w:jc w:val="right"/>
              <w:rPr>
                <w:rFonts w:ascii="Arial" w:hAnsi="Arial" w:cs="Arial"/>
                <w:snapToGrid w:val="0"/>
                <w:color w:val="000000"/>
                <w:sz w:val="24"/>
              </w:rPr>
            </w:pPr>
          </w:p>
        </w:tc>
        <w:tc>
          <w:tcPr>
            <w:tcW w:w="1920" w:type="dxa"/>
          </w:tcPr>
          <w:p w:rsidR="002E77EE" w:rsidRPr="00580AC6" w:rsidRDefault="002E77EE" w:rsidP="002E77EE">
            <w:pPr>
              <w:widowControl w:val="0"/>
              <w:tabs>
                <w:tab w:val="left" w:pos="180"/>
                <w:tab w:val="right" w:pos="3060"/>
                <w:tab w:val="right" w:pos="4150"/>
              </w:tabs>
              <w:jc w:val="right"/>
              <w:rPr>
                <w:rFonts w:ascii="Arial" w:hAnsi="Arial" w:cs="Arial"/>
                <w:snapToGrid w:val="0"/>
                <w:color w:val="000000"/>
                <w:sz w:val="24"/>
              </w:rPr>
            </w:pPr>
          </w:p>
        </w:tc>
      </w:tr>
      <w:tr w:rsidR="002E77EE" w:rsidRPr="00580AC6" w:rsidTr="002E77EE">
        <w:tc>
          <w:tcPr>
            <w:tcW w:w="4188" w:type="dxa"/>
          </w:tcPr>
          <w:p w:rsidR="002E77EE" w:rsidRPr="00580AC6" w:rsidRDefault="0073213B" w:rsidP="002E77EE">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Wettons (Estate Cleaning &amp; North Grounds Maintenance)</w:t>
            </w:r>
          </w:p>
        </w:tc>
        <w:tc>
          <w:tcPr>
            <w:tcW w:w="1920" w:type="dxa"/>
          </w:tcPr>
          <w:p w:rsidR="002E77EE" w:rsidRPr="000D51E2" w:rsidRDefault="0073213B"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158</w:t>
            </w:r>
          </w:p>
        </w:tc>
        <w:tc>
          <w:tcPr>
            <w:tcW w:w="1920" w:type="dxa"/>
          </w:tcPr>
          <w:p w:rsidR="002E77EE" w:rsidRPr="000D51E2" w:rsidRDefault="0073213B"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158</w:t>
            </w:r>
          </w:p>
        </w:tc>
      </w:tr>
      <w:tr w:rsidR="002E77EE" w:rsidRPr="00580AC6" w:rsidTr="002E77EE">
        <w:tc>
          <w:tcPr>
            <w:tcW w:w="4188" w:type="dxa"/>
          </w:tcPr>
          <w:p w:rsidR="002E77EE" w:rsidRPr="00580AC6" w:rsidRDefault="0073213B" w:rsidP="002E77EE">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Wettons (South Grounds Maintenance)</w:t>
            </w:r>
          </w:p>
        </w:tc>
        <w:tc>
          <w:tcPr>
            <w:tcW w:w="1920" w:type="dxa"/>
          </w:tcPr>
          <w:p w:rsidR="002E77EE" w:rsidRPr="000D51E2" w:rsidRDefault="0073213B"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145</w:t>
            </w:r>
          </w:p>
        </w:tc>
        <w:tc>
          <w:tcPr>
            <w:tcW w:w="1920" w:type="dxa"/>
          </w:tcPr>
          <w:p w:rsidR="002E77EE" w:rsidRPr="000D51E2" w:rsidRDefault="0073213B"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145</w:t>
            </w:r>
          </w:p>
        </w:tc>
      </w:tr>
      <w:tr w:rsidR="0073213B" w:rsidRPr="00580AC6" w:rsidTr="002E77EE">
        <w:tc>
          <w:tcPr>
            <w:tcW w:w="4188" w:type="dxa"/>
          </w:tcPr>
          <w:p w:rsidR="0073213B" w:rsidRDefault="0089511B" w:rsidP="002E77EE">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Capita</w:t>
            </w:r>
            <w:r w:rsidR="00864127">
              <w:rPr>
                <w:rFonts w:ascii="Arial" w:hAnsi="Arial" w:cs="Arial"/>
                <w:snapToGrid w:val="0"/>
                <w:color w:val="000000"/>
                <w:sz w:val="24"/>
              </w:rPr>
              <w:t xml:space="preserve"> Business Services Limited</w:t>
            </w:r>
          </w:p>
        </w:tc>
        <w:tc>
          <w:tcPr>
            <w:tcW w:w="1920" w:type="dxa"/>
          </w:tcPr>
          <w:p w:rsidR="0073213B" w:rsidRPr="000D51E2" w:rsidRDefault="0089511B"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123</w:t>
            </w:r>
          </w:p>
        </w:tc>
        <w:tc>
          <w:tcPr>
            <w:tcW w:w="1920" w:type="dxa"/>
          </w:tcPr>
          <w:p w:rsidR="0073213B" w:rsidRPr="000D51E2" w:rsidRDefault="0089511B"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123</w:t>
            </w:r>
          </w:p>
        </w:tc>
      </w:tr>
      <w:tr w:rsidR="0073213B" w:rsidRPr="00580AC6" w:rsidTr="002E77EE">
        <w:tc>
          <w:tcPr>
            <w:tcW w:w="4188" w:type="dxa"/>
          </w:tcPr>
          <w:p w:rsidR="0073213B" w:rsidRDefault="0089511B" w:rsidP="002E77EE">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Willow Housing &amp; Care L</w:t>
            </w:r>
            <w:r w:rsidR="00864127">
              <w:rPr>
                <w:rFonts w:ascii="Arial" w:hAnsi="Arial" w:cs="Arial"/>
                <w:snapToGrid w:val="0"/>
                <w:color w:val="000000"/>
                <w:sz w:val="24"/>
              </w:rPr>
              <w:t>imited</w:t>
            </w:r>
          </w:p>
        </w:tc>
        <w:tc>
          <w:tcPr>
            <w:tcW w:w="1920" w:type="dxa"/>
          </w:tcPr>
          <w:p w:rsidR="0073213B" w:rsidRPr="000D51E2" w:rsidRDefault="00D821BC"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45</w:t>
            </w:r>
          </w:p>
        </w:tc>
        <w:tc>
          <w:tcPr>
            <w:tcW w:w="1920" w:type="dxa"/>
          </w:tcPr>
          <w:p w:rsidR="0073213B" w:rsidRPr="000D51E2" w:rsidRDefault="00D821BC"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45</w:t>
            </w:r>
          </w:p>
        </w:tc>
      </w:tr>
      <w:tr w:rsidR="002E77EE" w:rsidRPr="00580AC6" w:rsidTr="002E77EE">
        <w:tc>
          <w:tcPr>
            <w:tcW w:w="4188" w:type="dxa"/>
          </w:tcPr>
          <w:p w:rsidR="002E77EE" w:rsidRPr="00580AC6" w:rsidRDefault="00D821BC" w:rsidP="002E77EE">
            <w:pPr>
              <w:widowControl w:val="0"/>
              <w:tabs>
                <w:tab w:val="left" w:pos="180"/>
                <w:tab w:val="right" w:pos="3060"/>
                <w:tab w:val="right" w:pos="4150"/>
              </w:tabs>
              <w:rPr>
                <w:rFonts w:ascii="Arial" w:hAnsi="Arial" w:cs="Arial"/>
                <w:snapToGrid w:val="0"/>
                <w:color w:val="000000"/>
                <w:sz w:val="24"/>
              </w:rPr>
            </w:pPr>
            <w:r>
              <w:rPr>
                <w:rFonts w:ascii="Arial" w:hAnsi="Arial" w:cs="Arial"/>
                <w:snapToGrid w:val="0"/>
                <w:color w:val="000000"/>
                <w:sz w:val="24"/>
              </w:rPr>
              <w:t>Xerox (UK) L</w:t>
            </w:r>
            <w:r w:rsidR="00864127">
              <w:rPr>
                <w:rFonts w:ascii="Arial" w:hAnsi="Arial" w:cs="Arial"/>
                <w:snapToGrid w:val="0"/>
                <w:color w:val="000000"/>
                <w:sz w:val="24"/>
              </w:rPr>
              <w:t>imited</w:t>
            </w:r>
          </w:p>
        </w:tc>
        <w:tc>
          <w:tcPr>
            <w:tcW w:w="1920" w:type="dxa"/>
          </w:tcPr>
          <w:p w:rsidR="002E77EE" w:rsidRPr="000D51E2" w:rsidRDefault="00D821BC"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0</w:t>
            </w:r>
          </w:p>
        </w:tc>
        <w:tc>
          <w:tcPr>
            <w:tcW w:w="1920" w:type="dxa"/>
          </w:tcPr>
          <w:p w:rsidR="002E77EE" w:rsidRPr="000D51E2" w:rsidRDefault="00D821BC" w:rsidP="002E77EE">
            <w:pPr>
              <w:widowControl w:val="0"/>
              <w:tabs>
                <w:tab w:val="left" w:pos="180"/>
                <w:tab w:val="right" w:pos="3060"/>
                <w:tab w:val="right" w:pos="4150"/>
              </w:tabs>
              <w:jc w:val="right"/>
              <w:rPr>
                <w:rFonts w:ascii="Arial" w:hAnsi="Arial" w:cs="Arial"/>
                <w:snapToGrid w:val="0"/>
                <w:color w:val="000000"/>
                <w:sz w:val="24"/>
              </w:rPr>
            </w:pPr>
            <w:r w:rsidRPr="000D51E2">
              <w:rPr>
                <w:rFonts w:ascii="Arial" w:hAnsi="Arial" w:cs="Arial"/>
                <w:snapToGrid w:val="0"/>
                <w:color w:val="000000"/>
                <w:sz w:val="24"/>
              </w:rPr>
              <w:t>29</w:t>
            </w:r>
          </w:p>
        </w:tc>
      </w:tr>
      <w:tr w:rsidR="002E77EE" w:rsidRPr="00580AC6" w:rsidTr="002E77EE">
        <w:tc>
          <w:tcPr>
            <w:tcW w:w="4188" w:type="dxa"/>
          </w:tcPr>
          <w:p w:rsidR="002E77EE" w:rsidRPr="00580AC6" w:rsidRDefault="002E77EE" w:rsidP="002E77EE">
            <w:pPr>
              <w:widowControl w:val="0"/>
              <w:tabs>
                <w:tab w:val="left" w:pos="180"/>
                <w:tab w:val="right" w:pos="3060"/>
                <w:tab w:val="right" w:pos="4150"/>
              </w:tabs>
              <w:rPr>
                <w:rFonts w:ascii="Arial" w:hAnsi="Arial" w:cs="Arial"/>
                <w:snapToGrid w:val="0"/>
                <w:color w:val="000000"/>
                <w:sz w:val="24"/>
                <w:szCs w:val="24"/>
              </w:rPr>
            </w:pPr>
          </w:p>
        </w:tc>
        <w:tc>
          <w:tcPr>
            <w:tcW w:w="1920" w:type="dxa"/>
            <w:tcBorders>
              <w:bottom w:val="single" w:sz="4" w:space="0" w:color="auto"/>
            </w:tcBorders>
          </w:tcPr>
          <w:p w:rsidR="002E77EE" w:rsidRPr="000D51E2" w:rsidRDefault="002E77EE" w:rsidP="002E77EE">
            <w:pPr>
              <w:widowControl w:val="0"/>
              <w:tabs>
                <w:tab w:val="left" w:pos="180"/>
                <w:tab w:val="right" w:pos="3060"/>
                <w:tab w:val="right" w:pos="4150"/>
              </w:tabs>
              <w:jc w:val="right"/>
              <w:rPr>
                <w:rFonts w:ascii="Arial" w:hAnsi="Arial" w:cs="Arial"/>
                <w:snapToGrid w:val="0"/>
                <w:color w:val="000000"/>
                <w:sz w:val="14"/>
                <w:szCs w:val="14"/>
              </w:rPr>
            </w:pPr>
          </w:p>
        </w:tc>
        <w:tc>
          <w:tcPr>
            <w:tcW w:w="1920" w:type="dxa"/>
            <w:tcBorders>
              <w:bottom w:val="single" w:sz="4" w:space="0" w:color="auto"/>
            </w:tcBorders>
          </w:tcPr>
          <w:p w:rsidR="002E77EE" w:rsidRPr="000D51E2" w:rsidRDefault="002E77EE" w:rsidP="002E77EE">
            <w:pPr>
              <w:widowControl w:val="0"/>
              <w:tabs>
                <w:tab w:val="left" w:pos="180"/>
                <w:tab w:val="right" w:pos="3060"/>
                <w:tab w:val="right" w:pos="4150"/>
              </w:tabs>
              <w:jc w:val="right"/>
              <w:rPr>
                <w:rFonts w:ascii="Arial" w:hAnsi="Arial" w:cs="Arial"/>
                <w:snapToGrid w:val="0"/>
                <w:color w:val="000000"/>
                <w:sz w:val="14"/>
                <w:szCs w:val="14"/>
              </w:rPr>
            </w:pPr>
          </w:p>
        </w:tc>
      </w:tr>
      <w:tr w:rsidR="002E77EE" w:rsidRPr="00EE6176" w:rsidTr="002E77EE">
        <w:tc>
          <w:tcPr>
            <w:tcW w:w="4188" w:type="dxa"/>
          </w:tcPr>
          <w:p w:rsidR="002E77EE" w:rsidRPr="00580AC6" w:rsidRDefault="002E77EE" w:rsidP="002E77EE">
            <w:pPr>
              <w:widowControl w:val="0"/>
              <w:tabs>
                <w:tab w:val="left" w:pos="180"/>
                <w:tab w:val="right" w:pos="3060"/>
                <w:tab w:val="right" w:pos="4150"/>
              </w:tabs>
              <w:rPr>
                <w:rFonts w:ascii="Arial" w:hAnsi="Arial" w:cs="Arial"/>
                <w:b/>
                <w:snapToGrid w:val="0"/>
                <w:color w:val="000000"/>
                <w:sz w:val="24"/>
              </w:rPr>
            </w:pPr>
            <w:r w:rsidRPr="00580AC6">
              <w:rPr>
                <w:rFonts w:ascii="Arial" w:hAnsi="Arial" w:cs="Arial"/>
                <w:b/>
                <w:snapToGrid w:val="0"/>
                <w:color w:val="000000"/>
                <w:sz w:val="24"/>
              </w:rPr>
              <w:t>Total</w:t>
            </w:r>
          </w:p>
        </w:tc>
        <w:tc>
          <w:tcPr>
            <w:tcW w:w="1920" w:type="dxa"/>
            <w:tcBorders>
              <w:top w:val="single" w:sz="4" w:space="0" w:color="auto"/>
            </w:tcBorders>
          </w:tcPr>
          <w:p w:rsidR="002E77EE" w:rsidRPr="000D51E2" w:rsidRDefault="00D821BC" w:rsidP="002E77EE">
            <w:pPr>
              <w:widowControl w:val="0"/>
              <w:tabs>
                <w:tab w:val="left" w:pos="180"/>
                <w:tab w:val="right" w:pos="3060"/>
                <w:tab w:val="right" w:pos="4150"/>
              </w:tabs>
              <w:jc w:val="right"/>
              <w:rPr>
                <w:rFonts w:ascii="Arial" w:hAnsi="Arial" w:cs="Arial"/>
                <w:b/>
                <w:snapToGrid w:val="0"/>
                <w:color w:val="000000"/>
                <w:sz w:val="24"/>
              </w:rPr>
            </w:pPr>
            <w:r w:rsidRPr="000D51E2">
              <w:rPr>
                <w:rFonts w:ascii="Arial" w:hAnsi="Arial" w:cs="Arial"/>
                <w:b/>
                <w:snapToGrid w:val="0"/>
                <w:color w:val="000000"/>
                <w:sz w:val="24"/>
              </w:rPr>
              <w:t>471</w:t>
            </w:r>
          </w:p>
        </w:tc>
        <w:tc>
          <w:tcPr>
            <w:tcW w:w="1920" w:type="dxa"/>
            <w:tcBorders>
              <w:top w:val="single" w:sz="4" w:space="0" w:color="auto"/>
            </w:tcBorders>
          </w:tcPr>
          <w:p w:rsidR="002E77EE" w:rsidRPr="000D51E2" w:rsidRDefault="000D51E2" w:rsidP="002E77EE">
            <w:pPr>
              <w:widowControl w:val="0"/>
              <w:tabs>
                <w:tab w:val="left" w:pos="180"/>
                <w:tab w:val="right" w:pos="3060"/>
                <w:tab w:val="right" w:pos="4150"/>
              </w:tabs>
              <w:jc w:val="right"/>
              <w:rPr>
                <w:rFonts w:ascii="Arial" w:hAnsi="Arial" w:cs="Arial"/>
                <w:b/>
                <w:snapToGrid w:val="0"/>
                <w:color w:val="000000"/>
                <w:sz w:val="24"/>
              </w:rPr>
            </w:pPr>
            <w:r w:rsidRPr="000D51E2">
              <w:rPr>
                <w:rFonts w:ascii="Arial" w:hAnsi="Arial" w:cs="Arial"/>
                <w:b/>
                <w:snapToGrid w:val="0"/>
                <w:color w:val="000000"/>
                <w:sz w:val="24"/>
              </w:rPr>
              <w:t>500</w:t>
            </w:r>
          </w:p>
        </w:tc>
      </w:tr>
    </w:tbl>
    <w:p w:rsidR="00B7354F" w:rsidRDefault="00B7354F" w:rsidP="00694D6D">
      <w:pPr>
        <w:widowControl w:val="0"/>
        <w:tabs>
          <w:tab w:val="right" w:pos="7200"/>
        </w:tabs>
        <w:rPr>
          <w:rFonts w:ascii="Arial" w:hAnsi="Arial" w:cs="Arial"/>
          <w:b/>
          <w:snapToGrid w:val="0"/>
          <w:color w:val="000000"/>
          <w:sz w:val="24"/>
        </w:rPr>
      </w:pPr>
    </w:p>
    <w:p w:rsidR="00B7354F" w:rsidRDefault="00B7354F" w:rsidP="00694D6D">
      <w:pPr>
        <w:widowControl w:val="0"/>
        <w:tabs>
          <w:tab w:val="right" w:pos="7200"/>
        </w:tabs>
        <w:rPr>
          <w:rFonts w:ascii="Arial" w:hAnsi="Arial" w:cs="Arial"/>
          <w:b/>
          <w:snapToGrid w:val="0"/>
          <w:color w:val="000000"/>
          <w:sz w:val="24"/>
        </w:rPr>
      </w:pPr>
    </w:p>
    <w:p w:rsidR="00694D6D" w:rsidRPr="007B14C5" w:rsidRDefault="00F666FC" w:rsidP="00694D6D">
      <w:pPr>
        <w:widowControl w:val="0"/>
        <w:tabs>
          <w:tab w:val="right" w:pos="7200"/>
        </w:tabs>
        <w:rPr>
          <w:rFonts w:ascii="Arial" w:hAnsi="Arial" w:cs="Arial"/>
          <w:snapToGrid w:val="0"/>
          <w:color w:val="000000"/>
          <w:sz w:val="24"/>
        </w:rPr>
      </w:pPr>
      <w:r>
        <w:rPr>
          <w:rFonts w:ascii="Arial" w:hAnsi="Arial" w:cs="Arial"/>
          <w:b/>
          <w:snapToGrid w:val="0"/>
          <w:color w:val="000000"/>
          <w:sz w:val="24"/>
        </w:rPr>
        <w:t>27</w:t>
      </w:r>
      <w:r w:rsidR="00774EEE" w:rsidRPr="007B14C5">
        <w:rPr>
          <w:rFonts w:ascii="Arial" w:hAnsi="Arial" w:cs="Arial"/>
          <w:b/>
          <w:snapToGrid w:val="0"/>
          <w:color w:val="000000"/>
          <w:sz w:val="24"/>
        </w:rPr>
        <w:t>.  Impairment losses</w:t>
      </w:r>
    </w:p>
    <w:p w:rsidR="00694D6D" w:rsidRPr="007B14C5" w:rsidRDefault="00694D6D" w:rsidP="00694D6D">
      <w:pPr>
        <w:widowControl w:val="0"/>
        <w:tabs>
          <w:tab w:val="right" w:pos="7200"/>
        </w:tabs>
        <w:rPr>
          <w:rFonts w:ascii="Arial" w:hAnsi="Arial" w:cs="Arial"/>
          <w:snapToGrid w:val="0"/>
          <w:color w:val="000000"/>
          <w:sz w:val="24"/>
        </w:rPr>
      </w:pPr>
    </w:p>
    <w:p w:rsidR="00B7695F" w:rsidRDefault="009F5897" w:rsidP="0083647D">
      <w:pPr>
        <w:widowControl w:val="0"/>
        <w:tabs>
          <w:tab w:val="right" w:pos="7200"/>
        </w:tabs>
        <w:rPr>
          <w:rFonts w:ascii="Arial" w:hAnsi="Arial" w:cs="Arial"/>
          <w:snapToGrid w:val="0"/>
          <w:color w:val="000000"/>
          <w:sz w:val="24"/>
        </w:rPr>
      </w:pPr>
      <w:r w:rsidRPr="007B14C5">
        <w:rPr>
          <w:rFonts w:ascii="Arial" w:hAnsi="Arial" w:cs="Arial"/>
          <w:snapToGrid w:val="0"/>
          <w:color w:val="000000"/>
          <w:sz w:val="24"/>
        </w:rPr>
        <w:t xml:space="preserve">The Fund had no impairment losses </w:t>
      </w:r>
      <w:r w:rsidR="007B14C5" w:rsidRPr="007B14C5">
        <w:rPr>
          <w:rFonts w:ascii="Arial" w:hAnsi="Arial" w:cs="Arial"/>
          <w:snapToGrid w:val="0"/>
          <w:color w:val="000000"/>
          <w:sz w:val="24"/>
        </w:rPr>
        <w:t>at 31 March 2013.</w:t>
      </w:r>
    </w:p>
    <w:p w:rsidR="00FC1D4A" w:rsidRDefault="00FC1D4A">
      <w:pPr>
        <w:rPr>
          <w:rFonts w:ascii="Arial" w:hAnsi="Arial" w:cs="Arial"/>
          <w:snapToGrid w:val="0"/>
          <w:color w:val="000000"/>
          <w:sz w:val="24"/>
        </w:rPr>
      </w:pPr>
      <w:r>
        <w:rPr>
          <w:rFonts w:ascii="Arial" w:hAnsi="Arial" w:cs="Arial"/>
          <w:snapToGrid w:val="0"/>
          <w:color w:val="000000"/>
          <w:sz w:val="24"/>
        </w:rPr>
        <w:br w:type="page"/>
      </w:r>
    </w:p>
    <w:p w:rsidR="00FC1D4A" w:rsidRPr="00FC1D4A" w:rsidRDefault="00FC1D4A">
      <w:pPr>
        <w:rPr>
          <w:rFonts w:ascii="Arial" w:hAnsi="Arial" w:cs="Arial"/>
          <w:b/>
          <w:snapToGrid w:val="0"/>
          <w:color w:val="000000"/>
          <w:sz w:val="32"/>
          <w:szCs w:val="32"/>
        </w:rPr>
      </w:pPr>
      <w:r w:rsidRPr="00FC1D4A">
        <w:rPr>
          <w:rFonts w:ascii="Arial" w:hAnsi="Arial" w:cs="Arial"/>
          <w:b/>
          <w:snapToGrid w:val="0"/>
          <w:color w:val="000000"/>
          <w:sz w:val="32"/>
          <w:szCs w:val="32"/>
        </w:rPr>
        <w:lastRenderedPageBreak/>
        <w:t>Statement of Responsibilities</w:t>
      </w:r>
    </w:p>
    <w:p w:rsidR="00FC1D4A" w:rsidRPr="00053A47" w:rsidRDefault="00FC1D4A">
      <w:pPr>
        <w:rPr>
          <w:rFonts w:ascii="Arial" w:hAnsi="Arial" w:cs="Arial"/>
          <w:snapToGrid w:val="0"/>
          <w:color w:val="000000"/>
          <w:sz w:val="24"/>
          <w:szCs w:val="24"/>
        </w:rPr>
      </w:pPr>
    </w:p>
    <w:p w:rsidR="008515BF" w:rsidRPr="00053A47" w:rsidRDefault="00E1294C" w:rsidP="008515BF">
      <w:pPr>
        <w:rPr>
          <w:rFonts w:ascii="Arial" w:hAnsi="Arial" w:cs="Arial"/>
          <w:b/>
          <w:sz w:val="24"/>
          <w:szCs w:val="24"/>
        </w:rPr>
      </w:pPr>
      <w:r>
        <w:rPr>
          <w:rFonts w:ascii="Arial" w:hAnsi="Arial" w:cs="Arial"/>
          <w:b/>
          <w:sz w:val="24"/>
          <w:szCs w:val="24"/>
        </w:rPr>
        <w:t xml:space="preserve">The </w:t>
      </w:r>
      <w:r w:rsidR="00264204">
        <w:rPr>
          <w:rFonts w:ascii="Arial" w:hAnsi="Arial" w:cs="Arial"/>
          <w:b/>
          <w:sz w:val="24"/>
          <w:szCs w:val="24"/>
        </w:rPr>
        <w:t>Fund</w:t>
      </w:r>
      <w:r w:rsidR="008515BF" w:rsidRPr="00053A47">
        <w:rPr>
          <w:rFonts w:ascii="Arial" w:hAnsi="Arial" w:cs="Arial"/>
          <w:b/>
          <w:sz w:val="24"/>
          <w:szCs w:val="24"/>
        </w:rPr>
        <w:t>’s responsibilities</w:t>
      </w:r>
    </w:p>
    <w:p w:rsidR="008515BF" w:rsidRPr="00053A47" w:rsidRDefault="008515BF" w:rsidP="008515BF">
      <w:pPr>
        <w:rPr>
          <w:rFonts w:ascii="Arial" w:hAnsi="Arial" w:cs="Arial"/>
          <w:b/>
          <w:sz w:val="24"/>
          <w:szCs w:val="24"/>
        </w:rPr>
      </w:pPr>
    </w:p>
    <w:p w:rsidR="008515BF" w:rsidRPr="00053A47" w:rsidRDefault="00E1294C" w:rsidP="008515BF">
      <w:pPr>
        <w:rPr>
          <w:rFonts w:ascii="Arial" w:hAnsi="Arial" w:cs="Arial"/>
          <w:sz w:val="24"/>
          <w:szCs w:val="24"/>
        </w:rPr>
      </w:pPr>
      <w:r>
        <w:rPr>
          <w:rFonts w:ascii="Arial" w:hAnsi="Arial" w:cs="Arial"/>
          <w:sz w:val="24"/>
          <w:szCs w:val="24"/>
        </w:rPr>
        <w:t xml:space="preserve">The </w:t>
      </w:r>
      <w:r w:rsidR="00264204">
        <w:rPr>
          <w:rFonts w:ascii="Arial" w:hAnsi="Arial" w:cs="Arial"/>
          <w:sz w:val="24"/>
          <w:szCs w:val="24"/>
        </w:rPr>
        <w:t>Fund</w:t>
      </w:r>
      <w:r w:rsidR="008515BF" w:rsidRPr="00053A47">
        <w:rPr>
          <w:rFonts w:ascii="Arial" w:hAnsi="Arial" w:cs="Arial"/>
          <w:sz w:val="24"/>
          <w:szCs w:val="24"/>
        </w:rPr>
        <w:t xml:space="preserve"> is required to:</w:t>
      </w:r>
    </w:p>
    <w:p w:rsidR="008515BF" w:rsidRPr="00053A47" w:rsidRDefault="008515BF" w:rsidP="008515BF">
      <w:pPr>
        <w:rPr>
          <w:rFonts w:ascii="Arial" w:hAnsi="Arial" w:cs="Arial"/>
          <w:sz w:val="24"/>
          <w:szCs w:val="24"/>
        </w:rPr>
      </w:pPr>
    </w:p>
    <w:p w:rsidR="008515BF" w:rsidRPr="00053A47" w:rsidRDefault="008515BF" w:rsidP="008515BF">
      <w:pPr>
        <w:numPr>
          <w:ilvl w:val="0"/>
          <w:numId w:val="37"/>
        </w:numPr>
        <w:tabs>
          <w:tab w:val="num" w:pos="450"/>
        </w:tabs>
        <w:ind w:left="450" w:hanging="450"/>
        <w:rPr>
          <w:rFonts w:ascii="Arial" w:hAnsi="Arial" w:cs="Arial"/>
          <w:sz w:val="24"/>
          <w:szCs w:val="24"/>
        </w:rPr>
      </w:pPr>
      <w:r w:rsidRPr="00053A47">
        <w:rPr>
          <w:rFonts w:ascii="Arial" w:hAnsi="Arial" w:cs="Arial"/>
          <w:sz w:val="24"/>
          <w:szCs w:val="24"/>
        </w:rPr>
        <w:t xml:space="preserve">make arrangements for the proper administration of its financial affairs and to make one of its officers responsible for the administration of those affairs. </w:t>
      </w:r>
      <w:r w:rsidR="00AC48E6">
        <w:rPr>
          <w:rFonts w:ascii="Arial" w:hAnsi="Arial" w:cs="Arial"/>
          <w:sz w:val="24"/>
          <w:szCs w:val="24"/>
        </w:rPr>
        <w:t>At Brent Council, t</w:t>
      </w:r>
      <w:r w:rsidRPr="00053A47">
        <w:rPr>
          <w:rFonts w:ascii="Arial" w:hAnsi="Arial" w:cs="Arial"/>
          <w:sz w:val="24"/>
          <w:szCs w:val="24"/>
        </w:rPr>
        <w:t xml:space="preserve">he </w:t>
      </w:r>
      <w:r w:rsidR="005B0862">
        <w:rPr>
          <w:rFonts w:ascii="Arial" w:hAnsi="Arial" w:cs="Arial"/>
          <w:sz w:val="24"/>
          <w:szCs w:val="24"/>
        </w:rPr>
        <w:t>Chief</w:t>
      </w:r>
      <w:r w:rsidR="00AC48E6">
        <w:rPr>
          <w:rFonts w:ascii="Arial" w:hAnsi="Arial" w:cs="Arial"/>
          <w:sz w:val="24"/>
          <w:szCs w:val="24"/>
        </w:rPr>
        <w:t xml:space="preserve"> Finance</w:t>
      </w:r>
      <w:r w:rsidRPr="00053A47">
        <w:rPr>
          <w:rFonts w:ascii="Arial" w:hAnsi="Arial" w:cs="Arial"/>
          <w:sz w:val="24"/>
          <w:szCs w:val="24"/>
        </w:rPr>
        <w:t xml:space="preserve"> </w:t>
      </w:r>
      <w:r w:rsidR="005B0862">
        <w:rPr>
          <w:rFonts w:ascii="Arial" w:hAnsi="Arial" w:cs="Arial"/>
          <w:sz w:val="24"/>
          <w:szCs w:val="24"/>
        </w:rPr>
        <w:t xml:space="preserve">Officer </w:t>
      </w:r>
      <w:r w:rsidRPr="00053A47">
        <w:rPr>
          <w:rFonts w:ascii="Arial" w:hAnsi="Arial" w:cs="Arial"/>
          <w:sz w:val="24"/>
          <w:szCs w:val="24"/>
        </w:rPr>
        <w:t>fulfils that responsibility</w:t>
      </w:r>
      <w:r w:rsidR="00AC48E6">
        <w:rPr>
          <w:rFonts w:ascii="Arial" w:hAnsi="Arial" w:cs="Arial"/>
          <w:sz w:val="24"/>
          <w:szCs w:val="24"/>
        </w:rPr>
        <w:t>.</w:t>
      </w:r>
    </w:p>
    <w:p w:rsidR="008515BF" w:rsidRPr="00053A47" w:rsidRDefault="008515BF" w:rsidP="008515BF">
      <w:pPr>
        <w:rPr>
          <w:rFonts w:ascii="Arial" w:hAnsi="Arial" w:cs="Arial"/>
          <w:sz w:val="24"/>
          <w:szCs w:val="24"/>
        </w:rPr>
      </w:pPr>
    </w:p>
    <w:p w:rsidR="008515BF" w:rsidRPr="00053A47" w:rsidRDefault="008515BF" w:rsidP="008515BF">
      <w:pPr>
        <w:numPr>
          <w:ilvl w:val="0"/>
          <w:numId w:val="37"/>
        </w:numPr>
        <w:tabs>
          <w:tab w:val="num" w:pos="450"/>
        </w:tabs>
        <w:ind w:left="450" w:hanging="450"/>
        <w:rPr>
          <w:rFonts w:ascii="Arial" w:hAnsi="Arial" w:cs="Arial"/>
          <w:sz w:val="24"/>
          <w:szCs w:val="24"/>
        </w:rPr>
      </w:pPr>
      <w:r w:rsidRPr="00053A47">
        <w:rPr>
          <w:rFonts w:ascii="Arial" w:hAnsi="Arial" w:cs="Arial"/>
          <w:sz w:val="24"/>
          <w:szCs w:val="24"/>
        </w:rPr>
        <w:t>manage its affairs so as to use resources economically, efficiently and effectively, and safeguard its assets</w:t>
      </w:r>
    </w:p>
    <w:p w:rsidR="008515BF" w:rsidRPr="00053A47" w:rsidRDefault="008515BF" w:rsidP="008515BF">
      <w:pPr>
        <w:rPr>
          <w:rFonts w:ascii="Arial" w:hAnsi="Arial" w:cs="Arial"/>
          <w:sz w:val="24"/>
          <w:szCs w:val="24"/>
        </w:rPr>
      </w:pPr>
    </w:p>
    <w:p w:rsidR="008515BF" w:rsidRPr="00053A47" w:rsidRDefault="008515BF" w:rsidP="008515BF">
      <w:pPr>
        <w:numPr>
          <w:ilvl w:val="0"/>
          <w:numId w:val="37"/>
        </w:numPr>
        <w:tabs>
          <w:tab w:val="num" w:pos="450"/>
        </w:tabs>
        <w:ind w:left="450" w:hanging="450"/>
        <w:rPr>
          <w:rFonts w:ascii="Arial" w:hAnsi="Arial" w:cs="Arial"/>
          <w:sz w:val="24"/>
          <w:szCs w:val="24"/>
        </w:rPr>
      </w:pPr>
      <w:r w:rsidRPr="00053A47">
        <w:rPr>
          <w:rFonts w:ascii="Arial" w:hAnsi="Arial" w:cs="Arial"/>
          <w:sz w:val="24"/>
          <w:szCs w:val="24"/>
        </w:rPr>
        <w:t xml:space="preserve">approve the </w:t>
      </w:r>
      <w:r w:rsidR="00564B86">
        <w:rPr>
          <w:rFonts w:ascii="Arial" w:hAnsi="Arial" w:cs="Arial"/>
          <w:sz w:val="24"/>
          <w:szCs w:val="24"/>
        </w:rPr>
        <w:t>Brent</w:t>
      </w:r>
      <w:r w:rsidRPr="00053A47">
        <w:rPr>
          <w:rFonts w:ascii="Arial" w:hAnsi="Arial" w:cs="Arial"/>
          <w:sz w:val="24"/>
          <w:szCs w:val="24"/>
        </w:rPr>
        <w:t xml:space="preserve"> Pension Fund’s statement of accounts.</w:t>
      </w:r>
    </w:p>
    <w:p w:rsidR="008515BF" w:rsidRPr="00053A47" w:rsidRDefault="008515BF" w:rsidP="008515BF">
      <w:pPr>
        <w:rPr>
          <w:rFonts w:ascii="Arial" w:hAnsi="Arial" w:cs="Arial"/>
          <w:sz w:val="24"/>
          <w:szCs w:val="24"/>
          <w:highlight w:val="yellow"/>
        </w:rPr>
      </w:pPr>
    </w:p>
    <w:p w:rsidR="008515BF" w:rsidRPr="00053A47" w:rsidRDefault="00261DF0" w:rsidP="008515BF">
      <w:pPr>
        <w:pStyle w:val="Heading7"/>
        <w:keepNext w:val="0"/>
        <w:rPr>
          <w:rFonts w:ascii="Arial" w:hAnsi="Arial" w:cs="Arial"/>
          <w:b/>
          <w:i w:val="0"/>
          <w:color w:val="auto"/>
          <w:sz w:val="24"/>
          <w:szCs w:val="24"/>
        </w:rPr>
      </w:pPr>
      <w:r>
        <w:rPr>
          <w:rFonts w:ascii="Arial" w:hAnsi="Arial" w:cs="Arial"/>
          <w:b/>
          <w:i w:val="0"/>
          <w:color w:val="auto"/>
          <w:sz w:val="24"/>
          <w:szCs w:val="24"/>
        </w:rPr>
        <w:t>Chief</w:t>
      </w:r>
      <w:r w:rsidR="003C2651">
        <w:rPr>
          <w:rFonts w:ascii="Arial" w:hAnsi="Arial" w:cs="Arial"/>
          <w:b/>
          <w:i w:val="0"/>
          <w:color w:val="auto"/>
          <w:sz w:val="24"/>
          <w:szCs w:val="24"/>
        </w:rPr>
        <w:t xml:space="preserve"> Finance</w:t>
      </w:r>
      <w:r>
        <w:rPr>
          <w:rFonts w:ascii="Arial" w:hAnsi="Arial" w:cs="Arial"/>
          <w:b/>
          <w:i w:val="0"/>
          <w:color w:val="auto"/>
          <w:sz w:val="24"/>
          <w:szCs w:val="24"/>
        </w:rPr>
        <w:t xml:space="preserve"> Officer</w:t>
      </w:r>
      <w:r w:rsidR="008515BF" w:rsidRPr="00053A47">
        <w:rPr>
          <w:rFonts w:ascii="Arial" w:hAnsi="Arial" w:cs="Arial"/>
          <w:b/>
          <w:i w:val="0"/>
          <w:color w:val="auto"/>
          <w:sz w:val="24"/>
          <w:szCs w:val="24"/>
        </w:rPr>
        <w:t>’s responsibilities</w:t>
      </w:r>
    </w:p>
    <w:p w:rsidR="008515BF" w:rsidRPr="00053A47" w:rsidRDefault="008515BF" w:rsidP="008515BF">
      <w:pPr>
        <w:rPr>
          <w:rFonts w:ascii="Arial" w:hAnsi="Arial" w:cs="Arial"/>
          <w:b/>
          <w:sz w:val="24"/>
          <w:szCs w:val="24"/>
        </w:rPr>
      </w:pPr>
    </w:p>
    <w:p w:rsidR="008515BF" w:rsidRPr="00053A47" w:rsidRDefault="00261DF0" w:rsidP="008515BF">
      <w:pPr>
        <w:pStyle w:val="Header"/>
        <w:tabs>
          <w:tab w:val="clear" w:pos="4153"/>
          <w:tab w:val="clear" w:pos="8306"/>
        </w:tabs>
        <w:rPr>
          <w:rFonts w:ascii="Arial" w:hAnsi="Arial" w:cs="Arial"/>
          <w:sz w:val="24"/>
          <w:szCs w:val="24"/>
        </w:rPr>
      </w:pPr>
      <w:r>
        <w:rPr>
          <w:rFonts w:ascii="Arial" w:hAnsi="Arial" w:cs="Arial"/>
          <w:sz w:val="24"/>
          <w:szCs w:val="24"/>
        </w:rPr>
        <w:t>The Chief</w:t>
      </w:r>
      <w:r w:rsidR="003C2651">
        <w:rPr>
          <w:rFonts w:ascii="Arial" w:hAnsi="Arial" w:cs="Arial"/>
          <w:sz w:val="24"/>
          <w:szCs w:val="24"/>
        </w:rPr>
        <w:t xml:space="preserve"> Finance</w:t>
      </w:r>
      <w:r w:rsidR="008515BF" w:rsidRPr="00053A47">
        <w:rPr>
          <w:rFonts w:ascii="Arial" w:hAnsi="Arial" w:cs="Arial"/>
          <w:sz w:val="24"/>
          <w:szCs w:val="24"/>
        </w:rPr>
        <w:t xml:space="preserve"> </w:t>
      </w:r>
      <w:r>
        <w:rPr>
          <w:rFonts w:ascii="Arial" w:hAnsi="Arial" w:cs="Arial"/>
          <w:sz w:val="24"/>
          <w:szCs w:val="24"/>
        </w:rPr>
        <w:t xml:space="preserve">Officer </w:t>
      </w:r>
      <w:r w:rsidR="008515BF" w:rsidRPr="00053A47">
        <w:rPr>
          <w:rFonts w:ascii="Arial" w:hAnsi="Arial" w:cs="Arial"/>
          <w:sz w:val="24"/>
          <w:szCs w:val="24"/>
        </w:rPr>
        <w:t>is respons</w:t>
      </w:r>
      <w:r w:rsidR="003C2651">
        <w:rPr>
          <w:rFonts w:ascii="Arial" w:hAnsi="Arial" w:cs="Arial"/>
          <w:sz w:val="24"/>
          <w:szCs w:val="24"/>
        </w:rPr>
        <w:t>ible for preparing the Brent</w:t>
      </w:r>
      <w:r w:rsidR="008515BF" w:rsidRPr="00053A47">
        <w:rPr>
          <w:rFonts w:ascii="Arial" w:hAnsi="Arial" w:cs="Arial"/>
          <w:sz w:val="24"/>
          <w:szCs w:val="24"/>
        </w:rPr>
        <w:t xml:space="preserve"> Pension Fund’s statement of accounts in accordance with proper practices as set out in the CIPFA/LASAAC Code of Practice on Local Aut</w:t>
      </w:r>
      <w:r w:rsidR="00B5392B">
        <w:rPr>
          <w:rFonts w:ascii="Arial" w:hAnsi="Arial" w:cs="Arial"/>
          <w:sz w:val="24"/>
          <w:szCs w:val="24"/>
        </w:rPr>
        <w:t>hority Accounting in the UK 2012/13</w:t>
      </w:r>
      <w:r w:rsidR="008515BF" w:rsidRPr="00053A47">
        <w:rPr>
          <w:rFonts w:ascii="Arial" w:hAnsi="Arial" w:cs="Arial"/>
          <w:sz w:val="24"/>
          <w:szCs w:val="24"/>
        </w:rPr>
        <w:t xml:space="preserve"> (‘the Code of Practice’).</w:t>
      </w:r>
    </w:p>
    <w:p w:rsidR="008515BF" w:rsidRPr="00053A47" w:rsidRDefault="008515BF" w:rsidP="008515BF">
      <w:pPr>
        <w:pStyle w:val="Header"/>
        <w:tabs>
          <w:tab w:val="clear" w:pos="4153"/>
          <w:tab w:val="clear" w:pos="8306"/>
        </w:tabs>
        <w:rPr>
          <w:rFonts w:ascii="Arial" w:hAnsi="Arial" w:cs="Arial"/>
          <w:sz w:val="24"/>
          <w:szCs w:val="24"/>
        </w:rPr>
      </w:pPr>
    </w:p>
    <w:p w:rsidR="008515BF" w:rsidRPr="00053A47" w:rsidRDefault="008515BF" w:rsidP="008515BF">
      <w:pPr>
        <w:pStyle w:val="Header"/>
        <w:tabs>
          <w:tab w:val="clear" w:pos="4153"/>
          <w:tab w:val="clear" w:pos="8306"/>
        </w:tabs>
        <w:rPr>
          <w:rFonts w:ascii="Arial" w:hAnsi="Arial" w:cs="Arial"/>
          <w:sz w:val="24"/>
          <w:szCs w:val="24"/>
        </w:rPr>
      </w:pPr>
      <w:r w:rsidRPr="00053A47">
        <w:rPr>
          <w:rFonts w:ascii="Arial" w:hAnsi="Arial" w:cs="Arial"/>
          <w:sz w:val="24"/>
          <w:szCs w:val="24"/>
        </w:rPr>
        <w:t>In preparing this statement o</w:t>
      </w:r>
      <w:r w:rsidR="00261DF0">
        <w:rPr>
          <w:rFonts w:ascii="Arial" w:hAnsi="Arial" w:cs="Arial"/>
          <w:sz w:val="24"/>
          <w:szCs w:val="24"/>
        </w:rPr>
        <w:t>f accounts, the Chief</w:t>
      </w:r>
      <w:r w:rsidR="00B5392B">
        <w:rPr>
          <w:rFonts w:ascii="Arial" w:hAnsi="Arial" w:cs="Arial"/>
          <w:sz w:val="24"/>
          <w:szCs w:val="24"/>
        </w:rPr>
        <w:t xml:space="preserve"> Finance </w:t>
      </w:r>
      <w:r w:rsidR="00261DF0">
        <w:rPr>
          <w:rFonts w:ascii="Arial" w:hAnsi="Arial" w:cs="Arial"/>
          <w:sz w:val="24"/>
          <w:szCs w:val="24"/>
        </w:rPr>
        <w:t xml:space="preserve">Officer </w:t>
      </w:r>
      <w:r w:rsidRPr="00053A47">
        <w:rPr>
          <w:rFonts w:ascii="Arial" w:hAnsi="Arial" w:cs="Arial"/>
          <w:sz w:val="24"/>
          <w:szCs w:val="24"/>
        </w:rPr>
        <w:t>has:</w:t>
      </w:r>
    </w:p>
    <w:p w:rsidR="008515BF" w:rsidRPr="00053A47" w:rsidRDefault="008515BF" w:rsidP="008515BF">
      <w:pPr>
        <w:pStyle w:val="Header"/>
        <w:tabs>
          <w:tab w:val="clear" w:pos="4153"/>
          <w:tab w:val="clear" w:pos="8306"/>
        </w:tabs>
        <w:rPr>
          <w:rFonts w:ascii="Arial" w:hAnsi="Arial" w:cs="Arial"/>
          <w:sz w:val="24"/>
          <w:szCs w:val="24"/>
        </w:rPr>
      </w:pPr>
    </w:p>
    <w:p w:rsidR="008515BF" w:rsidRPr="00053A47" w:rsidRDefault="008515BF" w:rsidP="008515BF">
      <w:pPr>
        <w:pStyle w:val="Header"/>
        <w:numPr>
          <w:ilvl w:val="0"/>
          <w:numId w:val="38"/>
        </w:numPr>
        <w:tabs>
          <w:tab w:val="clear" w:pos="4153"/>
          <w:tab w:val="clear" w:pos="8306"/>
          <w:tab w:val="num" w:pos="450"/>
        </w:tabs>
        <w:ind w:hanging="1008"/>
        <w:rPr>
          <w:rFonts w:ascii="Arial" w:hAnsi="Arial" w:cs="Arial"/>
          <w:sz w:val="24"/>
          <w:szCs w:val="24"/>
        </w:rPr>
      </w:pPr>
      <w:r w:rsidRPr="00053A47">
        <w:rPr>
          <w:rFonts w:ascii="Arial" w:hAnsi="Arial" w:cs="Arial"/>
          <w:sz w:val="24"/>
          <w:szCs w:val="24"/>
        </w:rPr>
        <w:t>selected suitable accounting policies and applied them consistently</w:t>
      </w:r>
    </w:p>
    <w:p w:rsidR="008515BF" w:rsidRPr="00053A47" w:rsidRDefault="008515BF" w:rsidP="008515BF">
      <w:pPr>
        <w:pStyle w:val="Header"/>
        <w:tabs>
          <w:tab w:val="clear" w:pos="4153"/>
          <w:tab w:val="clear" w:pos="8306"/>
        </w:tabs>
        <w:rPr>
          <w:rFonts w:ascii="Arial" w:hAnsi="Arial" w:cs="Arial"/>
          <w:sz w:val="24"/>
          <w:szCs w:val="24"/>
        </w:rPr>
      </w:pPr>
    </w:p>
    <w:p w:rsidR="008515BF" w:rsidRPr="00053A47" w:rsidRDefault="008515BF" w:rsidP="008515BF">
      <w:pPr>
        <w:pStyle w:val="Header"/>
        <w:numPr>
          <w:ilvl w:val="0"/>
          <w:numId w:val="38"/>
        </w:numPr>
        <w:tabs>
          <w:tab w:val="clear" w:pos="4153"/>
          <w:tab w:val="clear" w:pos="8306"/>
          <w:tab w:val="num" w:pos="450"/>
        </w:tabs>
        <w:ind w:hanging="1008"/>
        <w:rPr>
          <w:rFonts w:ascii="Arial" w:hAnsi="Arial" w:cs="Arial"/>
          <w:sz w:val="24"/>
          <w:szCs w:val="24"/>
        </w:rPr>
      </w:pPr>
      <w:r w:rsidRPr="00053A47">
        <w:rPr>
          <w:rFonts w:ascii="Arial" w:hAnsi="Arial" w:cs="Arial"/>
          <w:sz w:val="24"/>
          <w:szCs w:val="24"/>
        </w:rPr>
        <w:t>made judgements and estimates that were reasonable and prudent</w:t>
      </w:r>
    </w:p>
    <w:p w:rsidR="008515BF" w:rsidRPr="00053A47" w:rsidRDefault="008515BF" w:rsidP="008515BF">
      <w:pPr>
        <w:pStyle w:val="Header"/>
        <w:tabs>
          <w:tab w:val="clear" w:pos="4153"/>
          <w:tab w:val="clear" w:pos="8306"/>
        </w:tabs>
        <w:rPr>
          <w:rFonts w:ascii="Arial" w:hAnsi="Arial" w:cs="Arial"/>
          <w:sz w:val="24"/>
          <w:szCs w:val="24"/>
        </w:rPr>
      </w:pPr>
    </w:p>
    <w:p w:rsidR="008515BF" w:rsidRPr="00053A47" w:rsidRDefault="008515BF" w:rsidP="008515BF">
      <w:pPr>
        <w:pStyle w:val="Header"/>
        <w:numPr>
          <w:ilvl w:val="0"/>
          <w:numId w:val="38"/>
        </w:numPr>
        <w:tabs>
          <w:tab w:val="clear" w:pos="4153"/>
          <w:tab w:val="clear" w:pos="8306"/>
          <w:tab w:val="num" w:pos="450"/>
        </w:tabs>
        <w:ind w:hanging="1008"/>
        <w:rPr>
          <w:rFonts w:ascii="Arial" w:hAnsi="Arial" w:cs="Arial"/>
          <w:sz w:val="24"/>
          <w:szCs w:val="24"/>
        </w:rPr>
      </w:pPr>
      <w:r w:rsidRPr="00053A47">
        <w:rPr>
          <w:rFonts w:ascii="Arial" w:hAnsi="Arial" w:cs="Arial"/>
          <w:sz w:val="24"/>
          <w:szCs w:val="24"/>
        </w:rPr>
        <w:t>complied with the Code of Practice.</w:t>
      </w:r>
    </w:p>
    <w:p w:rsidR="008515BF" w:rsidRPr="00053A47" w:rsidRDefault="008515BF" w:rsidP="008515BF">
      <w:pPr>
        <w:pStyle w:val="Header"/>
        <w:tabs>
          <w:tab w:val="clear" w:pos="4153"/>
          <w:tab w:val="clear" w:pos="8306"/>
        </w:tabs>
        <w:rPr>
          <w:rFonts w:ascii="Arial" w:hAnsi="Arial" w:cs="Arial"/>
          <w:sz w:val="24"/>
          <w:szCs w:val="24"/>
        </w:rPr>
      </w:pPr>
    </w:p>
    <w:p w:rsidR="00CC6ED4" w:rsidRDefault="00261DF0" w:rsidP="00CC6ED4">
      <w:pPr>
        <w:pStyle w:val="Header"/>
        <w:tabs>
          <w:tab w:val="clear" w:pos="4153"/>
          <w:tab w:val="clear" w:pos="8306"/>
        </w:tabs>
        <w:rPr>
          <w:rFonts w:ascii="Arial" w:hAnsi="Arial" w:cs="Arial"/>
          <w:sz w:val="24"/>
          <w:szCs w:val="24"/>
        </w:rPr>
      </w:pPr>
      <w:r>
        <w:rPr>
          <w:rFonts w:ascii="Arial" w:hAnsi="Arial" w:cs="Arial"/>
          <w:sz w:val="24"/>
          <w:szCs w:val="24"/>
        </w:rPr>
        <w:t>The Chief</w:t>
      </w:r>
      <w:r w:rsidR="00CD30F6">
        <w:rPr>
          <w:rFonts w:ascii="Arial" w:hAnsi="Arial" w:cs="Arial"/>
          <w:sz w:val="24"/>
          <w:szCs w:val="24"/>
        </w:rPr>
        <w:t xml:space="preserve"> Finance</w:t>
      </w:r>
      <w:r>
        <w:rPr>
          <w:rFonts w:ascii="Arial" w:hAnsi="Arial" w:cs="Arial"/>
          <w:sz w:val="24"/>
          <w:szCs w:val="24"/>
        </w:rPr>
        <w:t xml:space="preserve"> Officer</w:t>
      </w:r>
      <w:r w:rsidR="008515BF" w:rsidRPr="00053A47">
        <w:rPr>
          <w:rFonts w:ascii="Arial" w:hAnsi="Arial" w:cs="Arial"/>
          <w:sz w:val="24"/>
          <w:szCs w:val="24"/>
        </w:rPr>
        <w:t xml:space="preserve"> has also</w:t>
      </w:r>
      <w:r w:rsidR="00CC6ED4">
        <w:rPr>
          <w:rFonts w:ascii="Arial" w:hAnsi="Arial" w:cs="Arial"/>
          <w:sz w:val="24"/>
          <w:szCs w:val="24"/>
        </w:rPr>
        <w:t>:</w:t>
      </w:r>
    </w:p>
    <w:p w:rsidR="00CC6ED4" w:rsidRDefault="00CC6ED4" w:rsidP="00CC6ED4">
      <w:pPr>
        <w:pStyle w:val="Header"/>
        <w:tabs>
          <w:tab w:val="clear" w:pos="4153"/>
          <w:tab w:val="clear" w:pos="8306"/>
        </w:tabs>
        <w:rPr>
          <w:rFonts w:ascii="Arial" w:hAnsi="Arial" w:cs="Arial"/>
          <w:sz w:val="24"/>
          <w:szCs w:val="24"/>
        </w:rPr>
      </w:pPr>
    </w:p>
    <w:p w:rsidR="001B153F" w:rsidRDefault="00CC6ED4" w:rsidP="001B153F">
      <w:pPr>
        <w:pStyle w:val="Header"/>
        <w:numPr>
          <w:ilvl w:val="0"/>
          <w:numId w:val="41"/>
        </w:numPr>
        <w:tabs>
          <w:tab w:val="clear" w:pos="4153"/>
          <w:tab w:val="clear" w:pos="8306"/>
        </w:tabs>
        <w:ind w:left="426" w:hanging="426"/>
        <w:rPr>
          <w:rFonts w:ascii="Arial" w:hAnsi="Arial" w:cs="Arial"/>
          <w:sz w:val="24"/>
          <w:szCs w:val="24"/>
        </w:rPr>
      </w:pPr>
      <w:r>
        <w:rPr>
          <w:rFonts w:ascii="Arial" w:hAnsi="Arial" w:cs="Arial"/>
          <w:sz w:val="24"/>
          <w:szCs w:val="24"/>
        </w:rPr>
        <w:t>kept proper accounti</w:t>
      </w:r>
      <w:r w:rsidR="008515BF" w:rsidRPr="00CC6ED4">
        <w:rPr>
          <w:rFonts w:ascii="Arial" w:hAnsi="Arial" w:cs="Arial"/>
          <w:sz w:val="24"/>
          <w:szCs w:val="24"/>
        </w:rPr>
        <w:t>ng records, which are up to date</w:t>
      </w:r>
    </w:p>
    <w:p w:rsidR="001B153F" w:rsidRDefault="001B153F" w:rsidP="001B153F">
      <w:pPr>
        <w:pStyle w:val="Header"/>
        <w:tabs>
          <w:tab w:val="clear" w:pos="4153"/>
          <w:tab w:val="clear" w:pos="8306"/>
        </w:tabs>
        <w:rPr>
          <w:rFonts w:ascii="Arial" w:hAnsi="Arial" w:cs="Arial"/>
          <w:sz w:val="24"/>
          <w:szCs w:val="24"/>
        </w:rPr>
      </w:pPr>
    </w:p>
    <w:p w:rsidR="00CC6ED4" w:rsidRPr="001B153F" w:rsidRDefault="00CC6ED4" w:rsidP="001B153F">
      <w:pPr>
        <w:pStyle w:val="Header"/>
        <w:numPr>
          <w:ilvl w:val="0"/>
          <w:numId w:val="41"/>
        </w:numPr>
        <w:tabs>
          <w:tab w:val="clear" w:pos="4153"/>
          <w:tab w:val="clear" w:pos="8306"/>
        </w:tabs>
        <w:ind w:left="426" w:hanging="426"/>
        <w:rPr>
          <w:rFonts w:ascii="Arial" w:hAnsi="Arial" w:cs="Arial"/>
          <w:sz w:val="24"/>
          <w:szCs w:val="24"/>
        </w:rPr>
      </w:pPr>
      <w:r w:rsidRPr="001B153F">
        <w:rPr>
          <w:rFonts w:ascii="Arial" w:hAnsi="Arial" w:cs="Arial"/>
          <w:sz w:val="24"/>
          <w:szCs w:val="24"/>
        </w:rPr>
        <w:t>t</w:t>
      </w:r>
      <w:r w:rsidR="008515BF" w:rsidRPr="001B153F">
        <w:rPr>
          <w:rFonts w:ascii="Arial" w:hAnsi="Arial" w:cs="Arial"/>
          <w:sz w:val="24"/>
          <w:szCs w:val="24"/>
        </w:rPr>
        <w:t xml:space="preserve">aken reasonable steps </w:t>
      </w:r>
      <w:r w:rsidR="00B9005E" w:rsidRPr="001B153F">
        <w:rPr>
          <w:rFonts w:ascii="Arial" w:hAnsi="Arial" w:cs="Arial"/>
          <w:sz w:val="24"/>
          <w:szCs w:val="24"/>
        </w:rPr>
        <w:t>to</w:t>
      </w:r>
      <w:r w:rsidR="00175BAE" w:rsidRPr="001B153F">
        <w:rPr>
          <w:rFonts w:ascii="Arial" w:hAnsi="Arial" w:cs="Arial"/>
          <w:sz w:val="24"/>
          <w:szCs w:val="24"/>
        </w:rPr>
        <w:t xml:space="preserve"> </w:t>
      </w:r>
      <w:r w:rsidR="008515BF" w:rsidRPr="001B153F">
        <w:rPr>
          <w:rFonts w:ascii="Arial" w:hAnsi="Arial" w:cs="Arial"/>
          <w:sz w:val="24"/>
          <w:szCs w:val="24"/>
        </w:rPr>
        <w:t>prevent</w:t>
      </w:r>
      <w:r w:rsidR="00CD30F6" w:rsidRPr="001B153F">
        <w:rPr>
          <w:rFonts w:ascii="Arial" w:hAnsi="Arial" w:cs="Arial"/>
          <w:sz w:val="24"/>
          <w:szCs w:val="24"/>
        </w:rPr>
        <w:t xml:space="preserve"> </w:t>
      </w:r>
      <w:r w:rsidR="008515BF" w:rsidRPr="001B153F">
        <w:rPr>
          <w:rFonts w:ascii="Arial" w:hAnsi="Arial" w:cs="Arial"/>
          <w:sz w:val="24"/>
          <w:szCs w:val="24"/>
        </w:rPr>
        <w:t>fraud and other irregularities.</w:t>
      </w:r>
    </w:p>
    <w:p w:rsidR="00CC6ED4" w:rsidRPr="00CC6ED4" w:rsidRDefault="00CC6ED4" w:rsidP="00CC6ED4"/>
    <w:p w:rsidR="00F915B0" w:rsidRDefault="00F915B0" w:rsidP="00CC6ED4">
      <w:pPr>
        <w:tabs>
          <w:tab w:val="left" w:pos="2100"/>
        </w:tabs>
        <w:rPr>
          <w:rFonts w:ascii="Arial" w:hAnsi="Arial" w:cs="Arial"/>
          <w:b/>
          <w:sz w:val="24"/>
          <w:szCs w:val="24"/>
        </w:rPr>
      </w:pPr>
    </w:p>
    <w:p w:rsidR="008515BF" w:rsidRPr="00A738A7" w:rsidRDefault="00261DF0" w:rsidP="00CC6ED4">
      <w:pPr>
        <w:tabs>
          <w:tab w:val="left" w:pos="2100"/>
        </w:tabs>
        <w:rPr>
          <w:rFonts w:ascii="Arial" w:hAnsi="Arial" w:cs="Arial"/>
          <w:b/>
          <w:sz w:val="24"/>
          <w:szCs w:val="24"/>
        </w:rPr>
      </w:pPr>
      <w:r>
        <w:rPr>
          <w:rFonts w:ascii="Arial" w:hAnsi="Arial" w:cs="Arial"/>
          <w:b/>
          <w:sz w:val="24"/>
          <w:szCs w:val="24"/>
        </w:rPr>
        <w:t>Chief</w:t>
      </w:r>
      <w:r w:rsidR="00D14EAC" w:rsidRPr="00A738A7">
        <w:rPr>
          <w:rFonts w:ascii="Arial" w:hAnsi="Arial" w:cs="Arial"/>
          <w:b/>
          <w:sz w:val="24"/>
          <w:szCs w:val="24"/>
        </w:rPr>
        <w:t xml:space="preserve"> </w:t>
      </w:r>
      <w:r w:rsidR="001F0E6C" w:rsidRPr="00A738A7">
        <w:rPr>
          <w:rFonts w:ascii="Arial" w:hAnsi="Arial" w:cs="Arial"/>
          <w:b/>
          <w:sz w:val="24"/>
          <w:szCs w:val="24"/>
        </w:rPr>
        <w:t>Finance</w:t>
      </w:r>
      <w:r>
        <w:rPr>
          <w:rFonts w:ascii="Arial" w:hAnsi="Arial" w:cs="Arial"/>
          <w:b/>
          <w:sz w:val="24"/>
          <w:szCs w:val="24"/>
        </w:rPr>
        <w:t xml:space="preserve"> Officer</w:t>
      </w:r>
      <w:r w:rsidR="008515BF" w:rsidRPr="00A738A7">
        <w:rPr>
          <w:rFonts w:ascii="Arial" w:hAnsi="Arial" w:cs="Arial"/>
          <w:b/>
          <w:sz w:val="24"/>
          <w:szCs w:val="24"/>
        </w:rPr>
        <w:t>’s statement</w:t>
      </w:r>
    </w:p>
    <w:p w:rsidR="008515BF" w:rsidRPr="00053A47" w:rsidRDefault="008515BF" w:rsidP="008515BF">
      <w:pPr>
        <w:pStyle w:val="Header"/>
        <w:tabs>
          <w:tab w:val="clear" w:pos="4153"/>
          <w:tab w:val="clear" w:pos="8306"/>
          <w:tab w:val="left" w:pos="450"/>
        </w:tabs>
        <w:rPr>
          <w:rFonts w:ascii="Arial" w:hAnsi="Arial" w:cs="Arial"/>
          <w:b/>
          <w:sz w:val="24"/>
          <w:szCs w:val="24"/>
        </w:rPr>
      </w:pPr>
    </w:p>
    <w:p w:rsidR="008515BF" w:rsidRPr="00053A47" w:rsidRDefault="008515BF" w:rsidP="008515BF">
      <w:pPr>
        <w:pStyle w:val="Header"/>
        <w:tabs>
          <w:tab w:val="clear" w:pos="4153"/>
          <w:tab w:val="clear" w:pos="8306"/>
          <w:tab w:val="left" w:pos="450"/>
        </w:tabs>
        <w:rPr>
          <w:rFonts w:ascii="Arial" w:hAnsi="Arial" w:cs="Arial"/>
          <w:sz w:val="24"/>
          <w:szCs w:val="24"/>
        </w:rPr>
      </w:pPr>
      <w:r w:rsidRPr="00053A47">
        <w:rPr>
          <w:rFonts w:ascii="Arial" w:hAnsi="Arial" w:cs="Arial"/>
          <w:sz w:val="24"/>
          <w:szCs w:val="24"/>
        </w:rPr>
        <w:t>I certify that the statement of a</w:t>
      </w:r>
      <w:r w:rsidR="00B9005E">
        <w:rPr>
          <w:rFonts w:ascii="Arial" w:hAnsi="Arial" w:cs="Arial"/>
          <w:sz w:val="24"/>
          <w:szCs w:val="24"/>
        </w:rPr>
        <w:t xml:space="preserve">ccounts as set out on pages </w:t>
      </w:r>
      <w:r w:rsidR="00E9565C">
        <w:rPr>
          <w:rFonts w:ascii="Arial" w:hAnsi="Arial" w:cs="Arial"/>
          <w:sz w:val="24"/>
          <w:szCs w:val="24"/>
        </w:rPr>
        <w:t>18</w:t>
      </w:r>
      <w:r w:rsidR="00B9005E">
        <w:rPr>
          <w:rFonts w:ascii="Arial" w:hAnsi="Arial" w:cs="Arial"/>
          <w:sz w:val="24"/>
          <w:szCs w:val="24"/>
        </w:rPr>
        <w:t xml:space="preserve"> to </w:t>
      </w:r>
      <w:r w:rsidR="007005BD">
        <w:rPr>
          <w:rFonts w:ascii="Arial" w:hAnsi="Arial" w:cs="Arial"/>
          <w:sz w:val="24"/>
          <w:szCs w:val="24"/>
        </w:rPr>
        <w:t>54</w:t>
      </w:r>
      <w:r w:rsidRPr="00053A47">
        <w:rPr>
          <w:rFonts w:ascii="Arial" w:hAnsi="Arial" w:cs="Arial"/>
          <w:sz w:val="24"/>
          <w:szCs w:val="24"/>
        </w:rPr>
        <w:t xml:space="preserve"> presents a true and fair view of the financial </w:t>
      </w:r>
      <w:r w:rsidR="00342B25">
        <w:rPr>
          <w:rFonts w:ascii="Arial" w:hAnsi="Arial" w:cs="Arial"/>
          <w:sz w:val="24"/>
          <w:szCs w:val="24"/>
        </w:rPr>
        <w:t>position of the Brent</w:t>
      </w:r>
      <w:r w:rsidRPr="00053A47">
        <w:rPr>
          <w:rFonts w:ascii="Arial" w:hAnsi="Arial" w:cs="Arial"/>
          <w:sz w:val="24"/>
          <w:szCs w:val="24"/>
        </w:rPr>
        <w:t xml:space="preserve"> </w:t>
      </w:r>
      <w:r w:rsidR="00B65323">
        <w:rPr>
          <w:rFonts w:ascii="Arial" w:hAnsi="Arial" w:cs="Arial"/>
          <w:sz w:val="24"/>
          <w:szCs w:val="24"/>
        </w:rPr>
        <w:t>Pension Fund as at the accounting date</w:t>
      </w:r>
      <w:r w:rsidRPr="00053A47">
        <w:rPr>
          <w:rFonts w:ascii="Arial" w:hAnsi="Arial" w:cs="Arial"/>
          <w:sz w:val="24"/>
          <w:szCs w:val="24"/>
        </w:rPr>
        <w:t xml:space="preserve"> and its income and expenditure </w:t>
      </w:r>
      <w:r w:rsidR="00B65323">
        <w:rPr>
          <w:rFonts w:ascii="Arial" w:hAnsi="Arial" w:cs="Arial"/>
          <w:sz w:val="24"/>
          <w:szCs w:val="24"/>
        </w:rPr>
        <w:t>for the year ended 31 March 2013</w:t>
      </w:r>
      <w:r w:rsidRPr="00053A47">
        <w:rPr>
          <w:rFonts w:ascii="Arial" w:hAnsi="Arial" w:cs="Arial"/>
          <w:sz w:val="24"/>
          <w:szCs w:val="24"/>
        </w:rPr>
        <w:t>.</w:t>
      </w:r>
    </w:p>
    <w:p w:rsidR="00F915B0" w:rsidRDefault="00F915B0" w:rsidP="008515BF">
      <w:pPr>
        <w:pStyle w:val="Header"/>
        <w:tabs>
          <w:tab w:val="clear" w:pos="4153"/>
          <w:tab w:val="clear" w:pos="8306"/>
          <w:tab w:val="left" w:pos="450"/>
        </w:tabs>
        <w:rPr>
          <w:rFonts w:ascii="Arial" w:hAnsi="Arial" w:cs="Arial"/>
          <w:sz w:val="24"/>
          <w:szCs w:val="24"/>
        </w:rPr>
      </w:pPr>
    </w:p>
    <w:p w:rsidR="007005BD" w:rsidRDefault="007005BD" w:rsidP="008515BF">
      <w:pPr>
        <w:pStyle w:val="Header"/>
        <w:tabs>
          <w:tab w:val="clear" w:pos="4153"/>
          <w:tab w:val="clear" w:pos="8306"/>
          <w:tab w:val="left" w:pos="450"/>
        </w:tabs>
        <w:rPr>
          <w:rFonts w:ascii="Arial" w:hAnsi="Arial" w:cs="Arial"/>
          <w:sz w:val="24"/>
          <w:szCs w:val="24"/>
        </w:rPr>
      </w:pPr>
    </w:p>
    <w:p w:rsidR="007005BD" w:rsidRPr="00053A47" w:rsidRDefault="007005BD" w:rsidP="008515BF">
      <w:pPr>
        <w:pStyle w:val="Header"/>
        <w:tabs>
          <w:tab w:val="clear" w:pos="4153"/>
          <w:tab w:val="clear" w:pos="8306"/>
          <w:tab w:val="left" w:pos="450"/>
        </w:tabs>
        <w:rPr>
          <w:rFonts w:ascii="Arial" w:hAnsi="Arial" w:cs="Arial"/>
          <w:sz w:val="24"/>
          <w:szCs w:val="24"/>
        </w:rPr>
      </w:pPr>
    </w:p>
    <w:p w:rsidR="008515BF" w:rsidRPr="00201F51" w:rsidRDefault="00B94F4F" w:rsidP="008515BF">
      <w:pPr>
        <w:pStyle w:val="Header"/>
        <w:tabs>
          <w:tab w:val="clear" w:pos="4153"/>
          <w:tab w:val="clear" w:pos="8306"/>
          <w:tab w:val="left" w:pos="450"/>
        </w:tabs>
        <w:rPr>
          <w:rFonts w:ascii="Arial" w:hAnsi="Arial" w:cs="Arial"/>
          <w:b/>
          <w:sz w:val="24"/>
          <w:szCs w:val="24"/>
        </w:rPr>
      </w:pPr>
      <w:r w:rsidRPr="00201F51">
        <w:rPr>
          <w:rFonts w:ascii="Arial" w:hAnsi="Arial" w:cs="Arial"/>
          <w:b/>
          <w:sz w:val="24"/>
          <w:szCs w:val="24"/>
        </w:rPr>
        <w:t>Mick Bowden</w:t>
      </w:r>
      <w:r w:rsidR="008515BF" w:rsidRPr="00201F51">
        <w:rPr>
          <w:rFonts w:ascii="Arial" w:hAnsi="Arial" w:cs="Arial"/>
          <w:b/>
          <w:sz w:val="24"/>
          <w:szCs w:val="24"/>
        </w:rPr>
        <w:t xml:space="preserve"> CPFA</w:t>
      </w:r>
    </w:p>
    <w:p w:rsidR="00AF726D" w:rsidRDefault="00B94F4F" w:rsidP="008515BF">
      <w:pPr>
        <w:rPr>
          <w:rFonts w:ascii="Arial" w:hAnsi="Arial" w:cs="Arial"/>
          <w:snapToGrid w:val="0"/>
          <w:color w:val="000000"/>
          <w:sz w:val="24"/>
        </w:rPr>
      </w:pPr>
      <w:r w:rsidRPr="00201F51">
        <w:rPr>
          <w:rFonts w:ascii="Arial" w:hAnsi="Arial" w:cs="Arial"/>
          <w:sz w:val="24"/>
          <w:szCs w:val="24"/>
        </w:rPr>
        <w:t>Deputy Director of Finance</w:t>
      </w:r>
      <w:r w:rsidR="00C635FC">
        <w:rPr>
          <w:rFonts w:ascii="Arial" w:hAnsi="Arial" w:cs="Arial"/>
          <w:snapToGrid w:val="0"/>
          <w:color w:val="000000"/>
          <w:sz w:val="24"/>
        </w:rPr>
        <w:br w:type="page"/>
      </w:r>
    </w:p>
    <w:p w:rsidR="000B7F26" w:rsidRDefault="00AF726D" w:rsidP="000B7F26">
      <w:pPr>
        <w:rPr>
          <w:rFonts w:ascii="Arial" w:hAnsi="Arial" w:cs="Arial"/>
          <w:b/>
          <w:snapToGrid w:val="0"/>
          <w:color w:val="000000"/>
          <w:sz w:val="32"/>
          <w:szCs w:val="32"/>
        </w:rPr>
      </w:pPr>
      <w:r w:rsidRPr="000B7F26">
        <w:rPr>
          <w:rFonts w:ascii="Arial" w:hAnsi="Arial" w:cs="Arial"/>
          <w:b/>
          <w:snapToGrid w:val="0"/>
          <w:color w:val="000000"/>
          <w:sz w:val="32"/>
          <w:szCs w:val="32"/>
        </w:rPr>
        <w:lastRenderedPageBreak/>
        <w:t>Independent</w:t>
      </w:r>
      <w:r w:rsidR="000E0716" w:rsidRPr="000B7F26">
        <w:rPr>
          <w:rFonts w:ascii="Arial" w:hAnsi="Arial" w:cs="Arial"/>
          <w:b/>
          <w:snapToGrid w:val="0"/>
          <w:color w:val="000000"/>
          <w:sz w:val="32"/>
          <w:szCs w:val="32"/>
        </w:rPr>
        <w:t xml:space="preserve"> Auditor’s Report</w:t>
      </w:r>
    </w:p>
    <w:p w:rsidR="000B7F26" w:rsidRPr="000B7F26" w:rsidRDefault="000B7F26" w:rsidP="000B7F26">
      <w:pPr>
        <w:rPr>
          <w:rFonts w:ascii="Arial" w:hAnsi="Arial" w:cs="Arial"/>
          <w:b/>
          <w:snapToGrid w:val="0"/>
          <w:color w:val="000000"/>
          <w:sz w:val="32"/>
          <w:szCs w:val="32"/>
        </w:rPr>
      </w:pPr>
    </w:p>
    <w:p w:rsidR="00AD709A" w:rsidRPr="000B7F26" w:rsidRDefault="00AD709A" w:rsidP="000B7F26">
      <w:pPr>
        <w:rPr>
          <w:rFonts w:ascii="Arial" w:hAnsi="Arial" w:cs="Arial"/>
          <w:b/>
          <w:snapToGrid w:val="0"/>
          <w:color w:val="000000"/>
          <w:sz w:val="32"/>
          <w:szCs w:val="32"/>
          <w:highlight w:val="yellow"/>
        </w:rPr>
      </w:pPr>
      <w:r w:rsidRPr="000B7F26">
        <w:rPr>
          <w:rFonts w:ascii="Arial" w:hAnsi="Arial" w:cs="Arial"/>
          <w:b/>
          <w:sz w:val="24"/>
          <w:szCs w:val="24"/>
        </w:rPr>
        <w:t xml:space="preserve">Independent auditor’s report to the members of </w:t>
      </w:r>
      <w:r w:rsidR="0071299B">
        <w:rPr>
          <w:rFonts w:ascii="Arial" w:hAnsi="Arial" w:cs="Arial"/>
          <w:b/>
          <w:sz w:val="24"/>
          <w:szCs w:val="24"/>
        </w:rPr>
        <w:t>the London Borough of Brent</w:t>
      </w:r>
    </w:p>
    <w:p w:rsidR="00AD709A" w:rsidRPr="00AD709A" w:rsidRDefault="00AD709A" w:rsidP="00AD709A">
      <w:pPr>
        <w:jc w:val="both"/>
        <w:rPr>
          <w:rFonts w:ascii="Arial" w:hAnsi="Arial" w:cs="Arial"/>
          <w:sz w:val="24"/>
          <w:szCs w:val="24"/>
        </w:rPr>
      </w:pPr>
    </w:p>
    <w:p w:rsidR="00AD709A" w:rsidRDefault="00AD709A" w:rsidP="00AD709A">
      <w:pPr>
        <w:jc w:val="both"/>
        <w:rPr>
          <w:rFonts w:ascii="Arial" w:hAnsi="Arial" w:cs="Arial"/>
          <w:sz w:val="24"/>
          <w:szCs w:val="24"/>
        </w:rPr>
      </w:pPr>
      <w:r w:rsidRPr="00AD709A">
        <w:rPr>
          <w:rFonts w:ascii="Arial" w:hAnsi="Arial" w:cs="Arial"/>
          <w:sz w:val="24"/>
          <w:szCs w:val="24"/>
        </w:rPr>
        <w:t>We have audited the financial statements of the local government pension fund administered by the London Borough of Brent for the year ended</w:t>
      </w:r>
      <w:r w:rsidR="00734003">
        <w:rPr>
          <w:rFonts w:ascii="Arial" w:hAnsi="Arial" w:cs="Arial"/>
          <w:sz w:val="24"/>
          <w:szCs w:val="24"/>
        </w:rPr>
        <w:t xml:space="preserve"> </w:t>
      </w:r>
      <w:r w:rsidR="000B7F26">
        <w:rPr>
          <w:rFonts w:ascii="Arial" w:hAnsi="Arial" w:cs="Arial"/>
          <w:sz w:val="24"/>
          <w:szCs w:val="24"/>
        </w:rPr>
        <w:t>31 March 2013 on pages 18 to 54</w:t>
      </w:r>
      <w:r w:rsidRPr="00AD709A">
        <w:rPr>
          <w:rFonts w:ascii="Arial" w:hAnsi="Arial" w:cs="Arial"/>
          <w:sz w:val="24"/>
          <w:szCs w:val="24"/>
        </w:rPr>
        <w:t>. The financial reporting framework that has been applied in their preparation is applicable law and the CIPFA/LASAAC Code of Practice on Local Authority Accounting in the United Kingdom 2</w:t>
      </w:r>
      <w:r w:rsidR="00734003">
        <w:rPr>
          <w:rFonts w:ascii="Arial" w:hAnsi="Arial" w:cs="Arial"/>
          <w:sz w:val="24"/>
          <w:szCs w:val="24"/>
        </w:rPr>
        <w:t>012/13.</w:t>
      </w:r>
    </w:p>
    <w:p w:rsidR="00734003" w:rsidRPr="00AD709A" w:rsidRDefault="00734003" w:rsidP="00AD709A">
      <w:pPr>
        <w:jc w:val="both"/>
        <w:rPr>
          <w:rFonts w:ascii="Arial" w:hAnsi="Arial" w:cs="Arial"/>
          <w:sz w:val="24"/>
          <w:szCs w:val="24"/>
        </w:rPr>
      </w:pPr>
    </w:p>
    <w:p w:rsidR="00AD709A" w:rsidRPr="00AD709A" w:rsidRDefault="00AD709A" w:rsidP="00AD709A">
      <w:pPr>
        <w:jc w:val="both"/>
        <w:rPr>
          <w:rFonts w:ascii="Arial" w:hAnsi="Arial" w:cs="Arial"/>
          <w:sz w:val="24"/>
          <w:szCs w:val="24"/>
        </w:rPr>
      </w:pPr>
      <w:r w:rsidRPr="00AD709A">
        <w:rPr>
          <w:rFonts w:ascii="Arial" w:hAnsi="Arial" w:cs="Arial"/>
          <w:sz w:val="24"/>
          <w:szCs w:val="24"/>
        </w:rPr>
        <w:t>This report is made solely to the members of the Authority, as a body, in accordance with Part II of the Audit Commission Act 1998. Our audit work has been undertaken so that we might state to the members of</w:t>
      </w:r>
      <w:r w:rsidRPr="00AD709A">
        <w:rPr>
          <w:rFonts w:ascii="Arial" w:hAnsi="Arial" w:cs="Arial"/>
          <w:color w:val="FF0000"/>
          <w:sz w:val="24"/>
          <w:szCs w:val="24"/>
        </w:rPr>
        <w:t xml:space="preserve"> </w:t>
      </w:r>
      <w:r w:rsidRPr="00AD709A">
        <w:rPr>
          <w:rFonts w:ascii="Arial" w:hAnsi="Arial" w:cs="Arial"/>
          <w:sz w:val="24"/>
          <w:szCs w:val="24"/>
        </w:rPr>
        <w:t xml:space="preserve">the Authority, as a body, those matters we are required to state to them in an auditor’s report and for no other purpose. To the fullest extent permitted by law, we do not accept or assume responsibility to anyone other than the members of the Authority, as a body, for our audit work, for this report, or for the opinions we have formed. </w:t>
      </w:r>
    </w:p>
    <w:p w:rsidR="00A13392" w:rsidRDefault="00A13392" w:rsidP="00AD709A">
      <w:pPr>
        <w:jc w:val="both"/>
        <w:rPr>
          <w:rFonts w:ascii="Arial" w:hAnsi="Arial" w:cs="Arial"/>
          <w:b/>
          <w:bCs/>
          <w:sz w:val="24"/>
          <w:szCs w:val="24"/>
        </w:rPr>
      </w:pPr>
    </w:p>
    <w:p w:rsidR="00AD709A" w:rsidRPr="00AD709A" w:rsidRDefault="00AD709A" w:rsidP="00AD709A">
      <w:pPr>
        <w:jc w:val="both"/>
        <w:rPr>
          <w:rFonts w:ascii="Arial" w:hAnsi="Arial" w:cs="Arial"/>
          <w:sz w:val="24"/>
          <w:szCs w:val="24"/>
        </w:rPr>
      </w:pPr>
      <w:r w:rsidRPr="00AD709A">
        <w:rPr>
          <w:rFonts w:ascii="Arial" w:hAnsi="Arial" w:cs="Arial"/>
          <w:b/>
          <w:bCs/>
          <w:sz w:val="24"/>
          <w:szCs w:val="24"/>
        </w:rPr>
        <w:t>Respective responsibilities of the Director of Finance and auditor</w:t>
      </w:r>
    </w:p>
    <w:p w:rsidR="00A13392" w:rsidRDefault="00A13392" w:rsidP="00AD709A">
      <w:pPr>
        <w:jc w:val="both"/>
        <w:rPr>
          <w:rFonts w:ascii="Arial" w:hAnsi="Arial" w:cs="Arial"/>
          <w:sz w:val="24"/>
          <w:szCs w:val="24"/>
        </w:rPr>
      </w:pPr>
    </w:p>
    <w:p w:rsidR="00AD709A" w:rsidRPr="00AD709A" w:rsidRDefault="00AD709A" w:rsidP="00AD709A">
      <w:pPr>
        <w:jc w:val="both"/>
        <w:rPr>
          <w:rFonts w:ascii="Arial" w:hAnsi="Arial" w:cs="Arial"/>
          <w:color w:val="000000" w:themeColor="text1"/>
          <w:sz w:val="24"/>
          <w:szCs w:val="24"/>
        </w:rPr>
      </w:pPr>
      <w:r w:rsidRPr="00AD709A">
        <w:rPr>
          <w:rFonts w:ascii="Arial" w:hAnsi="Arial" w:cs="Arial"/>
          <w:sz w:val="24"/>
          <w:szCs w:val="24"/>
        </w:rPr>
        <w:t>The Director of Finance is responsible for the preparation of the pension fund financial</w:t>
      </w:r>
      <w:r w:rsidRPr="00AD709A">
        <w:rPr>
          <w:rFonts w:ascii="Arial" w:hAnsi="Arial" w:cs="Arial"/>
          <w:color w:val="000000" w:themeColor="text1"/>
          <w:sz w:val="24"/>
          <w:szCs w:val="24"/>
        </w:rPr>
        <w:t xml:space="preserve"> statements in accordance with the CIPFA/LASAAC Code of Practice on Local Authority Accounting in the United Kingdom 2012/13 and for being satisfied that they give a true and fair view of the financial transactions of the pension fund during the year ended 31 March 2013 and the amount and disposition of the fund’s assets and liabilities as at 31 March </w:t>
      </w:r>
      <w:r w:rsidRPr="00AD709A">
        <w:rPr>
          <w:rFonts w:ascii="Arial" w:hAnsi="Arial" w:cs="Arial"/>
          <w:sz w:val="24"/>
          <w:szCs w:val="24"/>
        </w:rPr>
        <w:t xml:space="preserve">2013, other than liabilities to pay pensions and other benefits after the end of the scheme year.  Our responsibility is to audit, and express an opinion on, the financial statements in accordance with applicable law and International Standards on Auditing (UK and Ireland). </w:t>
      </w:r>
      <w:r w:rsidRPr="00AD709A">
        <w:rPr>
          <w:rFonts w:ascii="Arial" w:hAnsi="Arial" w:cs="Arial"/>
          <w:color w:val="000000" w:themeColor="text1"/>
          <w:sz w:val="24"/>
          <w:szCs w:val="24"/>
        </w:rPr>
        <w:t>Those standards require us to comply with the Auditing Practices Board’s Ethical Standards for Auditors.</w:t>
      </w:r>
    </w:p>
    <w:p w:rsidR="00184CCC" w:rsidRDefault="00184CCC" w:rsidP="00AD709A">
      <w:pPr>
        <w:jc w:val="both"/>
        <w:rPr>
          <w:rFonts w:ascii="Arial" w:hAnsi="Arial" w:cs="Arial"/>
          <w:b/>
          <w:sz w:val="24"/>
          <w:szCs w:val="24"/>
        </w:rPr>
      </w:pPr>
    </w:p>
    <w:p w:rsidR="00AD709A" w:rsidRPr="00AD709A" w:rsidRDefault="00AD709A" w:rsidP="00AD709A">
      <w:pPr>
        <w:jc w:val="both"/>
        <w:rPr>
          <w:rFonts w:ascii="Arial" w:hAnsi="Arial" w:cs="Arial"/>
          <w:b/>
          <w:sz w:val="24"/>
          <w:szCs w:val="24"/>
        </w:rPr>
      </w:pPr>
      <w:r w:rsidRPr="00AD709A">
        <w:rPr>
          <w:rFonts w:ascii="Arial" w:hAnsi="Arial" w:cs="Arial"/>
          <w:b/>
          <w:sz w:val="24"/>
          <w:szCs w:val="24"/>
        </w:rPr>
        <w:t>Scope of the audit of the financial statements</w:t>
      </w:r>
    </w:p>
    <w:p w:rsidR="00184CCC" w:rsidRDefault="00184CCC" w:rsidP="00AD709A">
      <w:pPr>
        <w:jc w:val="both"/>
        <w:rPr>
          <w:rFonts w:ascii="Arial" w:hAnsi="Arial" w:cs="Arial"/>
          <w:sz w:val="24"/>
          <w:szCs w:val="24"/>
        </w:rPr>
      </w:pPr>
    </w:p>
    <w:p w:rsidR="00AD709A" w:rsidRPr="00AD709A" w:rsidRDefault="00AD709A" w:rsidP="00AD709A">
      <w:pPr>
        <w:jc w:val="both"/>
        <w:rPr>
          <w:rFonts w:ascii="Arial" w:hAnsi="Arial" w:cs="Arial"/>
          <w:sz w:val="24"/>
          <w:szCs w:val="24"/>
        </w:rPr>
      </w:pPr>
      <w:r w:rsidRPr="00AD709A">
        <w:rPr>
          <w:rFonts w:ascii="Arial" w:hAnsi="Arial" w:cs="Arial"/>
          <w:sz w:val="24"/>
          <w:szCs w:val="24"/>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pension fund’s circumstances and have been consistently applied and adequately disclosed; the reasonableness of significant accounting estimates made by the Director of Finance; and the overall presentation of the financial statements. In addition, we read all the financial and non-financial information in the Pension Fund Annual Report to identify material inconsistencies with the audited financial statements. If we become aware of any apparent material misstatements or inconsistencies we consider the implications for our report.</w:t>
      </w:r>
    </w:p>
    <w:p w:rsidR="00AD709A" w:rsidRPr="00AD709A" w:rsidRDefault="00AD709A" w:rsidP="00AD709A">
      <w:pPr>
        <w:jc w:val="both"/>
        <w:rPr>
          <w:rFonts w:ascii="Arial" w:hAnsi="Arial" w:cs="Arial"/>
          <w:b/>
          <w:sz w:val="24"/>
          <w:szCs w:val="24"/>
        </w:rPr>
      </w:pPr>
      <w:r w:rsidRPr="00AD709A">
        <w:rPr>
          <w:rFonts w:ascii="Arial" w:hAnsi="Arial" w:cs="Arial"/>
          <w:b/>
          <w:sz w:val="24"/>
          <w:szCs w:val="24"/>
        </w:rPr>
        <w:lastRenderedPageBreak/>
        <w:t>Opinion on financial statements</w:t>
      </w:r>
    </w:p>
    <w:p w:rsidR="00184CCC" w:rsidRDefault="00184CCC" w:rsidP="00AD709A">
      <w:pPr>
        <w:jc w:val="both"/>
        <w:rPr>
          <w:rFonts w:ascii="Arial" w:hAnsi="Arial" w:cs="Arial"/>
          <w:sz w:val="24"/>
          <w:szCs w:val="24"/>
        </w:rPr>
      </w:pPr>
    </w:p>
    <w:p w:rsidR="00184CCC" w:rsidRDefault="00AD709A" w:rsidP="00AD709A">
      <w:pPr>
        <w:jc w:val="both"/>
        <w:rPr>
          <w:rFonts w:ascii="Arial" w:hAnsi="Arial" w:cs="Arial"/>
          <w:sz w:val="24"/>
          <w:szCs w:val="24"/>
        </w:rPr>
      </w:pPr>
      <w:r w:rsidRPr="00AD709A">
        <w:rPr>
          <w:rFonts w:ascii="Arial" w:hAnsi="Arial" w:cs="Arial"/>
          <w:sz w:val="24"/>
          <w:szCs w:val="24"/>
        </w:rPr>
        <w:t>In our opinion the financial statements:</w:t>
      </w:r>
    </w:p>
    <w:p w:rsidR="00AD709A" w:rsidRPr="00AD709A" w:rsidRDefault="00AD709A" w:rsidP="00AD709A">
      <w:pPr>
        <w:jc w:val="both"/>
        <w:rPr>
          <w:rFonts w:ascii="Arial" w:hAnsi="Arial" w:cs="Arial"/>
          <w:sz w:val="24"/>
          <w:szCs w:val="24"/>
        </w:rPr>
      </w:pPr>
      <w:r w:rsidRPr="00AD709A">
        <w:rPr>
          <w:rFonts w:ascii="Arial" w:hAnsi="Arial" w:cs="Arial"/>
          <w:sz w:val="24"/>
          <w:szCs w:val="24"/>
        </w:rPr>
        <w:t xml:space="preserve"> </w:t>
      </w:r>
    </w:p>
    <w:p w:rsidR="00AD709A" w:rsidRPr="00AD709A" w:rsidRDefault="00AD709A" w:rsidP="00AD709A">
      <w:pPr>
        <w:pStyle w:val="ListParagraph"/>
        <w:numPr>
          <w:ilvl w:val="0"/>
          <w:numId w:val="46"/>
        </w:numPr>
        <w:spacing w:after="200" w:line="276" w:lineRule="auto"/>
        <w:contextualSpacing w:val="0"/>
        <w:jc w:val="both"/>
        <w:rPr>
          <w:rFonts w:ascii="Arial" w:hAnsi="Arial" w:cs="Arial"/>
          <w:sz w:val="24"/>
          <w:szCs w:val="24"/>
        </w:rPr>
      </w:pPr>
      <w:r w:rsidRPr="00AD709A">
        <w:rPr>
          <w:rFonts w:ascii="Arial" w:hAnsi="Arial" w:cs="Arial"/>
          <w:color w:val="000000" w:themeColor="text1"/>
          <w:sz w:val="24"/>
          <w:szCs w:val="24"/>
        </w:rPr>
        <w:t>give a true and fair view of the financial transactions of the pension fund during the year ended 31 March 2013 and the amount and disposition of the fund’s assets and liabilities as at 31 March 2013</w:t>
      </w:r>
      <w:r w:rsidRPr="00AD709A">
        <w:rPr>
          <w:rFonts w:ascii="Arial" w:hAnsi="Arial" w:cs="Arial"/>
          <w:sz w:val="24"/>
          <w:szCs w:val="24"/>
        </w:rPr>
        <w:t>, other than liabilities to pay pensions and other benefits after the end of the scheme year; and</w:t>
      </w:r>
    </w:p>
    <w:p w:rsidR="00AD709A" w:rsidRPr="00AD709A" w:rsidRDefault="00AD709A" w:rsidP="00AD709A">
      <w:pPr>
        <w:pStyle w:val="ListParagraph"/>
        <w:numPr>
          <w:ilvl w:val="0"/>
          <w:numId w:val="45"/>
        </w:numPr>
        <w:spacing w:after="200" w:line="276" w:lineRule="auto"/>
        <w:contextualSpacing w:val="0"/>
        <w:jc w:val="both"/>
        <w:rPr>
          <w:rFonts w:ascii="Arial" w:hAnsi="Arial" w:cs="Arial"/>
          <w:sz w:val="24"/>
          <w:szCs w:val="24"/>
        </w:rPr>
      </w:pPr>
      <w:r w:rsidRPr="00AD709A">
        <w:rPr>
          <w:rFonts w:ascii="Arial" w:hAnsi="Arial" w:cs="Arial"/>
          <w:sz w:val="24"/>
          <w:szCs w:val="24"/>
        </w:rPr>
        <w:t>have been prepared properly in accordance with the CIPFA/LASAAC Code of Practice on Local Authority Accounting in the United Kingdom 2012/13.</w:t>
      </w:r>
    </w:p>
    <w:p w:rsidR="00AD709A" w:rsidRPr="00AD709A" w:rsidRDefault="00AD709A" w:rsidP="00AD709A">
      <w:pPr>
        <w:jc w:val="both"/>
        <w:rPr>
          <w:rFonts w:ascii="Arial" w:hAnsi="Arial" w:cs="Arial"/>
          <w:b/>
          <w:sz w:val="24"/>
          <w:szCs w:val="24"/>
        </w:rPr>
      </w:pPr>
      <w:r w:rsidRPr="00AD709A">
        <w:rPr>
          <w:rFonts w:ascii="Arial" w:hAnsi="Arial" w:cs="Arial"/>
          <w:b/>
          <w:sz w:val="24"/>
          <w:szCs w:val="24"/>
        </w:rPr>
        <w:t>Matters on which we are required to report by exception</w:t>
      </w:r>
    </w:p>
    <w:p w:rsidR="00FE2658" w:rsidRDefault="00FE2658" w:rsidP="00AD709A">
      <w:pPr>
        <w:jc w:val="both"/>
        <w:rPr>
          <w:rFonts w:ascii="Arial" w:hAnsi="Arial" w:cs="Arial"/>
          <w:bCs/>
          <w:sz w:val="24"/>
          <w:szCs w:val="24"/>
        </w:rPr>
      </w:pPr>
    </w:p>
    <w:p w:rsidR="00AD709A" w:rsidRDefault="00AD709A" w:rsidP="00AD709A">
      <w:pPr>
        <w:jc w:val="both"/>
        <w:rPr>
          <w:rFonts w:ascii="Arial" w:hAnsi="Arial" w:cs="Arial"/>
          <w:bCs/>
          <w:sz w:val="24"/>
          <w:szCs w:val="24"/>
        </w:rPr>
      </w:pPr>
      <w:r w:rsidRPr="00AD709A">
        <w:rPr>
          <w:rFonts w:ascii="Arial" w:hAnsi="Arial" w:cs="Arial"/>
          <w:bCs/>
          <w:sz w:val="24"/>
          <w:szCs w:val="24"/>
        </w:rPr>
        <w:t>The Code of Audit Practice for Local Government Bodies 2010 requires us to report to you if:</w:t>
      </w:r>
    </w:p>
    <w:p w:rsidR="00FE2658" w:rsidRPr="00AD709A" w:rsidRDefault="00FE2658" w:rsidP="00AD709A">
      <w:pPr>
        <w:jc w:val="both"/>
        <w:rPr>
          <w:rFonts w:ascii="Arial" w:hAnsi="Arial" w:cs="Arial"/>
          <w:bCs/>
          <w:sz w:val="24"/>
          <w:szCs w:val="24"/>
        </w:rPr>
      </w:pPr>
    </w:p>
    <w:p w:rsidR="00AD709A" w:rsidRPr="00AD709A" w:rsidRDefault="00AD709A" w:rsidP="00AD709A">
      <w:pPr>
        <w:pStyle w:val="ListParagraph"/>
        <w:numPr>
          <w:ilvl w:val="0"/>
          <w:numId w:val="45"/>
        </w:numPr>
        <w:spacing w:after="200" w:line="276" w:lineRule="auto"/>
        <w:contextualSpacing w:val="0"/>
        <w:jc w:val="both"/>
        <w:rPr>
          <w:rFonts w:ascii="Arial" w:hAnsi="Arial" w:cs="Arial"/>
          <w:bCs/>
          <w:sz w:val="24"/>
          <w:szCs w:val="24"/>
        </w:rPr>
      </w:pPr>
      <w:r w:rsidRPr="00AD709A">
        <w:rPr>
          <w:rFonts w:ascii="Arial" w:hAnsi="Arial" w:cs="Arial"/>
          <w:bCs/>
          <w:sz w:val="24"/>
          <w:szCs w:val="24"/>
        </w:rPr>
        <w:t xml:space="preserve">the information given in the Pension Fund Annual Report for the financial year for which the financial statements are prepared is not consistent with the financial statements; or </w:t>
      </w:r>
    </w:p>
    <w:p w:rsidR="00AD709A" w:rsidRPr="00AD709A" w:rsidRDefault="00AD709A" w:rsidP="00AD709A">
      <w:pPr>
        <w:pStyle w:val="ListParagraph"/>
        <w:numPr>
          <w:ilvl w:val="0"/>
          <w:numId w:val="45"/>
        </w:numPr>
        <w:spacing w:after="200" w:line="276" w:lineRule="auto"/>
        <w:contextualSpacing w:val="0"/>
        <w:jc w:val="both"/>
        <w:rPr>
          <w:rFonts w:ascii="Arial" w:hAnsi="Arial" w:cs="Arial"/>
          <w:bCs/>
          <w:sz w:val="24"/>
          <w:szCs w:val="24"/>
        </w:rPr>
      </w:pPr>
      <w:r w:rsidRPr="00AD709A">
        <w:rPr>
          <w:rFonts w:ascii="Arial" w:hAnsi="Arial" w:cs="Arial"/>
          <w:bCs/>
          <w:sz w:val="24"/>
          <w:szCs w:val="24"/>
        </w:rPr>
        <w:t>any matters relating to the pension fund have been reported in the public interest under section 8 of Audit Commission Act 1998 in the course of, or at the conclusion of, the audit.</w:t>
      </w:r>
    </w:p>
    <w:p w:rsidR="00AD709A" w:rsidRPr="00AD709A" w:rsidRDefault="00AD709A" w:rsidP="00AD709A">
      <w:pPr>
        <w:rPr>
          <w:rFonts w:ascii="Arial" w:hAnsi="Arial" w:cs="Arial"/>
          <w:bCs/>
          <w:sz w:val="24"/>
          <w:szCs w:val="24"/>
        </w:rPr>
      </w:pPr>
      <w:r w:rsidRPr="00AD709A">
        <w:rPr>
          <w:rFonts w:ascii="Arial" w:hAnsi="Arial" w:cs="Arial"/>
          <w:bCs/>
          <w:sz w:val="24"/>
          <w:szCs w:val="24"/>
        </w:rPr>
        <w:t>We have nothing to report in respect of these matters</w:t>
      </w:r>
      <w:r w:rsidR="00FE2658">
        <w:rPr>
          <w:rFonts w:ascii="Arial" w:hAnsi="Arial" w:cs="Arial"/>
          <w:bCs/>
          <w:sz w:val="24"/>
          <w:szCs w:val="24"/>
        </w:rPr>
        <w:t>.</w:t>
      </w:r>
    </w:p>
    <w:p w:rsidR="00AD709A" w:rsidRPr="00AD709A" w:rsidRDefault="00AD709A" w:rsidP="00AD709A">
      <w:pPr>
        <w:jc w:val="both"/>
        <w:rPr>
          <w:rFonts w:ascii="Arial" w:hAnsi="Arial" w:cs="Arial"/>
          <w:sz w:val="24"/>
          <w:szCs w:val="24"/>
        </w:rPr>
      </w:pPr>
    </w:p>
    <w:p w:rsidR="00AD709A" w:rsidRPr="00AD709A" w:rsidRDefault="00AD709A" w:rsidP="00AD709A">
      <w:pPr>
        <w:jc w:val="both"/>
        <w:rPr>
          <w:rFonts w:ascii="Arial" w:hAnsi="Arial" w:cs="Arial"/>
          <w:sz w:val="24"/>
          <w:szCs w:val="24"/>
        </w:rPr>
      </w:pPr>
    </w:p>
    <w:p w:rsidR="00AD709A" w:rsidRPr="00AD709A" w:rsidRDefault="00AD709A" w:rsidP="00AD709A">
      <w:pPr>
        <w:jc w:val="both"/>
        <w:rPr>
          <w:rFonts w:ascii="Arial" w:hAnsi="Arial" w:cs="Arial"/>
          <w:sz w:val="24"/>
          <w:szCs w:val="24"/>
        </w:rPr>
      </w:pPr>
    </w:p>
    <w:p w:rsidR="00AD709A" w:rsidRPr="00AD709A" w:rsidRDefault="00AD709A" w:rsidP="00AD709A">
      <w:pPr>
        <w:jc w:val="both"/>
        <w:rPr>
          <w:rFonts w:ascii="Arial" w:hAnsi="Arial" w:cs="Arial"/>
          <w:sz w:val="24"/>
          <w:szCs w:val="24"/>
        </w:rPr>
      </w:pPr>
    </w:p>
    <w:p w:rsidR="00AD709A" w:rsidRPr="00AD709A" w:rsidRDefault="00AD709A" w:rsidP="00AD709A">
      <w:pPr>
        <w:jc w:val="both"/>
        <w:rPr>
          <w:rFonts w:ascii="Arial" w:hAnsi="Arial" w:cs="Arial"/>
          <w:sz w:val="24"/>
          <w:szCs w:val="24"/>
        </w:rPr>
      </w:pPr>
      <w:r w:rsidRPr="00AD709A">
        <w:rPr>
          <w:rFonts w:ascii="Arial" w:hAnsi="Arial" w:cs="Arial"/>
          <w:b/>
          <w:bCs/>
          <w:sz w:val="24"/>
          <w:szCs w:val="24"/>
        </w:rPr>
        <w:t>Philip Johnstone</w:t>
      </w:r>
    </w:p>
    <w:p w:rsidR="00AD709A" w:rsidRPr="00AD709A" w:rsidRDefault="00AD709A" w:rsidP="00AD709A">
      <w:pPr>
        <w:jc w:val="both"/>
        <w:rPr>
          <w:rFonts w:ascii="Arial" w:hAnsi="Arial" w:cs="Arial"/>
          <w:sz w:val="24"/>
          <w:szCs w:val="24"/>
        </w:rPr>
      </w:pPr>
      <w:r w:rsidRPr="00AD709A">
        <w:rPr>
          <w:rFonts w:ascii="Arial" w:hAnsi="Arial" w:cs="Arial"/>
          <w:b/>
          <w:bCs/>
          <w:sz w:val="24"/>
          <w:szCs w:val="24"/>
        </w:rPr>
        <w:t>for and on behalf of KPMG LLP, Appointed Auditor</w:t>
      </w:r>
    </w:p>
    <w:p w:rsidR="00AD709A" w:rsidRPr="00AD709A" w:rsidRDefault="00AD709A" w:rsidP="00AD709A">
      <w:pPr>
        <w:jc w:val="both"/>
        <w:rPr>
          <w:rFonts w:ascii="Arial" w:hAnsi="Arial" w:cs="Arial"/>
          <w:sz w:val="24"/>
          <w:szCs w:val="24"/>
        </w:rPr>
      </w:pPr>
      <w:r w:rsidRPr="00AD709A">
        <w:rPr>
          <w:rFonts w:ascii="Arial" w:hAnsi="Arial" w:cs="Arial"/>
          <w:i/>
          <w:iCs/>
          <w:sz w:val="24"/>
          <w:szCs w:val="24"/>
        </w:rPr>
        <w:t>Chartered Accountants</w:t>
      </w:r>
    </w:p>
    <w:p w:rsidR="00AD709A" w:rsidRPr="00AD709A" w:rsidRDefault="00AD709A" w:rsidP="00AD709A">
      <w:pPr>
        <w:rPr>
          <w:rFonts w:ascii="Arial" w:hAnsi="Arial" w:cs="Arial"/>
          <w:sz w:val="24"/>
          <w:szCs w:val="24"/>
        </w:rPr>
      </w:pPr>
      <w:r w:rsidRPr="00AD709A">
        <w:rPr>
          <w:rFonts w:ascii="Arial" w:hAnsi="Arial" w:cs="Arial"/>
          <w:sz w:val="24"/>
          <w:szCs w:val="24"/>
        </w:rPr>
        <w:t>15 Canada Square</w:t>
      </w:r>
      <w:r w:rsidRPr="00AD709A">
        <w:rPr>
          <w:rFonts w:ascii="Arial" w:hAnsi="Arial" w:cs="Arial"/>
          <w:sz w:val="24"/>
          <w:szCs w:val="24"/>
        </w:rPr>
        <w:br/>
        <w:t>London</w:t>
      </w:r>
      <w:r w:rsidRPr="00AD709A">
        <w:rPr>
          <w:rFonts w:ascii="Arial" w:hAnsi="Arial" w:cs="Arial"/>
          <w:sz w:val="24"/>
          <w:szCs w:val="24"/>
        </w:rPr>
        <w:br/>
        <w:t>E14 5GL</w:t>
      </w:r>
    </w:p>
    <w:p w:rsidR="00AD709A" w:rsidRPr="00AD709A" w:rsidRDefault="00AD709A" w:rsidP="00AD709A">
      <w:pPr>
        <w:spacing w:before="240"/>
        <w:rPr>
          <w:rFonts w:ascii="Arial" w:hAnsi="Arial" w:cs="Arial"/>
          <w:sz w:val="24"/>
          <w:szCs w:val="24"/>
        </w:rPr>
      </w:pPr>
      <w:r w:rsidRPr="00AD709A">
        <w:rPr>
          <w:rFonts w:ascii="Arial" w:hAnsi="Arial" w:cs="Arial"/>
          <w:sz w:val="24"/>
          <w:szCs w:val="24"/>
        </w:rPr>
        <w:t>26 September 2013</w:t>
      </w:r>
    </w:p>
    <w:p w:rsidR="00AD709A" w:rsidRDefault="00AD709A" w:rsidP="00FC1D4A">
      <w:pPr>
        <w:spacing w:before="240"/>
        <w:rPr>
          <w:rFonts w:ascii="Arial" w:hAnsi="Arial" w:cs="Arial"/>
          <w:sz w:val="24"/>
          <w:szCs w:val="24"/>
        </w:rPr>
      </w:pPr>
    </w:p>
    <w:p w:rsidR="00AD709A" w:rsidRDefault="00AD709A" w:rsidP="00FC1D4A">
      <w:pPr>
        <w:spacing w:before="240"/>
        <w:rPr>
          <w:rFonts w:ascii="Arial" w:hAnsi="Arial" w:cs="Arial"/>
          <w:sz w:val="24"/>
          <w:szCs w:val="24"/>
          <w:highlight w:val="yellow"/>
        </w:rPr>
      </w:pPr>
    </w:p>
    <w:p w:rsidR="00AD709A" w:rsidRDefault="00AD709A" w:rsidP="00FC1D4A">
      <w:pPr>
        <w:spacing w:before="240"/>
        <w:rPr>
          <w:rFonts w:ascii="Arial" w:hAnsi="Arial" w:cs="Arial"/>
          <w:sz w:val="24"/>
          <w:szCs w:val="24"/>
          <w:highlight w:val="yellow"/>
        </w:rPr>
      </w:pPr>
    </w:p>
    <w:p w:rsidR="00E12721" w:rsidRDefault="00E12721">
      <w:pPr>
        <w:rPr>
          <w:rFonts w:ascii="Arial" w:hAnsi="Arial" w:cs="Arial"/>
          <w:b/>
          <w:snapToGrid w:val="0"/>
          <w:color w:val="000000"/>
          <w:sz w:val="32"/>
          <w:szCs w:val="32"/>
        </w:rPr>
      </w:pPr>
      <w:r>
        <w:rPr>
          <w:rFonts w:ascii="Arial" w:hAnsi="Arial" w:cs="Arial"/>
          <w:b/>
          <w:snapToGrid w:val="0"/>
          <w:color w:val="000000"/>
          <w:sz w:val="32"/>
          <w:szCs w:val="32"/>
        </w:rPr>
        <w:br w:type="page"/>
      </w:r>
    </w:p>
    <w:p w:rsidR="00C635FC" w:rsidRPr="00ED32F9" w:rsidRDefault="00ED32F9" w:rsidP="0083647D">
      <w:pPr>
        <w:widowControl w:val="0"/>
        <w:tabs>
          <w:tab w:val="right" w:pos="7200"/>
        </w:tabs>
        <w:rPr>
          <w:rFonts w:ascii="Arial" w:hAnsi="Arial" w:cs="Arial"/>
          <w:b/>
          <w:snapToGrid w:val="0"/>
          <w:color w:val="000000"/>
          <w:sz w:val="32"/>
          <w:szCs w:val="32"/>
        </w:rPr>
      </w:pPr>
      <w:bookmarkStart w:id="0" w:name="_GoBack"/>
      <w:bookmarkEnd w:id="0"/>
      <w:r w:rsidRPr="00ED32F9">
        <w:rPr>
          <w:rFonts w:ascii="Arial" w:hAnsi="Arial" w:cs="Arial"/>
          <w:b/>
          <w:snapToGrid w:val="0"/>
          <w:color w:val="000000"/>
          <w:sz w:val="32"/>
          <w:szCs w:val="32"/>
        </w:rPr>
        <w:lastRenderedPageBreak/>
        <w:t>Appendices</w:t>
      </w:r>
    </w:p>
    <w:p w:rsidR="00ED32F9" w:rsidRDefault="00ED32F9" w:rsidP="0083647D">
      <w:pPr>
        <w:widowControl w:val="0"/>
        <w:tabs>
          <w:tab w:val="right" w:pos="7200"/>
        </w:tabs>
        <w:rPr>
          <w:rFonts w:ascii="Arial" w:hAnsi="Arial" w:cs="Arial"/>
          <w:snapToGrid w:val="0"/>
          <w:color w:val="000000"/>
          <w:sz w:val="24"/>
        </w:rPr>
      </w:pPr>
    </w:p>
    <w:p w:rsidR="00ED32F9" w:rsidRDefault="00ED32F9" w:rsidP="0083647D">
      <w:pPr>
        <w:widowControl w:val="0"/>
        <w:tabs>
          <w:tab w:val="right" w:pos="7200"/>
        </w:tabs>
        <w:rPr>
          <w:rFonts w:ascii="Arial" w:hAnsi="Arial" w:cs="Arial"/>
          <w:snapToGrid w:val="0"/>
          <w:color w:val="000000"/>
          <w:sz w:val="24"/>
        </w:rPr>
      </w:pPr>
    </w:p>
    <w:p w:rsidR="006F15EC" w:rsidRPr="00734D7A" w:rsidRDefault="006F15EC" w:rsidP="006F15EC">
      <w:pPr>
        <w:rPr>
          <w:rFonts w:ascii="Arial" w:hAnsi="Arial" w:cs="Arial"/>
          <w:b/>
          <w:sz w:val="28"/>
          <w:szCs w:val="28"/>
        </w:rPr>
      </w:pPr>
      <w:r w:rsidRPr="00734D7A">
        <w:rPr>
          <w:rFonts w:ascii="Arial" w:hAnsi="Arial" w:cs="Arial"/>
          <w:b/>
          <w:sz w:val="28"/>
          <w:szCs w:val="28"/>
        </w:rPr>
        <w:t>Annual Governance Statement</w:t>
      </w:r>
    </w:p>
    <w:p w:rsidR="006F15EC" w:rsidRDefault="006F15EC" w:rsidP="006F15EC">
      <w:pPr>
        <w:rPr>
          <w:rFonts w:ascii="Arial" w:hAnsi="Arial" w:cs="Arial"/>
          <w:sz w:val="24"/>
          <w:szCs w:val="24"/>
        </w:rPr>
      </w:pPr>
    </w:p>
    <w:p w:rsidR="002C652C" w:rsidRDefault="002C652C" w:rsidP="006F15EC">
      <w:pPr>
        <w:rPr>
          <w:rFonts w:ascii="Arial" w:hAnsi="Arial" w:cs="Arial"/>
          <w:sz w:val="24"/>
          <w:szCs w:val="24"/>
        </w:rPr>
      </w:pPr>
    </w:p>
    <w:p w:rsidR="00B93F85" w:rsidRPr="008C3A65" w:rsidRDefault="00B93F85" w:rsidP="00B93F85">
      <w:pPr>
        <w:rPr>
          <w:rFonts w:ascii="Arial" w:hAnsi="Arial" w:cs="Arial"/>
          <w:sz w:val="24"/>
        </w:rPr>
      </w:pPr>
      <w:r w:rsidRPr="008C3A65">
        <w:rPr>
          <w:rFonts w:ascii="Arial" w:hAnsi="Arial" w:cs="Arial"/>
          <w:sz w:val="24"/>
        </w:rPr>
        <w:t>The Local Government Pension Scheme (Amendment) (No 3) Regulations 2007 require the Fund to maintain a Governance Policy Statement.</w:t>
      </w:r>
    </w:p>
    <w:p w:rsidR="00B93F85" w:rsidRPr="00E351AB" w:rsidRDefault="00B93F85" w:rsidP="00B93F85">
      <w:pPr>
        <w:rPr>
          <w:rFonts w:ascii="Arial" w:hAnsi="Arial" w:cs="Arial"/>
          <w:sz w:val="24"/>
          <w:highlight w:val="lightGray"/>
        </w:rPr>
      </w:pPr>
    </w:p>
    <w:p w:rsidR="00B93F85" w:rsidRPr="008C3A65" w:rsidRDefault="002C652C" w:rsidP="00B93F85">
      <w:pPr>
        <w:rPr>
          <w:rFonts w:ascii="Arial" w:hAnsi="Arial" w:cs="Arial"/>
          <w:sz w:val="24"/>
        </w:rPr>
      </w:pPr>
      <w:r>
        <w:rPr>
          <w:rFonts w:ascii="Arial" w:hAnsi="Arial" w:cs="Arial"/>
          <w:sz w:val="24"/>
        </w:rPr>
        <w:t>The Council, as Administering Authority for the Brent</w:t>
      </w:r>
      <w:r w:rsidR="00B93F85" w:rsidRPr="008C3A65">
        <w:rPr>
          <w:rFonts w:ascii="Arial" w:hAnsi="Arial" w:cs="Arial"/>
          <w:sz w:val="24"/>
        </w:rPr>
        <w:t xml:space="preserve"> Pension Fund, has delegated responsibility for managi</w:t>
      </w:r>
      <w:r w:rsidR="00DF15CD">
        <w:rPr>
          <w:rFonts w:ascii="Arial" w:hAnsi="Arial" w:cs="Arial"/>
          <w:sz w:val="24"/>
        </w:rPr>
        <w:t>ng the Fund’s investments to its</w:t>
      </w:r>
      <w:r w:rsidR="00B93F85" w:rsidRPr="008C3A65">
        <w:rPr>
          <w:rFonts w:ascii="Arial" w:hAnsi="Arial" w:cs="Arial"/>
          <w:sz w:val="24"/>
        </w:rPr>
        <w:t xml:space="preserve"> Pension Fund </w:t>
      </w:r>
      <w:r>
        <w:rPr>
          <w:rFonts w:ascii="Arial" w:hAnsi="Arial" w:cs="Arial"/>
          <w:sz w:val="24"/>
        </w:rPr>
        <w:t>Sub-Committee</w:t>
      </w:r>
      <w:r w:rsidR="00B93F85" w:rsidRPr="008C3A65">
        <w:rPr>
          <w:rFonts w:ascii="Arial" w:hAnsi="Arial" w:cs="Arial"/>
          <w:sz w:val="24"/>
        </w:rPr>
        <w:t>.</w:t>
      </w:r>
    </w:p>
    <w:p w:rsidR="00B93F85" w:rsidRPr="00E351AB" w:rsidRDefault="00B93F85" w:rsidP="00B93F85">
      <w:pPr>
        <w:rPr>
          <w:rFonts w:ascii="Arial" w:hAnsi="Arial" w:cs="Arial"/>
          <w:sz w:val="24"/>
          <w:highlight w:val="lightGray"/>
        </w:rPr>
      </w:pPr>
    </w:p>
    <w:p w:rsidR="00B93F85" w:rsidRPr="008C3A65" w:rsidRDefault="0095617D" w:rsidP="00B93F85">
      <w:pPr>
        <w:rPr>
          <w:rFonts w:ascii="Arial" w:hAnsi="Arial" w:cs="Arial"/>
          <w:sz w:val="24"/>
        </w:rPr>
      </w:pPr>
      <w:r>
        <w:rPr>
          <w:rFonts w:ascii="Arial" w:hAnsi="Arial" w:cs="Arial"/>
          <w:sz w:val="24"/>
        </w:rPr>
        <w:t>The Pension Fund Sub-Committee</w:t>
      </w:r>
      <w:r w:rsidR="00B93F85" w:rsidRPr="008C3A65">
        <w:rPr>
          <w:rFonts w:ascii="Arial" w:hAnsi="Arial" w:cs="Arial"/>
          <w:sz w:val="24"/>
        </w:rPr>
        <w:t xml:space="preserve"> oversees the proper administration and management of the Pension Fund. It is responsible for:</w:t>
      </w:r>
    </w:p>
    <w:p w:rsidR="00B93F85" w:rsidRPr="00E351AB" w:rsidRDefault="00B93F85" w:rsidP="00B93F85">
      <w:pPr>
        <w:rPr>
          <w:rFonts w:ascii="Arial" w:hAnsi="Arial" w:cs="Arial"/>
          <w:sz w:val="24"/>
          <w:highlight w:val="lightGray"/>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appointing external fund managers and advisers</w:t>
      </w:r>
    </w:p>
    <w:p w:rsidR="00B93F85" w:rsidRPr="008C3A65" w:rsidRDefault="00B93F85" w:rsidP="00B93F85">
      <w:pPr>
        <w:rPr>
          <w:rFonts w:ascii="Arial" w:hAnsi="Arial" w:cs="Arial"/>
          <w:sz w:val="24"/>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making suitable custody arrangements for the Fund’s investments</w:t>
      </w:r>
    </w:p>
    <w:p w:rsidR="00B93F85" w:rsidRPr="00E351AB" w:rsidRDefault="00B93F85" w:rsidP="00B93F85">
      <w:pPr>
        <w:rPr>
          <w:rFonts w:ascii="Arial" w:hAnsi="Arial" w:cs="Arial"/>
          <w:sz w:val="24"/>
          <w:highlight w:val="lightGray"/>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considering and approving actuarial valuations every three years and determining the level of employers’ contributions</w:t>
      </w:r>
    </w:p>
    <w:p w:rsidR="00B93F85" w:rsidRPr="008C3A65" w:rsidRDefault="00B93F85" w:rsidP="00B93F85">
      <w:pPr>
        <w:rPr>
          <w:rFonts w:ascii="Arial" w:hAnsi="Arial" w:cs="Arial"/>
          <w:sz w:val="24"/>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considering changes in pension fund regulations and determining actions required</w:t>
      </w:r>
    </w:p>
    <w:p w:rsidR="00B93F85" w:rsidRPr="00E351AB" w:rsidRDefault="00B93F85" w:rsidP="00B93F85">
      <w:pPr>
        <w:rPr>
          <w:rFonts w:ascii="Arial" w:hAnsi="Arial" w:cs="Arial"/>
          <w:sz w:val="24"/>
          <w:highlight w:val="lightGray"/>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considering and approving strategic advice on investment policy</w:t>
      </w:r>
    </w:p>
    <w:p w:rsidR="00B93F85" w:rsidRPr="008C3A65" w:rsidRDefault="00B93F85" w:rsidP="00B93F85">
      <w:pPr>
        <w:rPr>
          <w:rFonts w:ascii="Arial" w:hAnsi="Arial" w:cs="Arial"/>
          <w:sz w:val="24"/>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considering and approving the external managers’ investment strategies</w:t>
      </w:r>
    </w:p>
    <w:p w:rsidR="00B93F85" w:rsidRPr="008C3A65" w:rsidRDefault="00B93F85" w:rsidP="00B93F85">
      <w:pPr>
        <w:rPr>
          <w:rFonts w:ascii="Arial" w:hAnsi="Arial" w:cs="Arial"/>
          <w:sz w:val="24"/>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 xml:space="preserve">monitoring the investment performance of each </w:t>
      </w:r>
      <w:r w:rsidR="009D4014">
        <w:rPr>
          <w:rFonts w:ascii="Arial" w:hAnsi="Arial" w:cs="Arial"/>
          <w:sz w:val="24"/>
        </w:rPr>
        <w:t>manager against their</w:t>
      </w:r>
      <w:r w:rsidRPr="008C3A65">
        <w:rPr>
          <w:rFonts w:ascii="Arial" w:hAnsi="Arial" w:cs="Arial"/>
          <w:sz w:val="24"/>
        </w:rPr>
        <w:t xml:space="preserve"> </w:t>
      </w:r>
      <w:r w:rsidR="0082122C">
        <w:rPr>
          <w:rFonts w:ascii="Arial" w:hAnsi="Arial" w:cs="Arial"/>
          <w:sz w:val="24"/>
        </w:rPr>
        <w:t xml:space="preserve">respective </w:t>
      </w:r>
      <w:r w:rsidRPr="008C3A65">
        <w:rPr>
          <w:rFonts w:ascii="Arial" w:hAnsi="Arial" w:cs="Arial"/>
          <w:sz w:val="24"/>
        </w:rPr>
        <w:t>benchmark</w:t>
      </w:r>
      <w:r w:rsidR="0082122C">
        <w:rPr>
          <w:rFonts w:ascii="Arial" w:hAnsi="Arial" w:cs="Arial"/>
          <w:sz w:val="24"/>
        </w:rPr>
        <w:t>s</w:t>
      </w:r>
    </w:p>
    <w:p w:rsidR="00B93F85" w:rsidRPr="00E351AB" w:rsidRDefault="00B93F85" w:rsidP="00B93F85">
      <w:pPr>
        <w:rPr>
          <w:rFonts w:ascii="Arial" w:hAnsi="Arial" w:cs="Arial"/>
          <w:sz w:val="24"/>
          <w:highlight w:val="lightGray"/>
        </w:rPr>
      </w:pPr>
    </w:p>
    <w:p w:rsidR="00B93F85" w:rsidRPr="008C3A65" w:rsidRDefault="00B93F85" w:rsidP="00B93F85">
      <w:pPr>
        <w:numPr>
          <w:ilvl w:val="0"/>
          <w:numId w:val="44"/>
        </w:numPr>
        <w:rPr>
          <w:rFonts w:ascii="Arial" w:hAnsi="Arial" w:cs="Arial"/>
          <w:sz w:val="24"/>
        </w:rPr>
      </w:pPr>
      <w:r w:rsidRPr="008C3A65">
        <w:rPr>
          <w:rFonts w:ascii="Arial" w:hAnsi="Arial" w:cs="Arial"/>
          <w:sz w:val="24"/>
        </w:rPr>
        <w:t>the periodic review of the Statement of Investment Principle</w:t>
      </w:r>
      <w:r w:rsidR="00A07E05">
        <w:rPr>
          <w:rFonts w:ascii="Arial" w:hAnsi="Arial" w:cs="Arial"/>
          <w:sz w:val="24"/>
        </w:rPr>
        <w:t>s, the</w:t>
      </w:r>
      <w:r w:rsidRPr="008C3A65">
        <w:rPr>
          <w:rFonts w:ascii="Arial" w:hAnsi="Arial" w:cs="Arial"/>
          <w:sz w:val="24"/>
        </w:rPr>
        <w:t xml:space="preserve"> Funding Strategy Statement, this Governance Policy Statement, its Governance Compliance Statement and the Fund’s Communication Policy Statement.</w:t>
      </w:r>
    </w:p>
    <w:p w:rsidR="00B93F85" w:rsidRPr="00E351AB" w:rsidRDefault="00B93F85" w:rsidP="00B93F85">
      <w:pPr>
        <w:rPr>
          <w:rFonts w:ascii="Arial" w:hAnsi="Arial" w:cs="Arial"/>
          <w:sz w:val="24"/>
          <w:highlight w:val="lightGray"/>
        </w:rPr>
      </w:pPr>
    </w:p>
    <w:p w:rsidR="00B93F85" w:rsidRPr="008C3A65" w:rsidRDefault="00A07E05" w:rsidP="00B93F85">
      <w:pPr>
        <w:rPr>
          <w:rFonts w:ascii="Arial" w:hAnsi="Arial" w:cs="Arial"/>
          <w:sz w:val="24"/>
        </w:rPr>
      </w:pPr>
      <w:r>
        <w:rPr>
          <w:rFonts w:ascii="Arial" w:hAnsi="Arial" w:cs="Arial"/>
          <w:sz w:val="24"/>
        </w:rPr>
        <w:t>The Pension Fund Sub-Committee normally meets four</w:t>
      </w:r>
      <w:r w:rsidR="00B93F85" w:rsidRPr="008C3A65">
        <w:rPr>
          <w:rFonts w:ascii="Arial" w:hAnsi="Arial" w:cs="Arial"/>
          <w:sz w:val="24"/>
        </w:rPr>
        <w:t xml:space="preserve"> times each year. </w:t>
      </w:r>
      <w:r w:rsidR="0033357A">
        <w:rPr>
          <w:rFonts w:ascii="Arial" w:hAnsi="Arial" w:cs="Arial"/>
          <w:sz w:val="24"/>
        </w:rPr>
        <w:t>T</w:t>
      </w:r>
      <w:r w:rsidR="00DD30CF">
        <w:rPr>
          <w:rFonts w:ascii="Arial" w:hAnsi="Arial" w:cs="Arial"/>
          <w:sz w:val="24"/>
        </w:rPr>
        <w:t>hese meetings</w:t>
      </w:r>
      <w:r w:rsidR="0033357A" w:rsidRPr="0033357A">
        <w:rPr>
          <w:rFonts w:ascii="Arial" w:hAnsi="Arial" w:cs="Arial"/>
          <w:sz w:val="24"/>
        </w:rPr>
        <w:t xml:space="preserve"> </w:t>
      </w:r>
      <w:r w:rsidR="0033357A" w:rsidRPr="008C3A65">
        <w:rPr>
          <w:rFonts w:ascii="Arial" w:hAnsi="Arial" w:cs="Arial"/>
          <w:sz w:val="24"/>
        </w:rPr>
        <w:t>are used mainly for discussions with the Fund’s investment managers</w:t>
      </w:r>
      <w:r w:rsidR="0033357A">
        <w:rPr>
          <w:rFonts w:ascii="Arial" w:hAnsi="Arial" w:cs="Arial"/>
          <w:sz w:val="24"/>
        </w:rPr>
        <w:t>, using</w:t>
      </w:r>
      <w:r w:rsidR="0033357A" w:rsidRPr="008C3A65">
        <w:rPr>
          <w:rFonts w:ascii="Arial" w:hAnsi="Arial" w:cs="Arial"/>
          <w:sz w:val="24"/>
        </w:rPr>
        <w:t xml:space="preserve"> report</w:t>
      </w:r>
      <w:r w:rsidR="0033357A">
        <w:rPr>
          <w:rFonts w:ascii="Arial" w:hAnsi="Arial" w:cs="Arial"/>
          <w:sz w:val="24"/>
        </w:rPr>
        <w:t>s</w:t>
      </w:r>
      <w:r w:rsidR="0033357A" w:rsidRPr="008C3A65">
        <w:rPr>
          <w:rFonts w:ascii="Arial" w:hAnsi="Arial" w:cs="Arial"/>
          <w:sz w:val="24"/>
        </w:rPr>
        <w:t xml:space="preserve"> on their strategies and performance prepared by the </w:t>
      </w:r>
      <w:r w:rsidR="00D64359">
        <w:rPr>
          <w:rFonts w:ascii="Arial" w:hAnsi="Arial" w:cs="Arial"/>
          <w:sz w:val="24"/>
        </w:rPr>
        <w:t>Chief Finance</w:t>
      </w:r>
      <w:r w:rsidR="0033357A">
        <w:rPr>
          <w:rFonts w:ascii="Arial" w:hAnsi="Arial" w:cs="Arial"/>
          <w:sz w:val="24"/>
        </w:rPr>
        <w:t xml:space="preserve"> Officer</w:t>
      </w:r>
      <w:r w:rsidR="0033357A" w:rsidRPr="008C3A65">
        <w:rPr>
          <w:rFonts w:ascii="Arial" w:hAnsi="Arial" w:cs="Arial"/>
          <w:sz w:val="24"/>
        </w:rPr>
        <w:t>, any views of the independent adviser, and presentations prepared by the managers</w:t>
      </w:r>
      <w:r w:rsidR="0033357A">
        <w:rPr>
          <w:rFonts w:ascii="Arial" w:hAnsi="Arial" w:cs="Arial"/>
          <w:sz w:val="24"/>
        </w:rPr>
        <w:t xml:space="preserve"> themselves</w:t>
      </w:r>
      <w:r w:rsidR="00BF1E28">
        <w:rPr>
          <w:rFonts w:ascii="Arial" w:hAnsi="Arial" w:cs="Arial"/>
          <w:sz w:val="24"/>
        </w:rPr>
        <w:t>. T</w:t>
      </w:r>
      <w:r w:rsidR="00DD30CF">
        <w:rPr>
          <w:rFonts w:ascii="Arial" w:hAnsi="Arial" w:cs="Arial"/>
          <w:sz w:val="24"/>
        </w:rPr>
        <w:t>he Pension Fund Sub-Committee</w:t>
      </w:r>
      <w:r w:rsidR="00FF0EE9">
        <w:rPr>
          <w:rFonts w:ascii="Arial" w:hAnsi="Arial" w:cs="Arial"/>
          <w:sz w:val="24"/>
        </w:rPr>
        <w:t xml:space="preserve"> </w:t>
      </w:r>
      <w:r w:rsidR="0081489C">
        <w:rPr>
          <w:rFonts w:ascii="Arial" w:hAnsi="Arial" w:cs="Arial"/>
          <w:sz w:val="24"/>
        </w:rPr>
        <w:t>will also</w:t>
      </w:r>
      <w:r w:rsidR="00DD30CF">
        <w:rPr>
          <w:rFonts w:ascii="Arial" w:hAnsi="Arial" w:cs="Arial"/>
          <w:sz w:val="24"/>
        </w:rPr>
        <w:t xml:space="preserve"> </w:t>
      </w:r>
      <w:r w:rsidR="0081489C">
        <w:rPr>
          <w:rFonts w:ascii="Arial" w:hAnsi="Arial" w:cs="Arial"/>
          <w:sz w:val="24"/>
        </w:rPr>
        <w:t>consider</w:t>
      </w:r>
      <w:r w:rsidR="00B93F85" w:rsidRPr="008C3A65">
        <w:rPr>
          <w:rFonts w:ascii="Arial" w:hAnsi="Arial" w:cs="Arial"/>
          <w:sz w:val="24"/>
        </w:rPr>
        <w:t xml:space="preserve"> reports from the </w:t>
      </w:r>
      <w:r w:rsidR="00D64359">
        <w:rPr>
          <w:rFonts w:ascii="Arial" w:hAnsi="Arial" w:cs="Arial"/>
          <w:sz w:val="24"/>
        </w:rPr>
        <w:t>Chief Finance</w:t>
      </w:r>
      <w:r w:rsidR="00843B8F">
        <w:rPr>
          <w:rFonts w:ascii="Arial" w:hAnsi="Arial" w:cs="Arial"/>
          <w:sz w:val="24"/>
        </w:rPr>
        <w:t xml:space="preserve"> Officer</w:t>
      </w:r>
      <w:r w:rsidR="00B93F85" w:rsidRPr="008C3A65">
        <w:rPr>
          <w:rFonts w:ascii="Arial" w:hAnsi="Arial" w:cs="Arial"/>
          <w:sz w:val="24"/>
        </w:rPr>
        <w:t>, the independent adviser and other consultants as necessary on a range of issues, for example reviews of the Statement of Investment Prin</w:t>
      </w:r>
      <w:r w:rsidR="00843B8F">
        <w:rPr>
          <w:rFonts w:ascii="Arial" w:hAnsi="Arial" w:cs="Arial"/>
          <w:sz w:val="24"/>
        </w:rPr>
        <w:t>ciples</w:t>
      </w:r>
      <w:r w:rsidR="00B93F85" w:rsidRPr="008C3A65">
        <w:rPr>
          <w:rFonts w:ascii="Arial" w:hAnsi="Arial" w:cs="Arial"/>
          <w:sz w:val="24"/>
        </w:rPr>
        <w:t>, training, and proposals for scheme change.</w:t>
      </w:r>
    </w:p>
    <w:p w:rsidR="00B93F85" w:rsidRPr="00E351AB" w:rsidRDefault="00B93F85" w:rsidP="00B93F85">
      <w:pPr>
        <w:rPr>
          <w:rFonts w:ascii="Arial" w:hAnsi="Arial" w:cs="Arial"/>
          <w:sz w:val="24"/>
          <w:highlight w:val="lightGray"/>
        </w:rPr>
      </w:pPr>
    </w:p>
    <w:p w:rsidR="0081489C" w:rsidRDefault="0081489C">
      <w:pPr>
        <w:rPr>
          <w:rFonts w:ascii="Arial" w:hAnsi="Arial" w:cs="Arial"/>
          <w:sz w:val="24"/>
        </w:rPr>
      </w:pPr>
      <w:r>
        <w:rPr>
          <w:rFonts w:ascii="Arial" w:hAnsi="Arial" w:cs="Arial"/>
          <w:sz w:val="24"/>
        </w:rPr>
        <w:br w:type="page"/>
      </w:r>
    </w:p>
    <w:p w:rsidR="00B93F85" w:rsidRPr="008C3A65" w:rsidRDefault="0081489C" w:rsidP="00B93F85">
      <w:pPr>
        <w:rPr>
          <w:rFonts w:ascii="Arial" w:hAnsi="Arial" w:cs="Arial"/>
          <w:sz w:val="24"/>
        </w:rPr>
      </w:pPr>
      <w:r>
        <w:rPr>
          <w:rFonts w:ascii="Arial" w:hAnsi="Arial" w:cs="Arial"/>
          <w:sz w:val="24"/>
        </w:rPr>
        <w:lastRenderedPageBreak/>
        <w:t>The Pension Fund Sub-Committee</w:t>
      </w:r>
      <w:r w:rsidR="00B93F85" w:rsidRPr="008C3A65">
        <w:rPr>
          <w:rFonts w:ascii="Arial" w:hAnsi="Arial" w:cs="Arial"/>
          <w:sz w:val="24"/>
        </w:rPr>
        <w:t xml:space="preserve"> is constituted to reflect the views of:</w:t>
      </w:r>
    </w:p>
    <w:p w:rsidR="00B93F85" w:rsidRPr="00E351AB" w:rsidRDefault="00B93F85" w:rsidP="00B93F85">
      <w:pPr>
        <w:rPr>
          <w:rFonts w:ascii="Arial" w:hAnsi="Arial" w:cs="Arial"/>
          <w:sz w:val="24"/>
          <w:highlight w:val="lightGray"/>
        </w:rPr>
      </w:pPr>
    </w:p>
    <w:p w:rsidR="00B93F85" w:rsidRPr="008C3A65" w:rsidRDefault="0081489C" w:rsidP="00B93F85">
      <w:pPr>
        <w:numPr>
          <w:ilvl w:val="0"/>
          <w:numId w:val="42"/>
        </w:numPr>
        <w:rPr>
          <w:rFonts w:ascii="Arial" w:hAnsi="Arial" w:cs="Arial"/>
          <w:sz w:val="24"/>
        </w:rPr>
      </w:pPr>
      <w:r>
        <w:rPr>
          <w:rFonts w:ascii="Arial" w:hAnsi="Arial" w:cs="Arial"/>
          <w:sz w:val="24"/>
        </w:rPr>
        <w:t>the Council as Administering A</w:t>
      </w:r>
      <w:r w:rsidR="00B93F85" w:rsidRPr="008C3A65">
        <w:rPr>
          <w:rFonts w:ascii="Arial" w:hAnsi="Arial" w:cs="Arial"/>
          <w:sz w:val="24"/>
        </w:rPr>
        <w:t>uthority and</w:t>
      </w:r>
      <w:r w:rsidR="007C5C9C">
        <w:rPr>
          <w:rFonts w:ascii="Arial" w:hAnsi="Arial" w:cs="Arial"/>
          <w:sz w:val="24"/>
        </w:rPr>
        <w:t xml:space="preserve"> the largest employer with 7</w:t>
      </w:r>
      <w:r w:rsidR="00B93F85" w:rsidRPr="008C3A65">
        <w:rPr>
          <w:rFonts w:ascii="Arial" w:hAnsi="Arial" w:cs="Arial"/>
          <w:sz w:val="24"/>
        </w:rPr>
        <w:t>6% of the contributing membership</w:t>
      </w:r>
    </w:p>
    <w:p w:rsidR="00B93F85" w:rsidRPr="007C5C9C" w:rsidRDefault="007C5C9C" w:rsidP="00B93F85">
      <w:pPr>
        <w:numPr>
          <w:ilvl w:val="0"/>
          <w:numId w:val="42"/>
        </w:numPr>
        <w:rPr>
          <w:rFonts w:ascii="Arial" w:hAnsi="Arial" w:cs="Arial"/>
          <w:sz w:val="24"/>
        </w:rPr>
      </w:pPr>
      <w:r w:rsidRPr="007C5C9C">
        <w:rPr>
          <w:rFonts w:ascii="Arial" w:hAnsi="Arial" w:cs="Arial"/>
          <w:sz w:val="24"/>
        </w:rPr>
        <w:t xml:space="preserve">other employers </w:t>
      </w:r>
      <w:r>
        <w:rPr>
          <w:rFonts w:ascii="Arial" w:hAnsi="Arial" w:cs="Arial"/>
          <w:sz w:val="24"/>
        </w:rPr>
        <w:t>with 2</w:t>
      </w:r>
      <w:r w:rsidR="00B93F85" w:rsidRPr="007C5C9C">
        <w:rPr>
          <w:rFonts w:ascii="Arial" w:hAnsi="Arial" w:cs="Arial"/>
          <w:sz w:val="24"/>
        </w:rPr>
        <w:t>4% of the membership, and</w:t>
      </w:r>
    </w:p>
    <w:p w:rsidR="00B93F85" w:rsidRPr="008C3A65" w:rsidRDefault="00B93F85" w:rsidP="00B93F85">
      <w:pPr>
        <w:numPr>
          <w:ilvl w:val="0"/>
          <w:numId w:val="42"/>
        </w:numPr>
        <w:rPr>
          <w:rFonts w:ascii="Arial" w:hAnsi="Arial" w:cs="Arial"/>
          <w:sz w:val="24"/>
        </w:rPr>
      </w:pPr>
      <w:r w:rsidRPr="008C3A65">
        <w:rPr>
          <w:rFonts w:ascii="Arial" w:hAnsi="Arial" w:cs="Arial"/>
          <w:sz w:val="24"/>
        </w:rPr>
        <w:t>the Fund’s contributors.</w:t>
      </w:r>
    </w:p>
    <w:p w:rsidR="00B93F85" w:rsidRPr="00E351AB" w:rsidRDefault="00B93F85" w:rsidP="00B93F85">
      <w:pPr>
        <w:rPr>
          <w:rFonts w:ascii="Arial" w:hAnsi="Arial" w:cs="Arial"/>
          <w:sz w:val="24"/>
          <w:highlight w:val="lightGray"/>
        </w:rPr>
      </w:pPr>
    </w:p>
    <w:p w:rsidR="00B93F85" w:rsidRPr="004E01BE" w:rsidRDefault="00F64EC4" w:rsidP="00B93F85">
      <w:pPr>
        <w:rPr>
          <w:rFonts w:ascii="Arial" w:hAnsi="Arial" w:cs="Arial"/>
          <w:sz w:val="24"/>
        </w:rPr>
      </w:pPr>
      <w:r>
        <w:rPr>
          <w:rFonts w:ascii="Arial" w:hAnsi="Arial" w:cs="Arial"/>
          <w:sz w:val="24"/>
        </w:rPr>
        <w:t>The Pension Fund Sub-Committee</w:t>
      </w:r>
      <w:r w:rsidR="00B93F85" w:rsidRPr="004E01BE">
        <w:rPr>
          <w:rFonts w:ascii="Arial" w:hAnsi="Arial" w:cs="Arial"/>
          <w:sz w:val="24"/>
        </w:rPr>
        <w:t xml:space="preserve"> consists of:</w:t>
      </w:r>
    </w:p>
    <w:p w:rsidR="00B93F85" w:rsidRPr="004E01BE" w:rsidRDefault="00B93F85" w:rsidP="00B93F85">
      <w:pPr>
        <w:rPr>
          <w:rFonts w:ascii="Arial" w:hAnsi="Arial" w:cs="Arial"/>
          <w:sz w:val="24"/>
        </w:rPr>
      </w:pPr>
    </w:p>
    <w:p w:rsidR="00B93F85" w:rsidRPr="007859C7" w:rsidRDefault="002E000D" w:rsidP="00B93F85">
      <w:pPr>
        <w:numPr>
          <w:ilvl w:val="0"/>
          <w:numId w:val="43"/>
        </w:numPr>
        <w:rPr>
          <w:rFonts w:ascii="Arial" w:hAnsi="Arial" w:cs="Arial"/>
          <w:sz w:val="24"/>
        </w:rPr>
      </w:pPr>
      <w:r w:rsidRPr="007859C7">
        <w:rPr>
          <w:rFonts w:ascii="Arial" w:hAnsi="Arial" w:cs="Arial"/>
          <w:sz w:val="24"/>
        </w:rPr>
        <w:t>seven Brent</w:t>
      </w:r>
      <w:r w:rsidR="007859C7" w:rsidRPr="007859C7">
        <w:rPr>
          <w:rFonts w:ascii="Arial" w:hAnsi="Arial" w:cs="Arial"/>
          <w:sz w:val="24"/>
        </w:rPr>
        <w:t xml:space="preserve"> councillors</w:t>
      </w:r>
    </w:p>
    <w:p w:rsidR="00B93F85" w:rsidRPr="007859C7" w:rsidRDefault="002E000D" w:rsidP="00B93F85">
      <w:pPr>
        <w:numPr>
          <w:ilvl w:val="0"/>
          <w:numId w:val="43"/>
        </w:numPr>
        <w:rPr>
          <w:rFonts w:ascii="Arial" w:hAnsi="Arial" w:cs="Arial"/>
          <w:sz w:val="24"/>
        </w:rPr>
      </w:pPr>
      <w:r w:rsidRPr="007859C7">
        <w:rPr>
          <w:rFonts w:ascii="Arial" w:hAnsi="Arial" w:cs="Arial"/>
          <w:sz w:val="24"/>
        </w:rPr>
        <w:t>a representative of other employ</w:t>
      </w:r>
      <w:r w:rsidR="007859C7" w:rsidRPr="007859C7">
        <w:rPr>
          <w:rFonts w:ascii="Arial" w:hAnsi="Arial" w:cs="Arial"/>
          <w:sz w:val="24"/>
        </w:rPr>
        <w:t>ers</w:t>
      </w:r>
    </w:p>
    <w:p w:rsidR="007859C7" w:rsidRPr="007859C7" w:rsidRDefault="00971990" w:rsidP="007859C7">
      <w:pPr>
        <w:numPr>
          <w:ilvl w:val="0"/>
          <w:numId w:val="43"/>
        </w:numPr>
        <w:rPr>
          <w:rFonts w:ascii="Arial" w:hAnsi="Arial" w:cs="Arial"/>
          <w:sz w:val="24"/>
        </w:rPr>
      </w:pPr>
      <w:r>
        <w:rPr>
          <w:rFonts w:ascii="Arial" w:hAnsi="Arial" w:cs="Arial"/>
          <w:sz w:val="24"/>
        </w:rPr>
        <w:t>a</w:t>
      </w:r>
      <w:r w:rsidR="00B93F85" w:rsidRPr="007859C7">
        <w:rPr>
          <w:rFonts w:ascii="Arial" w:hAnsi="Arial" w:cs="Arial"/>
          <w:sz w:val="24"/>
        </w:rPr>
        <w:t xml:space="preserve"> representa</w:t>
      </w:r>
      <w:r w:rsidR="007859C7" w:rsidRPr="007859C7">
        <w:rPr>
          <w:rFonts w:ascii="Arial" w:hAnsi="Arial" w:cs="Arial"/>
          <w:sz w:val="24"/>
        </w:rPr>
        <w:t>tive of the Fund’s contributors.</w:t>
      </w:r>
    </w:p>
    <w:p w:rsidR="00B93F85" w:rsidRPr="00E351AB" w:rsidRDefault="007859C7" w:rsidP="007859C7">
      <w:pPr>
        <w:ind w:left="720"/>
        <w:rPr>
          <w:rFonts w:ascii="Arial" w:hAnsi="Arial" w:cs="Arial"/>
          <w:sz w:val="24"/>
          <w:highlight w:val="lightGray"/>
        </w:rPr>
      </w:pPr>
      <w:r w:rsidRPr="00E351AB">
        <w:rPr>
          <w:rFonts w:ascii="Arial" w:hAnsi="Arial" w:cs="Arial"/>
          <w:sz w:val="24"/>
          <w:highlight w:val="lightGray"/>
        </w:rPr>
        <w:t xml:space="preserve"> </w:t>
      </w:r>
    </w:p>
    <w:p w:rsidR="00B93F85" w:rsidRPr="004E01BE" w:rsidRDefault="00B93F85" w:rsidP="00B93F85">
      <w:pPr>
        <w:rPr>
          <w:rFonts w:ascii="Arial" w:hAnsi="Arial" w:cs="Arial"/>
          <w:sz w:val="24"/>
        </w:rPr>
      </w:pPr>
      <w:r w:rsidRPr="004E01BE">
        <w:rPr>
          <w:rFonts w:ascii="Arial" w:hAnsi="Arial" w:cs="Arial"/>
          <w:sz w:val="24"/>
        </w:rPr>
        <w:t>There is also an independe</w:t>
      </w:r>
      <w:r w:rsidR="007859C7">
        <w:rPr>
          <w:rFonts w:ascii="Arial" w:hAnsi="Arial" w:cs="Arial"/>
          <w:sz w:val="24"/>
        </w:rPr>
        <w:t>nt adviser who attends all Pension Fund Sub-Committee</w:t>
      </w:r>
      <w:r w:rsidRPr="004E01BE">
        <w:rPr>
          <w:rFonts w:ascii="Arial" w:hAnsi="Arial" w:cs="Arial"/>
          <w:sz w:val="24"/>
        </w:rPr>
        <w:t xml:space="preserve"> meetings.</w:t>
      </w:r>
    </w:p>
    <w:p w:rsidR="00B93F85" w:rsidRDefault="00B93F85" w:rsidP="00B93F85">
      <w:pPr>
        <w:rPr>
          <w:rFonts w:ascii="Arial" w:hAnsi="Arial" w:cs="Arial"/>
          <w:sz w:val="24"/>
          <w:highlight w:val="lightGray"/>
        </w:rPr>
      </w:pPr>
    </w:p>
    <w:p w:rsidR="009D4014" w:rsidRPr="00E351AB" w:rsidRDefault="009D4014" w:rsidP="00B93F85">
      <w:pPr>
        <w:rPr>
          <w:rFonts w:ascii="Arial" w:hAnsi="Arial" w:cs="Arial"/>
          <w:sz w:val="24"/>
          <w:highlight w:val="lightGray"/>
        </w:rPr>
      </w:pPr>
    </w:p>
    <w:p w:rsidR="00B93F85" w:rsidRPr="004E01BE" w:rsidRDefault="00B93F85" w:rsidP="00B93F85">
      <w:pPr>
        <w:rPr>
          <w:rFonts w:ascii="Arial" w:hAnsi="Arial" w:cs="Arial"/>
          <w:b/>
          <w:sz w:val="24"/>
        </w:rPr>
      </w:pPr>
      <w:r w:rsidRPr="004E01BE">
        <w:rPr>
          <w:rFonts w:ascii="Arial" w:hAnsi="Arial" w:cs="Arial"/>
          <w:b/>
          <w:sz w:val="24"/>
        </w:rPr>
        <w:t xml:space="preserve">Training </w:t>
      </w:r>
    </w:p>
    <w:p w:rsidR="00B93F85" w:rsidRPr="004E01BE" w:rsidRDefault="00B93F85" w:rsidP="00B93F85">
      <w:pPr>
        <w:rPr>
          <w:rFonts w:ascii="Arial" w:hAnsi="Arial" w:cs="Arial"/>
          <w:b/>
          <w:sz w:val="24"/>
        </w:rPr>
      </w:pPr>
    </w:p>
    <w:p w:rsidR="00B93F85" w:rsidRPr="004E01BE" w:rsidRDefault="00B93F85" w:rsidP="00B93F85">
      <w:pPr>
        <w:rPr>
          <w:rFonts w:ascii="Arial" w:hAnsi="Arial" w:cs="Arial"/>
          <w:sz w:val="24"/>
        </w:rPr>
      </w:pPr>
      <w:r w:rsidRPr="004E01BE">
        <w:rPr>
          <w:rFonts w:ascii="Arial" w:hAnsi="Arial" w:cs="Arial"/>
          <w:sz w:val="24"/>
        </w:rPr>
        <w:t>M</w:t>
      </w:r>
      <w:r w:rsidR="006E039F">
        <w:rPr>
          <w:rFonts w:ascii="Arial" w:hAnsi="Arial" w:cs="Arial"/>
          <w:sz w:val="24"/>
        </w:rPr>
        <w:t>embers of the Pension Fund Sub-Committee</w:t>
      </w:r>
      <w:r w:rsidRPr="004E01BE">
        <w:rPr>
          <w:rFonts w:ascii="Arial" w:hAnsi="Arial" w:cs="Arial"/>
          <w:sz w:val="24"/>
        </w:rPr>
        <w:t xml:space="preserve"> and</w:t>
      </w:r>
      <w:r w:rsidR="006E039F">
        <w:rPr>
          <w:rFonts w:ascii="Arial" w:hAnsi="Arial" w:cs="Arial"/>
          <w:sz w:val="24"/>
        </w:rPr>
        <w:t xml:space="preserve"> Brent officers</w:t>
      </w:r>
      <w:r w:rsidRPr="004E01BE">
        <w:rPr>
          <w:rFonts w:ascii="Arial" w:hAnsi="Arial" w:cs="Arial"/>
          <w:sz w:val="24"/>
        </w:rPr>
        <w:t xml:space="preserve"> have opportunities to attend training courses and seminars on pension fund matters, when necessary and appropriate. The cost of attending is charged to the Pension Fund.</w:t>
      </w:r>
    </w:p>
    <w:p w:rsidR="00B93F85" w:rsidRDefault="00B93F85" w:rsidP="00B93F85">
      <w:pPr>
        <w:rPr>
          <w:rFonts w:ascii="Arial" w:hAnsi="Arial" w:cs="Arial"/>
          <w:b/>
          <w:sz w:val="24"/>
          <w:highlight w:val="lightGray"/>
        </w:rPr>
      </w:pPr>
    </w:p>
    <w:p w:rsidR="009B4498" w:rsidRPr="00E351AB" w:rsidRDefault="009B4498" w:rsidP="00B93F85">
      <w:pPr>
        <w:rPr>
          <w:rFonts w:ascii="Arial" w:hAnsi="Arial" w:cs="Arial"/>
          <w:b/>
          <w:sz w:val="24"/>
          <w:highlight w:val="lightGray"/>
        </w:rPr>
      </w:pPr>
    </w:p>
    <w:p w:rsidR="00B93F85" w:rsidRPr="004E01BE" w:rsidRDefault="00B93F85" w:rsidP="00B93F85">
      <w:pPr>
        <w:rPr>
          <w:rFonts w:ascii="Arial" w:hAnsi="Arial" w:cs="Arial"/>
          <w:b/>
          <w:sz w:val="24"/>
        </w:rPr>
      </w:pPr>
      <w:r w:rsidRPr="004E01BE">
        <w:rPr>
          <w:rFonts w:ascii="Arial" w:hAnsi="Arial" w:cs="Arial"/>
          <w:b/>
          <w:sz w:val="24"/>
        </w:rPr>
        <w:t>Use of advisers</w:t>
      </w:r>
    </w:p>
    <w:p w:rsidR="00B93F85" w:rsidRPr="004E01BE" w:rsidRDefault="00B93F85" w:rsidP="00B93F85">
      <w:pPr>
        <w:rPr>
          <w:rFonts w:ascii="Arial" w:hAnsi="Arial" w:cs="Arial"/>
          <w:sz w:val="24"/>
        </w:rPr>
      </w:pPr>
    </w:p>
    <w:p w:rsidR="00B93F85" w:rsidRPr="004E01BE" w:rsidRDefault="00B93F85" w:rsidP="00B93F85">
      <w:pPr>
        <w:rPr>
          <w:rFonts w:ascii="Arial" w:hAnsi="Arial" w:cs="Arial"/>
          <w:sz w:val="24"/>
        </w:rPr>
      </w:pPr>
      <w:r w:rsidRPr="004E01BE">
        <w:rPr>
          <w:rFonts w:ascii="Arial" w:hAnsi="Arial" w:cs="Arial"/>
          <w:sz w:val="24"/>
        </w:rPr>
        <w:t xml:space="preserve">The </w:t>
      </w:r>
      <w:r w:rsidR="00AD0180">
        <w:rPr>
          <w:rFonts w:ascii="Arial" w:hAnsi="Arial" w:cs="Arial"/>
          <w:sz w:val="24"/>
        </w:rPr>
        <w:t>Chief Finance</w:t>
      </w:r>
      <w:r w:rsidR="009B4498">
        <w:rPr>
          <w:rFonts w:ascii="Arial" w:hAnsi="Arial" w:cs="Arial"/>
          <w:sz w:val="24"/>
        </w:rPr>
        <w:t xml:space="preserve"> Officer advises the Pension Fund Sub-Committee</w:t>
      </w:r>
      <w:r w:rsidRPr="004E01BE">
        <w:rPr>
          <w:rFonts w:ascii="Arial" w:hAnsi="Arial" w:cs="Arial"/>
          <w:sz w:val="24"/>
        </w:rPr>
        <w:t xml:space="preserve"> on all Pension Fund investment and administrative matters.</w:t>
      </w:r>
    </w:p>
    <w:p w:rsidR="00B93F85" w:rsidRPr="00E351AB" w:rsidRDefault="00B93F85" w:rsidP="00B93F85">
      <w:pPr>
        <w:rPr>
          <w:rFonts w:ascii="Arial" w:hAnsi="Arial" w:cs="Arial"/>
          <w:sz w:val="24"/>
          <w:highlight w:val="lightGray"/>
        </w:rPr>
      </w:pPr>
    </w:p>
    <w:p w:rsidR="00B93F85" w:rsidRPr="004E01BE" w:rsidRDefault="00B93F85" w:rsidP="00B93F85">
      <w:pPr>
        <w:rPr>
          <w:rFonts w:ascii="Arial" w:hAnsi="Arial" w:cs="Arial"/>
          <w:sz w:val="24"/>
        </w:rPr>
      </w:pPr>
      <w:r w:rsidRPr="004E01BE">
        <w:rPr>
          <w:rFonts w:ascii="Arial" w:hAnsi="Arial" w:cs="Arial"/>
          <w:sz w:val="24"/>
        </w:rPr>
        <w:t>The Fund’s indepe</w:t>
      </w:r>
      <w:r w:rsidR="00971990">
        <w:rPr>
          <w:rFonts w:ascii="Arial" w:hAnsi="Arial" w:cs="Arial"/>
          <w:sz w:val="24"/>
        </w:rPr>
        <w:t>ndent adviser</w:t>
      </w:r>
      <w:r w:rsidR="009B4498">
        <w:rPr>
          <w:rFonts w:ascii="Arial" w:hAnsi="Arial" w:cs="Arial"/>
          <w:sz w:val="24"/>
        </w:rPr>
        <w:t xml:space="preserve"> advises the</w:t>
      </w:r>
      <w:r w:rsidR="009B4498" w:rsidRPr="009B4498">
        <w:rPr>
          <w:rFonts w:ascii="Arial" w:hAnsi="Arial" w:cs="Arial"/>
          <w:sz w:val="24"/>
        </w:rPr>
        <w:t xml:space="preserve"> </w:t>
      </w:r>
      <w:r w:rsidR="009B4498">
        <w:rPr>
          <w:rFonts w:ascii="Arial" w:hAnsi="Arial" w:cs="Arial"/>
          <w:sz w:val="24"/>
        </w:rPr>
        <w:t>Pension Fund Sub-Committee</w:t>
      </w:r>
      <w:r w:rsidRPr="004E01BE">
        <w:rPr>
          <w:rFonts w:ascii="Arial" w:hAnsi="Arial" w:cs="Arial"/>
          <w:sz w:val="24"/>
        </w:rPr>
        <w:t xml:space="preserve"> on investment matters.</w:t>
      </w:r>
    </w:p>
    <w:p w:rsidR="00B93F85" w:rsidRPr="004E01BE" w:rsidRDefault="00B93F85" w:rsidP="00B93F85">
      <w:pPr>
        <w:rPr>
          <w:rFonts w:ascii="Arial" w:hAnsi="Arial" w:cs="Arial"/>
          <w:sz w:val="24"/>
        </w:rPr>
      </w:pPr>
    </w:p>
    <w:p w:rsidR="00B93F85" w:rsidRDefault="005953DF" w:rsidP="00B93F85">
      <w:pPr>
        <w:rPr>
          <w:rFonts w:ascii="Arial" w:hAnsi="Arial" w:cs="Arial"/>
          <w:sz w:val="24"/>
        </w:rPr>
      </w:pPr>
      <w:r>
        <w:rPr>
          <w:rFonts w:ascii="Arial" w:hAnsi="Arial" w:cs="Arial"/>
          <w:sz w:val="24"/>
        </w:rPr>
        <w:t>The Pension Fund Sub-Committee</w:t>
      </w:r>
      <w:r w:rsidR="00B93F85" w:rsidRPr="004E01BE">
        <w:rPr>
          <w:rFonts w:ascii="Arial" w:hAnsi="Arial" w:cs="Arial"/>
          <w:sz w:val="24"/>
        </w:rPr>
        <w:t xml:space="preserve"> use</w:t>
      </w:r>
      <w:r w:rsidR="00D32DFD">
        <w:rPr>
          <w:rFonts w:ascii="Arial" w:hAnsi="Arial" w:cs="Arial"/>
          <w:sz w:val="24"/>
        </w:rPr>
        <w:t>s the Fund’s actuary, Hymans Robertson</w:t>
      </w:r>
      <w:r w:rsidR="00B93F85" w:rsidRPr="004E01BE">
        <w:rPr>
          <w:rFonts w:ascii="Arial" w:hAnsi="Arial" w:cs="Arial"/>
          <w:sz w:val="24"/>
        </w:rPr>
        <w:t>, and other consultants as necessary, for advice on matters when in-house exper</w:t>
      </w:r>
      <w:r w:rsidR="00D32DFD">
        <w:rPr>
          <w:rFonts w:ascii="Arial" w:hAnsi="Arial" w:cs="Arial"/>
          <w:sz w:val="24"/>
        </w:rPr>
        <w:t>tise is not available. The Pension Fund Sub-Committee</w:t>
      </w:r>
      <w:r w:rsidR="00B93F85" w:rsidRPr="004E01BE">
        <w:rPr>
          <w:rFonts w:ascii="Arial" w:hAnsi="Arial" w:cs="Arial"/>
          <w:sz w:val="24"/>
        </w:rPr>
        <w:t xml:space="preserve"> takes advice </w:t>
      </w:r>
      <w:r w:rsidR="005568E5">
        <w:rPr>
          <w:rFonts w:ascii="Arial" w:hAnsi="Arial" w:cs="Arial"/>
          <w:sz w:val="24"/>
        </w:rPr>
        <w:t>from the a</w:t>
      </w:r>
      <w:r w:rsidR="00B93F85" w:rsidRPr="004E01BE">
        <w:rPr>
          <w:rFonts w:ascii="Arial" w:hAnsi="Arial" w:cs="Arial"/>
          <w:sz w:val="24"/>
        </w:rPr>
        <w:t xml:space="preserve">ctuary, the fund managers or specialist consultants or advisers </w:t>
      </w:r>
      <w:r w:rsidR="00D32DFD">
        <w:rPr>
          <w:rFonts w:ascii="Arial" w:hAnsi="Arial" w:cs="Arial"/>
          <w:sz w:val="24"/>
        </w:rPr>
        <w:t>as required on asset allocation</w:t>
      </w:r>
      <w:r w:rsidR="00B93F85" w:rsidRPr="004E01BE">
        <w:rPr>
          <w:rFonts w:ascii="Arial" w:hAnsi="Arial" w:cs="Arial"/>
          <w:sz w:val="24"/>
        </w:rPr>
        <w:t>, selecting managers, and investment performance targets.</w:t>
      </w:r>
    </w:p>
    <w:p w:rsidR="005953DF" w:rsidRPr="004E01BE" w:rsidRDefault="005953DF" w:rsidP="00B93F85">
      <w:pPr>
        <w:rPr>
          <w:rFonts w:ascii="Arial" w:hAnsi="Arial" w:cs="Arial"/>
          <w:sz w:val="24"/>
        </w:rPr>
      </w:pPr>
    </w:p>
    <w:p w:rsidR="00B93F85" w:rsidRPr="00E351AB" w:rsidRDefault="00B93F85" w:rsidP="00B93F85">
      <w:pPr>
        <w:rPr>
          <w:rFonts w:ascii="Arial" w:hAnsi="Arial" w:cs="Arial"/>
          <w:sz w:val="24"/>
          <w:highlight w:val="lightGray"/>
        </w:rPr>
      </w:pPr>
    </w:p>
    <w:p w:rsidR="00B93F85" w:rsidRPr="004E01BE" w:rsidRDefault="00B93F85" w:rsidP="00B93F85">
      <w:pPr>
        <w:rPr>
          <w:rFonts w:ascii="Arial" w:hAnsi="Arial" w:cs="Arial"/>
          <w:b/>
          <w:sz w:val="24"/>
        </w:rPr>
      </w:pPr>
      <w:r w:rsidRPr="004E01BE">
        <w:rPr>
          <w:rFonts w:ascii="Arial" w:hAnsi="Arial" w:cs="Arial"/>
          <w:b/>
          <w:sz w:val="24"/>
        </w:rPr>
        <w:t>Communications with Fund employers and members</w:t>
      </w:r>
    </w:p>
    <w:p w:rsidR="00B93F85" w:rsidRPr="00E351AB" w:rsidRDefault="00B93F85" w:rsidP="00B93F85">
      <w:pPr>
        <w:rPr>
          <w:rFonts w:ascii="Arial" w:hAnsi="Arial" w:cs="Arial"/>
          <w:sz w:val="24"/>
          <w:highlight w:val="lightGray"/>
        </w:rPr>
      </w:pPr>
    </w:p>
    <w:p w:rsidR="00B93F85" w:rsidRPr="00905D37" w:rsidRDefault="00B93F85" w:rsidP="00B93F85">
      <w:pPr>
        <w:rPr>
          <w:rFonts w:ascii="Arial" w:hAnsi="Arial" w:cs="Arial"/>
          <w:sz w:val="24"/>
        </w:rPr>
      </w:pPr>
      <w:r w:rsidRPr="00905D37">
        <w:rPr>
          <w:rFonts w:ascii="Arial" w:hAnsi="Arial" w:cs="Arial"/>
          <w:sz w:val="24"/>
        </w:rPr>
        <w:t>Each financial year, an annual report on the Fund is p</w:t>
      </w:r>
      <w:r w:rsidR="005568E5">
        <w:rPr>
          <w:rFonts w:ascii="Arial" w:hAnsi="Arial" w:cs="Arial"/>
          <w:sz w:val="24"/>
        </w:rPr>
        <w:t>repared for the Fund’s employers</w:t>
      </w:r>
      <w:r w:rsidRPr="00905D37">
        <w:rPr>
          <w:rFonts w:ascii="Arial" w:hAnsi="Arial" w:cs="Arial"/>
          <w:sz w:val="24"/>
        </w:rPr>
        <w:t>. The report covers the Fund’s accounts, investment arrangements and policy, investment performance, scheme changes and other issues of current interest.</w:t>
      </w:r>
    </w:p>
    <w:p w:rsidR="00B93F85" w:rsidRPr="00E351AB" w:rsidRDefault="00B93F85" w:rsidP="00B93F85">
      <w:pPr>
        <w:rPr>
          <w:rFonts w:ascii="Arial" w:hAnsi="Arial" w:cs="Arial"/>
          <w:sz w:val="24"/>
          <w:highlight w:val="lightGray"/>
        </w:rPr>
      </w:pPr>
    </w:p>
    <w:p w:rsidR="002036CB" w:rsidRDefault="00B93F85">
      <w:pPr>
        <w:rPr>
          <w:rFonts w:ascii="Arial" w:hAnsi="Arial" w:cs="Arial"/>
          <w:b/>
          <w:sz w:val="28"/>
          <w:szCs w:val="28"/>
        </w:rPr>
      </w:pPr>
      <w:r w:rsidRPr="00905D37">
        <w:rPr>
          <w:rFonts w:ascii="Arial" w:hAnsi="Arial" w:cs="Arial"/>
          <w:sz w:val="24"/>
        </w:rPr>
        <w:t>Annual benefit statements are provided to contributors and deferred pensioners, together with an annual newsletter to pensioners.</w:t>
      </w:r>
      <w:r w:rsidR="002036CB">
        <w:rPr>
          <w:rFonts w:ascii="Arial" w:hAnsi="Arial" w:cs="Arial"/>
          <w:b/>
          <w:sz w:val="28"/>
          <w:szCs w:val="28"/>
        </w:rPr>
        <w:br w:type="page"/>
      </w:r>
    </w:p>
    <w:p w:rsidR="006F15EC" w:rsidRPr="00D47120" w:rsidRDefault="006F15EC" w:rsidP="006F15EC">
      <w:pPr>
        <w:rPr>
          <w:rFonts w:ascii="Arial" w:hAnsi="Arial" w:cs="Arial"/>
          <w:b/>
          <w:sz w:val="28"/>
          <w:szCs w:val="28"/>
        </w:rPr>
      </w:pPr>
      <w:r w:rsidRPr="00D47120">
        <w:rPr>
          <w:rFonts w:ascii="Arial" w:hAnsi="Arial" w:cs="Arial"/>
          <w:b/>
          <w:sz w:val="28"/>
          <w:szCs w:val="28"/>
        </w:rPr>
        <w:lastRenderedPageBreak/>
        <w:t>Governance Compliance Statement</w:t>
      </w:r>
    </w:p>
    <w:p w:rsidR="006F15EC" w:rsidRPr="00D47120" w:rsidRDefault="006F15EC" w:rsidP="006F15EC">
      <w:pPr>
        <w:rPr>
          <w:rFonts w:ascii="Arial" w:hAnsi="Arial" w:cs="Arial"/>
          <w:sz w:val="24"/>
          <w:szCs w:val="24"/>
        </w:rPr>
      </w:pPr>
    </w:p>
    <w:p w:rsidR="00BE037C" w:rsidRPr="00D47120" w:rsidRDefault="00BE037C" w:rsidP="00BE037C">
      <w:pPr>
        <w:rPr>
          <w:rFonts w:ascii="Arial" w:hAnsi="Arial" w:cs="Arial"/>
          <w:color w:val="000000"/>
          <w:sz w:val="24"/>
          <w:szCs w:val="24"/>
        </w:rPr>
      </w:pPr>
      <w:r w:rsidRPr="00D47120">
        <w:rPr>
          <w:rFonts w:ascii="Arial" w:hAnsi="Arial" w:cs="Arial"/>
          <w:color w:val="000000"/>
          <w:sz w:val="24"/>
          <w:szCs w:val="24"/>
        </w:rPr>
        <w:t>This statement shows how Brent</w:t>
      </w:r>
      <w:r w:rsidR="006D3F49" w:rsidRPr="00D47120">
        <w:rPr>
          <w:rFonts w:ascii="Arial" w:hAnsi="Arial" w:cs="Arial"/>
          <w:color w:val="000000"/>
          <w:sz w:val="24"/>
          <w:szCs w:val="24"/>
        </w:rPr>
        <w:t xml:space="preserve"> Council as the Administering A</w:t>
      </w:r>
      <w:r w:rsidRPr="00D47120">
        <w:rPr>
          <w:rFonts w:ascii="Arial" w:hAnsi="Arial" w:cs="Arial"/>
          <w:color w:val="000000"/>
          <w:sz w:val="24"/>
          <w:szCs w:val="24"/>
        </w:rPr>
        <w:t xml:space="preserve">uthority of the </w:t>
      </w:r>
      <w:r w:rsidR="006D3F49" w:rsidRPr="00D47120">
        <w:rPr>
          <w:rFonts w:ascii="Arial" w:hAnsi="Arial" w:cs="Arial"/>
          <w:color w:val="000000"/>
          <w:sz w:val="24"/>
          <w:szCs w:val="24"/>
        </w:rPr>
        <w:t>Brent</w:t>
      </w:r>
      <w:r w:rsidRPr="00D47120">
        <w:rPr>
          <w:rFonts w:ascii="Arial" w:hAnsi="Arial" w:cs="Arial"/>
          <w:color w:val="000000"/>
          <w:sz w:val="24"/>
          <w:szCs w:val="24"/>
        </w:rPr>
        <w:t xml:space="preserve"> Pension Fund complies with guidance on the governance of the Local Government Pension Scheme (LGPS) issued by the Secretary of State for Communities and Local Government in accordance with the Local Government Pension Scheme (Administration) Regulations 2008.</w:t>
      </w:r>
    </w:p>
    <w:p w:rsidR="00BE037C" w:rsidRPr="00D47120" w:rsidRDefault="00BE037C" w:rsidP="00BE037C">
      <w:pPr>
        <w:rPr>
          <w:color w:val="000000"/>
        </w:rPr>
      </w:pPr>
    </w:p>
    <w:tbl>
      <w:tblPr>
        <w:tblStyle w:val="TableGrid"/>
        <w:tblW w:w="8928" w:type="dxa"/>
        <w:tblLook w:val="01E0" w:firstRow="1" w:lastRow="1" w:firstColumn="1" w:lastColumn="1" w:noHBand="0" w:noVBand="0"/>
      </w:tblPr>
      <w:tblGrid>
        <w:gridCol w:w="657"/>
        <w:gridCol w:w="4581"/>
        <w:gridCol w:w="3690"/>
      </w:tblGrid>
      <w:tr w:rsidR="00BE037C" w:rsidRPr="00D47120" w:rsidTr="0028516A">
        <w:trPr>
          <w:tblHeader/>
        </w:trPr>
        <w:tc>
          <w:tcPr>
            <w:tcW w:w="657" w:type="dxa"/>
            <w:shd w:val="clear" w:color="auto" w:fill="auto"/>
          </w:tcPr>
          <w:p w:rsidR="00BE037C" w:rsidRPr="00D47120" w:rsidRDefault="00BE037C" w:rsidP="0028516A">
            <w:pPr>
              <w:spacing w:after="120"/>
              <w:jc w:val="center"/>
              <w:rPr>
                <w:rFonts w:ascii="Arial" w:hAnsi="Arial" w:cs="Arial"/>
                <w:sz w:val="24"/>
                <w:szCs w:val="24"/>
              </w:rPr>
            </w:pPr>
            <w:r w:rsidRPr="00D47120">
              <w:rPr>
                <w:rFonts w:ascii="Arial" w:hAnsi="Arial" w:cs="Arial"/>
                <w:sz w:val="24"/>
                <w:szCs w:val="24"/>
              </w:rPr>
              <w:t>Ref.</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Principles</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Compliance and comments</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A</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Structure</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the management of the administration of benefits and strategic management of fund assets clearly rests with the main committee established by the appointing council.</w:t>
            </w:r>
          </w:p>
        </w:tc>
        <w:tc>
          <w:tcPr>
            <w:tcW w:w="3690" w:type="dxa"/>
            <w:shd w:val="clear" w:color="auto" w:fill="auto"/>
          </w:tcPr>
          <w:p w:rsidR="00BE037C" w:rsidRPr="00D47120" w:rsidRDefault="00BE037C" w:rsidP="006D3F49">
            <w:pPr>
              <w:spacing w:after="120"/>
              <w:rPr>
                <w:rFonts w:ascii="Arial" w:hAnsi="Arial" w:cs="Arial"/>
                <w:sz w:val="24"/>
                <w:szCs w:val="24"/>
              </w:rPr>
            </w:pPr>
            <w:r w:rsidRPr="00D47120">
              <w:rPr>
                <w:rFonts w:ascii="Arial" w:hAnsi="Arial" w:cs="Arial"/>
                <w:sz w:val="24"/>
                <w:szCs w:val="24"/>
              </w:rPr>
              <w:t xml:space="preserve">Full compliance. </w:t>
            </w:r>
            <w:r w:rsidR="006D3F49" w:rsidRPr="00D47120">
              <w:rPr>
                <w:rFonts w:ascii="Arial" w:hAnsi="Arial" w:cs="Arial"/>
                <w:sz w:val="24"/>
                <w:szCs w:val="24"/>
              </w:rPr>
              <w:t>Brent</w:t>
            </w:r>
            <w:r w:rsidRPr="00D47120">
              <w:rPr>
                <w:rFonts w:ascii="Arial" w:hAnsi="Arial" w:cs="Arial"/>
                <w:sz w:val="24"/>
                <w:szCs w:val="24"/>
              </w:rPr>
              <w:t xml:space="preserve"> Council’s c</w:t>
            </w:r>
            <w:r w:rsidRPr="00D47120">
              <w:rPr>
                <w:rFonts w:ascii="Arial" w:hAnsi="Arial" w:cs="Arial"/>
                <w:color w:val="000000"/>
                <w:sz w:val="24"/>
                <w:szCs w:val="24"/>
              </w:rPr>
              <w:t>on</w:t>
            </w:r>
            <w:r w:rsidR="00073E75">
              <w:rPr>
                <w:rFonts w:ascii="Arial" w:hAnsi="Arial" w:cs="Arial"/>
                <w:color w:val="000000"/>
                <w:sz w:val="24"/>
                <w:szCs w:val="24"/>
              </w:rPr>
              <w:t>stitution sets out the terms of reference for</w:t>
            </w:r>
            <w:r w:rsidRPr="00D47120">
              <w:rPr>
                <w:rFonts w:ascii="Arial" w:hAnsi="Arial" w:cs="Arial"/>
                <w:color w:val="000000"/>
                <w:sz w:val="24"/>
                <w:szCs w:val="24"/>
              </w:rPr>
              <w:t xml:space="preserve"> the Pension Fund </w:t>
            </w:r>
            <w:r w:rsidR="006D3F49" w:rsidRPr="00D47120">
              <w:rPr>
                <w:rFonts w:ascii="Arial" w:hAnsi="Arial" w:cs="Arial"/>
                <w:color w:val="000000"/>
                <w:sz w:val="24"/>
                <w:szCs w:val="24"/>
              </w:rPr>
              <w:t>Sub-Committee</w:t>
            </w:r>
            <w:r w:rsidRPr="00D47120">
              <w:rPr>
                <w:rFonts w:ascii="Arial" w:hAnsi="Arial" w:cs="Arial"/>
                <w:color w:val="000000"/>
                <w:sz w:val="24"/>
                <w:szCs w:val="24"/>
              </w:rPr>
              <w:t>.</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b.</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representatives of participating LGPS employers, admission bodies and scheme members (including pensioner and deferred members) are members of either the main or secondary committee established to underpin the work of the main committee.</w:t>
            </w:r>
          </w:p>
        </w:tc>
        <w:tc>
          <w:tcPr>
            <w:tcW w:w="3690" w:type="dxa"/>
            <w:shd w:val="clear" w:color="auto" w:fill="auto"/>
          </w:tcPr>
          <w:p w:rsidR="00BE037C" w:rsidRPr="00D47120" w:rsidRDefault="00BE037C" w:rsidP="00881A95">
            <w:pPr>
              <w:spacing w:after="120"/>
              <w:rPr>
                <w:rFonts w:ascii="Arial" w:hAnsi="Arial" w:cs="Arial"/>
                <w:sz w:val="24"/>
                <w:szCs w:val="24"/>
              </w:rPr>
            </w:pPr>
            <w:r w:rsidRPr="00D47120">
              <w:rPr>
                <w:rFonts w:ascii="Arial" w:hAnsi="Arial" w:cs="Arial"/>
                <w:sz w:val="24"/>
                <w:szCs w:val="24"/>
              </w:rPr>
              <w:t xml:space="preserve">Full compliance. The Pension Fund </w:t>
            </w:r>
            <w:r w:rsidR="00881A95" w:rsidRPr="00D47120">
              <w:rPr>
                <w:rFonts w:ascii="Arial" w:hAnsi="Arial" w:cs="Arial"/>
                <w:sz w:val="24"/>
                <w:szCs w:val="24"/>
              </w:rPr>
              <w:t>Sub-Committee</w:t>
            </w:r>
            <w:r w:rsidRPr="00D47120">
              <w:rPr>
                <w:rFonts w:ascii="Arial" w:hAnsi="Arial" w:cs="Arial"/>
                <w:sz w:val="24"/>
                <w:szCs w:val="24"/>
              </w:rPr>
              <w:t xml:space="preserve"> includes </w:t>
            </w:r>
            <w:r w:rsidR="006F4342" w:rsidRPr="00D47120">
              <w:rPr>
                <w:rFonts w:ascii="Arial" w:hAnsi="Arial" w:cs="Arial"/>
                <w:sz w:val="24"/>
                <w:szCs w:val="24"/>
              </w:rPr>
              <w:t>a representative</w:t>
            </w:r>
            <w:r w:rsidRPr="00D47120">
              <w:rPr>
                <w:rFonts w:ascii="Arial" w:hAnsi="Arial" w:cs="Arial"/>
                <w:sz w:val="24"/>
                <w:szCs w:val="24"/>
              </w:rPr>
              <w:t xml:space="preserve"> of the other </w:t>
            </w:r>
            <w:r w:rsidR="00881A95" w:rsidRPr="00D47120">
              <w:rPr>
                <w:rFonts w:ascii="Arial" w:hAnsi="Arial" w:cs="Arial"/>
                <w:sz w:val="24"/>
                <w:szCs w:val="24"/>
              </w:rPr>
              <w:t>employer</w:t>
            </w:r>
            <w:r w:rsidRPr="00D47120">
              <w:rPr>
                <w:rFonts w:ascii="Arial" w:hAnsi="Arial" w:cs="Arial"/>
                <w:sz w:val="24"/>
                <w:szCs w:val="24"/>
              </w:rPr>
              <w:t>s in the Fund and contributor members.</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c.</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where a secondary committee or panel has been established, the structure ensures effective communication across both levels.</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No formal secondary committees or panels have been established.</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d.</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where a secondary committee or panel has been established, at least one seat on the main committee is allocated for a member from the secondary committee or panel.</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No formal secondary committees or panels have been established.</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B</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Representation</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all key stakeholders have the opportunity to be represented within the main or secondary committee structure. These include:</w:t>
            </w:r>
          </w:p>
          <w:p w:rsidR="00BE037C" w:rsidRPr="00D47120" w:rsidRDefault="00BE037C" w:rsidP="00907AD2">
            <w:pPr>
              <w:numPr>
                <w:ilvl w:val="1"/>
                <w:numId w:val="24"/>
              </w:numPr>
              <w:tabs>
                <w:tab w:val="clear" w:pos="1800"/>
                <w:tab w:val="num" w:pos="430"/>
              </w:tabs>
              <w:spacing w:after="120"/>
              <w:ind w:left="430" w:hanging="430"/>
              <w:rPr>
                <w:rFonts w:ascii="Arial" w:hAnsi="Arial" w:cs="Arial"/>
                <w:sz w:val="24"/>
                <w:szCs w:val="24"/>
              </w:rPr>
            </w:pPr>
            <w:r w:rsidRPr="00D47120">
              <w:rPr>
                <w:rFonts w:ascii="Arial" w:hAnsi="Arial" w:cs="Arial"/>
                <w:sz w:val="24"/>
                <w:szCs w:val="24"/>
              </w:rPr>
              <w:t>employing authorities (including non-scheme employers, eg admission bodies)</w:t>
            </w:r>
          </w:p>
          <w:p w:rsidR="00BE037C" w:rsidRPr="00D47120" w:rsidRDefault="00BE037C" w:rsidP="00907AD2">
            <w:pPr>
              <w:numPr>
                <w:ilvl w:val="1"/>
                <w:numId w:val="24"/>
              </w:numPr>
              <w:tabs>
                <w:tab w:val="clear" w:pos="1800"/>
                <w:tab w:val="num" w:pos="430"/>
              </w:tabs>
              <w:spacing w:after="120"/>
              <w:ind w:left="430" w:hanging="430"/>
              <w:rPr>
                <w:rFonts w:ascii="Arial" w:hAnsi="Arial" w:cs="Arial"/>
                <w:sz w:val="24"/>
                <w:szCs w:val="24"/>
              </w:rPr>
            </w:pPr>
            <w:r w:rsidRPr="00D47120">
              <w:rPr>
                <w:rFonts w:ascii="Arial" w:hAnsi="Arial" w:cs="Arial"/>
                <w:sz w:val="24"/>
                <w:szCs w:val="24"/>
              </w:rPr>
              <w:t>scheme members (including deferred and pensioner scheme members)</w:t>
            </w:r>
          </w:p>
          <w:p w:rsidR="00BE037C" w:rsidRPr="00D47120" w:rsidRDefault="00BE037C" w:rsidP="00907AD2">
            <w:pPr>
              <w:numPr>
                <w:ilvl w:val="1"/>
                <w:numId w:val="24"/>
              </w:numPr>
              <w:tabs>
                <w:tab w:val="clear" w:pos="1800"/>
                <w:tab w:val="num" w:pos="430"/>
              </w:tabs>
              <w:spacing w:after="120"/>
              <w:ind w:left="430" w:hanging="430"/>
              <w:rPr>
                <w:rFonts w:ascii="Arial" w:hAnsi="Arial" w:cs="Arial"/>
                <w:sz w:val="24"/>
                <w:szCs w:val="24"/>
              </w:rPr>
            </w:pPr>
            <w:r w:rsidRPr="00D47120">
              <w:rPr>
                <w:rFonts w:ascii="Arial" w:hAnsi="Arial" w:cs="Arial"/>
                <w:sz w:val="24"/>
                <w:szCs w:val="24"/>
              </w:rPr>
              <w:t>where appropriate, independent professional observers, and</w:t>
            </w:r>
          </w:p>
          <w:p w:rsidR="00BE037C" w:rsidRPr="00D47120" w:rsidRDefault="009E7C54" w:rsidP="00907AD2">
            <w:pPr>
              <w:numPr>
                <w:ilvl w:val="1"/>
                <w:numId w:val="24"/>
              </w:numPr>
              <w:tabs>
                <w:tab w:val="clear" w:pos="1800"/>
                <w:tab w:val="num" w:pos="430"/>
              </w:tabs>
              <w:spacing w:after="120"/>
              <w:ind w:left="430" w:hanging="430"/>
              <w:rPr>
                <w:rFonts w:ascii="Arial" w:hAnsi="Arial" w:cs="Arial"/>
                <w:sz w:val="24"/>
                <w:szCs w:val="24"/>
              </w:rPr>
            </w:pPr>
            <w:r w:rsidRPr="00D47120">
              <w:rPr>
                <w:rFonts w:ascii="Arial" w:hAnsi="Arial" w:cs="Arial"/>
                <w:sz w:val="24"/>
                <w:szCs w:val="24"/>
              </w:rPr>
              <w:t>expert advisers (</w:t>
            </w:r>
            <w:r w:rsidR="00BE037C" w:rsidRPr="00D47120">
              <w:rPr>
                <w:rFonts w:ascii="Arial" w:hAnsi="Arial" w:cs="Arial"/>
                <w:sz w:val="24"/>
                <w:szCs w:val="24"/>
              </w:rPr>
              <w:t>ad-hoc basis</w:t>
            </w:r>
            <w:r w:rsidRPr="00D47120">
              <w:rPr>
                <w:rFonts w:ascii="Arial" w:hAnsi="Arial" w:cs="Arial"/>
                <w:sz w:val="24"/>
                <w:szCs w:val="24"/>
              </w:rPr>
              <w:t xml:space="preserve"> only</w:t>
            </w:r>
            <w:r w:rsidR="00BE037C" w:rsidRPr="00D47120">
              <w:rPr>
                <w:rFonts w:ascii="Arial" w:hAnsi="Arial" w:cs="Arial"/>
                <w:sz w:val="24"/>
                <w:szCs w:val="24"/>
              </w:rPr>
              <w:t>).</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Full co</w:t>
            </w:r>
            <w:r w:rsidR="006D171F" w:rsidRPr="00D47120">
              <w:rPr>
                <w:rFonts w:ascii="Arial" w:hAnsi="Arial" w:cs="Arial"/>
                <w:sz w:val="24"/>
                <w:szCs w:val="24"/>
              </w:rPr>
              <w:t>mpliance. The Pension Fund Sub-Committee</w:t>
            </w:r>
            <w:r w:rsidR="006F4342" w:rsidRPr="00D47120">
              <w:rPr>
                <w:rFonts w:ascii="Arial" w:hAnsi="Arial" w:cs="Arial"/>
                <w:sz w:val="24"/>
                <w:szCs w:val="24"/>
              </w:rPr>
              <w:t xml:space="preserve"> includes a representative of</w:t>
            </w:r>
            <w:r w:rsidRPr="00D47120">
              <w:rPr>
                <w:rFonts w:ascii="Arial" w:hAnsi="Arial" w:cs="Arial"/>
                <w:sz w:val="24"/>
                <w:szCs w:val="24"/>
              </w:rPr>
              <w:t xml:space="preserve"> </w:t>
            </w:r>
            <w:r w:rsidR="006F4342" w:rsidRPr="00D47120">
              <w:rPr>
                <w:rFonts w:ascii="Arial" w:hAnsi="Arial" w:cs="Arial"/>
                <w:sz w:val="24"/>
                <w:szCs w:val="24"/>
              </w:rPr>
              <w:t xml:space="preserve">the </w:t>
            </w:r>
            <w:r w:rsidRPr="00D47120">
              <w:rPr>
                <w:rFonts w:ascii="Arial" w:hAnsi="Arial" w:cs="Arial"/>
                <w:sz w:val="24"/>
                <w:szCs w:val="24"/>
              </w:rPr>
              <w:t xml:space="preserve">other </w:t>
            </w:r>
            <w:r w:rsidR="006D171F" w:rsidRPr="00D47120">
              <w:rPr>
                <w:rFonts w:ascii="Arial" w:hAnsi="Arial" w:cs="Arial"/>
                <w:sz w:val="24"/>
                <w:szCs w:val="24"/>
              </w:rPr>
              <w:t>employer</w:t>
            </w:r>
            <w:r w:rsidRPr="00D47120">
              <w:rPr>
                <w:rFonts w:ascii="Arial" w:hAnsi="Arial" w:cs="Arial"/>
                <w:sz w:val="24"/>
                <w:szCs w:val="24"/>
              </w:rPr>
              <w:t>s in the Fund and contributor members.</w:t>
            </w:r>
          </w:p>
          <w:p w:rsidR="00BE037C" w:rsidRPr="00D47120" w:rsidRDefault="00BE037C" w:rsidP="0028516A">
            <w:pPr>
              <w:spacing w:after="120"/>
              <w:rPr>
                <w:rFonts w:ascii="Arial" w:hAnsi="Arial" w:cs="Arial"/>
                <w:sz w:val="24"/>
                <w:szCs w:val="24"/>
              </w:rPr>
            </w:pPr>
          </w:p>
          <w:p w:rsidR="00BE037C" w:rsidRPr="00D47120" w:rsidRDefault="00BE037C" w:rsidP="0028516A">
            <w:pPr>
              <w:spacing w:after="120"/>
              <w:rPr>
                <w:rFonts w:ascii="Arial" w:hAnsi="Arial" w:cs="Arial"/>
                <w:sz w:val="24"/>
                <w:szCs w:val="24"/>
              </w:rPr>
            </w:pPr>
            <w:r w:rsidRPr="00D47120">
              <w:rPr>
                <w:rFonts w:ascii="Arial" w:hAnsi="Arial" w:cs="Arial"/>
                <w:sz w:val="24"/>
                <w:szCs w:val="24"/>
              </w:rPr>
              <w:t>The Fund’s independent ad</w:t>
            </w:r>
            <w:r w:rsidR="00D96710" w:rsidRPr="00D47120">
              <w:rPr>
                <w:rFonts w:ascii="Arial" w:hAnsi="Arial" w:cs="Arial"/>
                <w:sz w:val="24"/>
                <w:szCs w:val="24"/>
              </w:rPr>
              <w:t>viser attends Pension Fund Sub-Committee</w:t>
            </w:r>
            <w:r w:rsidRPr="00D47120">
              <w:rPr>
                <w:rFonts w:ascii="Arial" w:hAnsi="Arial" w:cs="Arial"/>
                <w:sz w:val="24"/>
                <w:szCs w:val="24"/>
              </w:rPr>
              <w:t xml:space="preserve"> meetings. Independent professional observers are not regarded as appropriate.</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lastRenderedPageBreak/>
              <w:t>b.</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where lay members sit on a main or secondary committee, they are treated equally in terms of access to papers, meetings, and training and are given full opportunity to contribute to the decision-making process, with or without voting rights.</w:t>
            </w:r>
          </w:p>
        </w:tc>
        <w:tc>
          <w:tcPr>
            <w:tcW w:w="3690"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sz w:val="24"/>
                <w:szCs w:val="24"/>
              </w:rPr>
              <w:t>Full compliance.</w:t>
            </w:r>
            <w:r w:rsidRPr="00D47120">
              <w:rPr>
                <w:rFonts w:ascii="Arial" w:hAnsi="Arial" w:cs="Arial"/>
                <w:b/>
                <w:sz w:val="24"/>
                <w:szCs w:val="24"/>
              </w:rPr>
              <w:t xml:space="preserve"> </w:t>
            </w:r>
            <w:r w:rsidRPr="00D47120">
              <w:rPr>
                <w:rFonts w:ascii="Arial" w:hAnsi="Arial" w:cs="Arial"/>
                <w:sz w:val="24"/>
                <w:szCs w:val="24"/>
              </w:rPr>
              <w:t>Equal access is provided to all m</w:t>
            </w:r>
            <w:r w:rsidR="00D96710" w:rsidRPr="00D47120">
              <w:rPr>
                <w:rFonts w:ascii="Arial" w:hAnsi="Arial" w:cs="Arial"/>
                <w:sz w:val="24"/>
                <w:szCs w:val="24"/>
              </w:rPr>
              <w:t>embers of the Pension Fund Sub-Committee</w:t>
            </w:r>
            <w:r w:rsidRPr="00D47120">
              <w:rPr>
                <w:rFonts w:ascii="Arial" w:hAnsi="Arial" w:cs="Arial"/>
                <w:sz w:val="24"/>
                <w:szCs w:val="24"/>
              </w:rPr>
              <w:t>.</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C</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Selection and role of lay members</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committee or panel members are made fully aware of the status, role and function they are required to perform on either a main or secondary committee.</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Full compliance.</w:t>
            </w:r>
          </w:p>
          <w:p w:rsidR="00BE037C" w:rsidRPr="00D47120" w:rsidRDefault="00BE037C" w:rsidP="0028516A">
            <w:pPr>
              <w:spacing w:after="120"/>
              <w:rPr>
                <w:rFonts w:ascii="Arial" w:hAnsi="Arial" w:cs="Arial"/>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D</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Voting</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the individual administering authorities on voting rights are clear and transparent, including the justification for not extending voting rights to each body or group represented on main LGPS committees.</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Full compliance. All represent</w:t>
            </w:r>
            <w:r w:rsidR="009E7C54" w:rsidRPr="00D47120">
              <w:rPr>
                <w:rFonts w:ascii="Arial" w:hAnsi="Arial" w:cs="Arial"/>
                <w:sz w:val="24"/>
                <w:szCs w:val="24"/>
              </w:rPr>
              <w:t>atives on the Pension Fund Sub-Committee</w:t>
            </w:r>
            <w:r w:rsidRPr="00D47120">
              <w:rPr>
                <w:rFonts w:ascii="Arial" w:hAnsi="Arial" w:cs="Arial"/>
                <w:sz w:val="24"/>
                <w:szCs w:val="24"/>
              </w:rPr>
              <w:t xml:space="preserve"> have f</w:t>
            </w:r>
            <w:r w:rsidR="009E7C54" w:rsidRPr="00D47120">
              <w:rPr>
                <w:rFonts w:ascii="Arial" w:hAnsi="Arial" w:cs="Arial"/>
                <w:sz w:val="24"/>
                <w:szCs w:val="24"/>
              </w:rPr>
              <w:t>ull voting rights, but the Sub-Committee</w:t>
            </w:r>
            <w:r w:rsidRPr="00D47120">
              <w:rPr>
                <w:rFonts w:ascii="Arial" w:hAnsi="Arial" w:cs="Arial"/>
                <w:sz w:val="24"/>
                <w:szCs w:val="24"/>
              </w:rPr>
              <w:t xml:space="preserve"> works by consensus without votes being required.</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E</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Training/facility time/expenses</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in relation to the way in which the administering authority takes statutory and related decisions, there is a clear policy on training, facility time and reimbursement of expenses for members involved in the decision-making process.</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Full compliance. Full training and facilities are made available to all m</w:t>
            </w:r>
            <w:r w:rsidR="00984C5B" w:rsidRPr="00D47120">
              <w:rPr>
                <w:rFonts w:ascii="Arial" w:hAnsi="Arial" w:cs="Arial"/>
                <w:sz w:val="24"/>
                <w:szCs w:val="24"/>
              </w:rPr>
              <w:t>embers of the Pension Fund Sub-Committee</w:t>
            </w:r>
            <w:r w:rsidRPr="00D47120">
              <w:rPr>
                <w:rFonts w:ascii="Arial" w:hAnsi="Arial" w:cs="Arial"/>
                <w:sz w:val="24"/>
                <w:szCs w:val="24"/>
              </w:rPr>
              <w:t>.</w:t>
            </w:r>
          </w:p>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b.</w:t>
            </w:r>
          </w:p>
        </w:tc>
        <w:tc>
          <w:tcPr>
            <w:tcW w:w="4581" w:type="dxa"/>
            <w:shd w:val="clear" w:color="auto" w:fill="auto"/>
          </w:tcPr>
          <w:p w:rsidR="00BE037C" w:rsidRPr="00D47120" w:rsidRDefault="00BE037C" w:rsidP="00047B68">
            <w:pPr>
              <w:spacing w:after="120"/>
              <w:rPr>
                <w:rFonts w:ascii="Arial" w:hAnsi="Arial" w:cs="Arial"/>
                <w:sz w:val="24"/>
                <w:szCs w:val="24"/>
              </w:rPr>
            </w:pPr>
            <w:r w:rsidRPr="00D47120">
              <w:rPr>
                <w:rFonts w:ascii="Arial" w:hAnsi="Arial" w:cs="Arial"/>
                <w:sz w:val="24"/>
                <w:szCs w:val="24"/>
              </w:rPr>
              <w:t>That where such a policy exists, it applies equally to all members of committees, sub-committees, advisory panels or any other form of secondary forum.</w:t>
            </w:r>
          </w:p>
        </w:tc>
        <w:tc>
          <w:tcPr>
            <w:tcW w:w="3690"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Full compliance.</w:t>
            </w:r>
          </w:p>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c.</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the administering authority considers adopting annual training plans for committee members and maintains a log of all such training undertaken.</w:t>
            </w:r>
          </w:p>
          <w:p w:rsidR="00BE037C" w:rsidRPr="00D47120" w:rsidRDefault="00BE037C" w:rsidP="0028516A">
            <w:pPr>
              <w:spacing w:after="120"/>
              <w:rPr>
                <w:rFonts w:ascii="Arial" w:hAnsi="Arial" w:cs="Arial"/>
                <w:sz w:val="24"/>
                <w:szCs w:val="24"/>
              </w:rPr>
            </w:pPr>
          </w:p>
        </w:tc>
        <w:tc>
          <w:tcPr>
            <w:tcW w:w="3690" w:type="dxa"/>
            <w:shd w:val="clear" w:color="auto" w:fill="auto"/>
          </w:tcPr>
          <w:p w:rsidR="00BE037C" w:rsidRPr="00D47120" w:rsidRDefault="00BE037C" w:rsidP="0083521C">
            <w:pPr>
              <w:spacing w:after="120"/>
              <w:rPr>
                <w:rFonts w:ascii="Arial" w:hAnsi="Arial" w:cs="Arial"/>
                <w:sz w:val="24"/>
                <w:szCs w:val="24"/>
              </w:rPr>
            </w:pPr>
            <w:r w:rsidRPr="00D47120">
              <w:rPr>
                <w:rFonts w:ascii="Arial" w:hAnsi="Arial" w:cs="Arial"/>
                <w:sz w:val="24"/>
                <w:szCs w:val="24"/>
              </w:rPr>
              <w:t>Full compliance. A training plan has been pre</w:t>
            </w:r>
            <w:r w:rsidR="00984C5B" w:rsidRPr="00D47120">
              <w:rPr>
                <w:rFonts w:ascii="Arial" w:hAnsi="Arial" w:cs="Arial"/>
                <w:sz w:val="24"/>
                <w:szCs w:val="24"/>
              </w:rPr>
              <w:t>pared for the Pension Fund Sub-Committee</w:t>
            </w:r>
            <w:r w:rsidRPr="00D47120">
              <w:rPr>
                <w:rFonts w:ascii="Arial" w:hAnsi="Arial" w:cs="Arial"/>
                <w:sz w:val="24"/>
                <w:szCs w:val="24"/>
              </w:rPr>
              <w:t xml:space="preserve"> and training logs are maintained for </w:t>
            </w:r>
            <w:r w:rsidR="0083521C" w:rsidRPr="00D47120">
              <w:rPr>
                <w:rFonts w:ascii="Arial" w:hAnsi="Arial" w:cs="Arial"/>
                <w:sz w:val="24"/>
                <w:szCs w:val="24"/>
              </w:rPr>
              <w:t>all such training undertaken</w:t>
            </w:r>
            <w:r w:rsidRPr="00D47120">
              <w:rPr>
                <w:rFonts w:ascii="Arial" w:hAnsi="Arial" w:cs="Arial"/>
                <w:sz w:val="24"/>
                <w:szCs w:val="24"/>
              </w:rPr>
              <w:t>.</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F</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Meetings (frequency/quorum)</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an administering authority’s main committee or committees meet at least quarterly.</w:t>
            </w:r>
          </w:p>
        </w:tc>
        <w:tc>
          <w:tcPr>
            <w:tcW w:w="3690" w:type="dxa"/>
            <w:shd w:val="clear" w:color="auto" w:fill="auto"/>
          </w:tcPr>
          <w:p w:rsidR="00BE037C" w:rsidRPr="00D47120" w:rsidRDefault="00BE037C" w:rsidP="000015C6">
            <w:pPr>
              <w:spacing w:after="120"/>
              <w:rPr>
                <w:rFonts w:ascii="Arial" w:hAnsi="Arial" w:cs="Arial"/>
                <w:b/>
                <w:sz w:val="24"/>
                <w:szCs w:val="24"/>
              </w:rPr>
            </w:pPr>
            <w:r w:rsidRPr="00D47120">
              <w:rPr>
                <w:rFonts w:ascii="Arial" w:hAnsi="Arial" w:cs="Arial"/>
                <w:sz w:val="24"/>
                <w:szCs w:val="24"/>
              </w:rPr>
              <w:t>Full co</w:t>
            </w:r>
            <w:r w:rsidR="00047B68" w:rsidRPr="00D47120">
              <w:rPr>
                <w:rFonts w:ascii="Arial" w:hAnsi="Arial" w:cs="Arial"/>
                <w:sz w:val="24"/>
                <w:szCs w:val="24"/>
              </w:rPr>
              <w:t>mpliance. The Pension Fund Sub-Committee</w:t>
            </w:r>
            <w:r w:rsidRPr="00D47120">
              <w:rPr>
                <w:rFonts w:ascii="Arial" w:hAnsi="Arial" w:cs="Arial"/>
                <w:sz w:val="24"/>
                <w:szCs w:val="24"/>
              </w:rPr>
              <w:t xml:space="preserve"> meets at least </w:t>
            </w:r>
            <w:r w:rsidR="00047B68" w:rsidRPr="00D47120">
              <w:rPr>
                <w:rFonts w:ascii="Arial" w:hAnsi="Arial" w:cs="Arial"/>
                <w:sz w:val="24"/>
                <w:szCs w:val="24"/>
              </w:rPr>
              <w:t>four</w:t>
            </w:r>
            <w:r w:rsidRPr="00D47120">
              <w:rPr>
                <w:rFonts w:ascii="Arial" w:hAnsi="Arial" w:cs="Arial"/>
                <w:sz w:val="24"/>
                <w:szCs w:val="24"/>
              </w:rPr>
              <w:t xml:space="preserve"> times a year </w:t>
            </w:r>
            <w:r w:rsidR="000015C6" w:rsidRPr="00D47120">
              <w:rPr>
                <w:rFonts w:ascii="Arial" w:hAnsi="Arial" w:cs="Arial"/>
                <w:sz w:val="24"/>
                <w:szCs w:val="24"/>
              </w:rPr>
              <w:t>on a quarterly basis to fit its business needs</w:t>
            </w:r>
            <w:r w:rsidRPr="00D47120">
              <w:rPr>
                <w:rFonts w:ascii="Arial" w:hAnsi="Arial" w:cs="Arial"/>
                <w:sz w:val="24"/>
                <w:szCs w:val="24"/>
              </w:rPr>
              <w:t>.</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lastRenderedPageBreak/>
              <w:t>b.</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an administering authority’s secondary committee or panel meets at least twice a year and is synchronised with the dates when the main committee sits.</w:t>
            </w:r>
          </w:p>
        </w:tc>
        <w:tc>
          <w:tcPr>
            <w:tcW w:w="3690"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sz w:val="24"/>
                <w:szCs w:val="24"/>
              </w:rPr>
              <w:t>No formal secondary committees or panels have been established.</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c.</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an administering authority that does not include lay members in its formal governance arrangements must provide a forum outside of those arrangements to represent the interests of key stakeholders.</w:t>
            </w:r>
          </w:p>
        </w:tc>
        <w:tc>
          <w:tcPr>
            <w:tcW w:w="3690" w:type="dxa"/>
            <w:shd w:val="clear" w:color="auto" w:fill="auto"/>
          </w:tcPr>
          <w:p w:rsidR="00BE037C" w:rsidRPr="00D47120" w:rsidRDefault="00BE037C" w:rsidP="005A0E63">
            <w:pPr>
              <w:spacing w:after="120"/>
              <w:rPr>
                <w:rFonts w:ascii="Arial" w:hAnsi="Arial" w:cs="Arial"/>
                <w:b/>
                <w:sz w:val="24"/>
                <w:szCs w:val="24"/>
              </w:rPr>
            </w:pPr>
            <w:r w:rsidRPr="00D47120">
              <w:rPr>
                <w:rFonts w:ascii="Arial" w:hAnsi="Arial" w:cs="Arial"/>
                <w:sz w:val="24"/>
                <w:szCs w:val="24"/>
              </w:rPr>
              <w:t>Full compliance.</w:t>
            </w:r>
            <w:r w:rsidRPr="00D47120">
              <w:rPr>
                <w:rFonts w:ascii="Arial" w:hAnsi="Arial" w:cs="Arial"/>
                <w:b/>
                <w:sz w:val="24"/>
                <w:szCs w:val="24"/>
              </w:rPr>
              <w:t xml:space="preserve"> </w:t>
            </w:r>
            <w:r w:rsidR="000015C6" w:rsidRPr="00D47120">
              <w:rPr>
                <w:rFonts w:ascii="Arial" w:hAnsi="Arial" w:cs="Arial"/>
                <w:sz w:val="24"/>
                <w:szCs w:val="24"/>
              </w:rPr>
              <w:t>The Pension Fund Sub-Committee</w:t>
            </w:r>
            <w:r w:rsidRPr="00D47120">
              <w:rPr>
                <w:rFonts w:ascii="Arial" w:hAnsi="Arial" w:cs="Arial"/>
                <w:sz w:val="24"/>
                <w:szCs w:val="24"/>
              </w:rPr>
              <w:t xml:space="preserve"> includes lay members. </w:t>
            </w:r>
            <w:r w:rsidR="005A0E63" w:rsidRPr="00D47120">
              <w:rPr>
                <w:rFonts w:ascii="Arial" w:hAnsi="Arial" w:cs="Arial"/>
                <w:sz w:val="24"/>
                <w:szCs w:val="24"/>
              </w:rPr>
              <w:t>R</w:t>
            </w:r>
            <w:r w:rsidRPr="00D47120">
              <w:rPr>
                <w:rFonts w:ascii="Arial" w:hAnsi="Arial" w:cs="Arial"/>
                <w:sz w:val="24"/>
                <w:szCs w:val="24"/>
              </w:rPr>
              <w:t>oad shows are arranged for employers.</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G</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Access</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5A0E63">
            <w:pPr>
              <w:spacing w:after="120"/>
              <w:rPr>
                <w:rFonts w:ascii="Arial" w:hAnsi="Arial" w:cs="Arial"/>
                <w:sz w:val="24"/>
                <w:szCs w:val="24"/>
              </w:rPr>
            </w:pPr>
            <w:r w:rsidRPr="00D47120">
              <w:rPr>
                <w:rFonts w:ascii="Arial" w:hAnsi="Arial" w:cs="Arial"/>
                <w:sz w:val="24"/>
                <w:szCs w:val="24"/>
              </w:rPr>
              <w:t>That, subject to any rules in the Council’s constitution, all members of main and secondary committees or panels have equal access to committee papers, documents and advice that are due to be considered at meetings of the main committee.</w:t>
            </w:r>
          </w:p>
        </w:tc>
        <w:tc>
          <w:tcPr>
            <w:tcW w:w="3690" w:type="dxa"/>
            <w:shd w:val="clear" w:color="auto" w:fill="auto"/>
          </w:tcPr>
          <w:p w:rsidR="00BE037C" w:rsidRPr="00D47120" w:rsidRDefault="00BE037C" w:rsidP="00D47120">
            <w:pPr>
              <w:spacing w:after="120"/>
              <w:rPr>
                <w:rFonts w:ascii="Arial" w:hAnsi="Arial" w:cs="Arial"/>
                <w:b/>
                <w:sz w:val="24"/>
                <w:szCs w:val="24"/>
              </w:rPr>
            </w:pPr>
            <w:r w:rsidRPr="00D47120">
              <w:rPr>
                <w:rFonts w:ascii="Arial" w:hAnsi="Arial" w:cs="Arial"/>
                <w:sz w:val="24"/>
                <w:szCs w:val="24"/>
              </w:rPr>
              <w:t>Full compliance.</w:t>
            </w:r>
            <w:r w:rsidRPr="00D47120">
              <w:rPr>
                <w:rFonts w:ascii="Arial" w:hAnsi="Arial" w:cs="Arial"/>
                <w:b/>
                <w:sz w:val="24"/>
                <w:szCs w:val="24"/>
              </w:rPr>
              <w:t xml:space="preserve"> </w:t>
            </w:r>
            <w:r w:rsidRPr="00D47120">
              <w:rPr>
                <w:rFonts w:ascii="Arial" w:hAnsi="Arial" w:cs="Arial"/>
                <w:sz w:val="24"/>
                <w:szCs w:val="24"/>
              </w:rPr>
              <w:t xml:space="preserve">Equal access is provided to all members of the Pension Fund </w:t>
            </w:r>
            <w:r w:rsidR="00D47120" w:rsidRPr="00D47120">
              <w:rPr>
                <w:rFonts w:ascii="Arial" w:hAnsi="Arial" w:cs="Arial"/>
                <w:sz w:val="24"/>
                <w:szCs w:val="24"/>
              </w:rPr>
              <w:t>Sub-Committee</w:t>
            </w:r>
            <w:r w:rsidRPr="00D47120">
              <w:rPr>
                <w:rFonts w:ascii="Arial" w:hAnsi="Arial" w:cs="Arial"/>
                <w:sz w:val="24"/>
                <w:szCs w:val="24"/>
              </w:rPr>
              <w:t>.</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H</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Scope</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administering authorities have taken steps to bring wider scheme issues within the scope of their governance arrangements.</w:t>
            </w:r>
          </w:p>
        </w:tc>
        <w:tc>
          <w:tcPr>
            <w:tcW w:w="3690"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sz w:val="24"/>
                <w:szCs w:val="24"/>
              </w:rPr>
              <w:t>Full compliance.</w:t>
            </w:r>
            <w:r w:rsidRPr="00D47120">
              <w:rPr>
                <w:rFonts w:ascii="Arial" w:hAnsi="Arial" w:cs="Arial"/>
                <w:b/>
                <w:sz w:val="24"/>
                <w:szCs w:val="24"/>
              </w:rPr>
              <w:t xml:space="preserve"> </w:t>
            </w:r>
            <w:r w:rsidR="00D47120" w:rsidRPr="00D47120">
              <w:rPr>
                <w:rFonts w:ascii="Arial" w:hAnsi="Arial" w:cs="Arial"/>
                <w:sz w:val="24"/>
                <w:szCs w:val="24"/>
              </w:rPr>
              <w:t>The Pension Fund Sub-Committee</w:t>
            </w:r>
            <w:r w:rsidRPr="00D47120">
              <w:rPr>
                <w:rFonts w:ascii="Arial" w:hAnsi="Arial" w:cs="Arial"/>
                <w:sz w:val="24"/>
                <w:szCs w:val="24"/>
              </w:rPr>
              <w:t xml:space="preserve"> deals with fund administration issues as well as fund investment.</w:t>
            </w:r>
          </w:p>
        </w:tc>
      </w:tr>
      <w:tr w:rsidR="00BE037C" w:rsidRPr="00D47120" w:rsidTr="0028516A">
        <w:tc>
          <w:tcPr>
            <w:tcW w:w="657"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I</w:t>
            </w:r>
          </w:p>
        </w:tc>
        <w:tc>
          <w:tcPr>
            <w:tcW w:w="4581" w:type="dxa"/>
            <w:shd w:val="clear" w:color="auto" w:fill="auto"/>
          </w:tcPr>
          <w:p w:rsidR="00BE037C" w:rsidRPr="00D47120" w:rsidRDefault="00BE037C" w:rsidP="0028516A">
            <w:pPr>
              <w:spacing w:after="120"/>
              <w:rPr>
                <w:rFonts w:ascii="Arial" w:hAnsi="Arial" w:cs="Arial"/>
                <w:b/>
                <w:sz w:val="24"/>
                <w:szCs w:val="24"/>
              </w:rPr>
            </w:pPr>
            <w:r w:rsidRPr="00D47120">
              <w:rPr>
                <w:rFonts w:ascii="Arial" w:hAnsi="Arial" w:cs="Arial"/>
                <w:b/>
                <w:sz w:val="24"/>
                <w:szCs w:val="24"/>
              </w:rPr>
              <w:t>Publicity</w:t>
            </w:r>
          </w:p>
        </w:tc>
        <w:tc>
          <w:tcPr>
            <w:tcW w:w="3690" w:type="dxa"/>
            <w:shd w:val="clear" w:color="auto" w:fill="auto"/>
          </w:tcPr>
          <w:p w:rsidR="00BE037C" w:rsidRPr="00D47120" w:rsidRDefault="00BE037C" w:rsidP="0028516A">
            <w:pPr>
              <w:spacing w:after="120"/>
              <w:rPr>
                <w:rFonts w:ascii="Arial" w:hAnsi="Arial" w:cs="Arial"/>
                <w:b/>
                <w:sz w:val="24"/>
                <w:szCs w:val="24"/>
              </w:rPr>
            </w:pPr>
          </w:p>
        </w:tc>
      </w:tr>
      <w:tr w:rsidR="00BE037C" w:rsidRPr="00E03DBB" w:rsidTr="0028516A">
        <w:tc>
          <w:tcPr>
            <w:tcW w:w="657"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a.</w:t>
            </w:r>
          </w:p>
        </w:tc>
        <w:tc>
          <w:tcPr>
            <w:tcW w:w="4581" w:type="dxa"/>
            <w:shd w:val="clear" w:color="auto" w:fill="auto"/>
          </w:tcPr>
          <w:p w:rsidR="00BE037C" w:rsidRPr="00D47120" w:rsidRDefault="00BE037C" w:rsidP="0028516A">
            <w:pPr>
              <w:spacing w:after="120"/>
              <w:rPr>
                <w:rFonts w:ascii="Arial" w:hAnsi="Arial" w:cs="Arial"/>
                <w:sz w:val="24"/>
                <w:szCs w:val="24"/>
              </w:rPr>
            </w:pPr>
            <w:r w:rsidRPr="00D47120">
              <w:rPr>
                <w:rFonts w:ascii="Arial" w:hAnsi="Arial" w:cs="Arial"/>
                <w:sz w:val="24"/>
                <w:szCs w:val="24"/>
              </w:rPr>
              <w:t>That administering authorities have published details of their governance arrangements in such a way that stakeholders with an interest in how the scheme is governed can say they want to be part of those arrangements.</w:t>
            </w:r>
          </w:p>
        </w:tc>
        <w:tc>
          <w:tcPr>
            <w:tcW w:w="3690" w:type="dxa"/>
            <w:shd w:val="clear" w:color="auto" w:fill="auto"/>
          </w:tcPr>
          <w:p w:rsidR="00BE037C" w:rsidRPr="00401F32" w:rsidRDefault="00BE037C" w:rsidP="00D47120">
            <w:pPr>
              <w:spacing w:after="120"/>
              <w:rPr>
                <w:rFonts w:ascii="Arial" w:hAnsi="Arial" w:cs="Arial"/>
                <w:sz w:val="24"/>
                <w:szCs w:val="24"/>
              </w:rPr>
            </w:pPr>
            <w:r w:rsidRPr="00D47120">
              <w:rPr>
                <w:rFonts w:ascii="Arial" w:hAnsi="Arial" w:cs="Arial"/>
                <w:sz w:val="24"/>
                <w:szCs w:val="24"/>
              </w:rPr>
              <w:t>Full compliance. The Council’s Governance Policy Statement is published in the Pension Fund’s Annual Report and on its website.</w:t>
            </w:r>
          </w:p>
        </w:tc>
      </w:tr>
    </w:tbl>
    <w:p w:rsidR="00BE037C" w:rsidRPr="00CC0CE5" w:rsidRDefault="00BE037C" w:rsidP="00BE037C"/>
    <w:p w:rsidR="006F15EC" w:rsidRDefault="006F15EC">
      <w:pPr>
        <w:rPr>
          <w:rFonts w:ascii="Arial" w:hAnsi="Arial" w:cs="Arial"/>
          <w:sz w:val="24"/>
          <w:szCs w:val="24"/>
        </w:rPr>
      </w:pPr>
      <w:r>
        <w:rPr>
          <w:rFonts w:ascii="Arial" w:hAnsi="Arial" w:cs="Arial"/>
          <w:sz w:val="24"/>
          <w:szCs w:val="24"/>
        </w:rPr>
        <w:br w:type="page"/>
      </w:r>
    </w:p>
    <w:p w:rsidR="006F15EC" w:rsidRPr="00A6067B" w:rsidRDefault="006D6C54" w:rsidP="006F15EC">
      <w:pPr>
        <w:rPr>
          <w:rFonts w:ascii="Arial" w:hAnsi="Arial" w:cs="Arial"/>
          <w:b/>
          <w:sz w:val="28"/>
          <w:szCs w:val="28"/>
        </w:rPr>
      </w:pPr>
      <w:r w:rsidRPr="00A6067B">
        <w:rPr>
          <w:rFonts w:ascii="Arial" w:hAnsi="Arial" w:cs="Arial"/>
          <w:b/>
          <w:sz w:val="28"/>
          <w:szCs w:val="28"/>
        </w:rPr>
        <w:lastRenderedPageBreak/>
        <w:t>Communication Polic</w:t>
      </w:r>
      <w:r w:rsidR="006F15EC" w:rsidRPr="00A6067B">
        <w:rPr>
          <w:rFonts w:ascii="Arial" w:hAnsi="Arial" w:cs="Arial"/>
          <w:b/>
          <w:sz w:val="28"/>
          <w:szCs w:val="28"/>
        </w:rPr>
        <w:t>y Statement</w:t>
      </w:r>
    </w:p>
    <w:p w:rsidR="006F15EC" w:rsidRPr="00A6067B" w:rsidRDefault="006F15EC" w:rsidP="006F15EC">
      <w:pPr>
        <w:rPr>
          <w:rFonts w:ascii="Arial" w:hAnsi="Arial" w:cs="Arial"/>
          <w:sz w:val="24"/>
          <w:szCs w:val="24"/>
        </w:rPr>
      </w:pPr>
    </w:p>
    <w:p w:rsidR="0028516A" w:rsidRPr="00A6067B" w:rsidRDefault="0028516A" w:rsidP="0028516A">
      <w:pPr>
        <w:pStyle w:val="Heading2"/>
        <w:rPr>
          <w:i w:val="0"/>
          <w:sz w:val="24"/>
          <w:szCs w:val="24"/>
        </w:rPr>
      </w:pPr>
      <w:r w:rsidRPr="00A6067B">
        <w:rPr>
          <w:i w:val="0"/>
          <w:sz w:val="24"/>
          <w:szCs w:val="24"/>
        </w:rPr>
        <w:t>Introduction</w:t>
      </w:r>
    </w:p>
    <w:p w:rsidR="0028516A" w:rsidRPr="00A6067B" w:rsidRDefault="0028516A" w:rsidP="0028516A">
      <w:pPr>
        <w:spacing w:before="120" w:after="120"/>
        <w:rPr>
          <w:rFonts w:ascii="Arial" w:hAnsi="Arial" w:cs="Arial"/>
          <w:sz w:val="24"/>
          <w:szCs w:val="24"/>
        </w:rPr>
      </w:pPr>
      <w:r w:rsidRPr="00A6067B">
        <w:rPr>
          <w:rFonts w:ascii="Arial" w:hAnsi="Arial" w:cs="Arial"/>
          <w:sz w:val="24"/>
          <w:szCs w:val="24"/>
        </w:rPr>
        <w:t>This document outlines how we communicate with our stakeholders. To communicate effectively, we use different methods according to the need and the target audience.</w:t>
      </w:r>
    </w:p>
    <w:p w:rsidR="0028516A" w:rsidRPr="00A6067B" w:rsidRDefault="00A75F7C" w:rsidP="0028516A">
      <w:pPr>
        <w:spacing w:before="120" w:after="120"/>
        <w:rPr>
          <w:rFonts w:ascii="Arial" w:hAnsi="Arial" w:cs="Arial"/>
          <w:sz w:val="24"/>
          <w:szCs w:val="24"/>
        </w:rPr>
      </w:pPr>
      <w:r w:rsidRPr="00A6067B">
        <w:rPr>
          <w:rFonts w:ascii="Arial" w:hAnsi="Arial" w:cs="Arial"/>
          <w:sz w:val="24"/>
          <w:szCs w:val="24"/>
        </w:rPr>
        <w:t>We have five</w:t>
      </w:r>
      <w:r w:rsidR="0028516A" w:rsidRPr="00A6067B">
        <w:rPr>
          <w:rFonts w:ascii="Arial" w:hAnsi="Arial" w:cs="Arial"/>
          <w:sz w:val="24"/>
          <w:szCs w:val="24"/>
        </w:rPr>
        <w:t xml:space="preserve"> key stakeholder groups:</w:t>
      </w:r>
    </w:p>
    <w:p w:rsidR="0028516A" w:rsidRPr="00A6067B" w:rsidRDefault="0028516A" w:rsidP="00A75F7C">
      <w:pPr>
        <w:numPr>
          <w:ilvl w:val="0"/>
          <w:numId w:val="25"/>
        </w:numPr>
        <w:spacing w:before="120" w:after="120"/>
        <w:ind w:hanging="720"/>
        <w:rPr>
          <w:rFonts w:ascii="Arial" w:hAnsi="Arial" w:cs="Arial"/>
          <w:sz w:val="24"/>
          <w:szCs w:val="24"/>
        </w:rPr>
      </w:pPr>
      <w:r w:rsidRPr="00A6067B">
        <w:rPr>
          <w:rFonts w:ascii="Arial" w:hAnsi="Arial" w:cs="Arial"/>
          <w:sz w:val="24"/>
          <w:szCs w:val="24"/>
        </w:rPr>
        <w:t>Scheme members</w:t>
      </w:r>
    </w:p>
    <w:p w:rsidR="0028516A" w:rsidRPr="00A6067B" w:rsidRDefault="0028516A" w:rsidP="00F620E3">
      <w:pPr>
        <w:numPr>
          <w:ilvl w:val="0"/>
          <w:numId w:val="25"/>
        </w:numPr>
        <w:spacing w:before="120" w:after="120"/>
        <w:ind w:hanging="720"/>
        <w:rPr>
          <w:rFonts w:ascii="Arial" w:hAnsi="Arial" w:cs="Arial"/>
          <w:sz w:val="24"/>
          <w:szCs w:val="24"/>
        </w:rPr>
      </w:pPr>
      <w:r w:rsidRPr="00A6067B">
        <w:rPr>
          <w:rFonts w:ascii="Arial" w:hAnsi="Arial" w:cs="Arial"/>
          <w:sz w:val="24"/>
          <w:szCs w:val="24"/>
        </w:rPr>
        <w:t>Employing authorities</w:t>
      </w:r>
    </w:p>
    <w:p w:rsidR="00A55928" w:rsidRPr="00A6067B" w:rsidRDefault="003A3DDE" w:rsidP="00907AD2">
      <w:pPr>
        <w:numPr>
          <w:ilvl w:val="0"/>
          <w:numId w:val="25"/>
        </w:numPr>
        <w:spacing w:before="120" w:after="120"/>
        <w:ind w:hanging="720"/>
        <w:rPr>
          <w:rFonts w:ascii="Arial" w:hAnsi="Arial" w:cs="Arial"/>
          <w:sz w:val="24"/>
          <w:szCs w:val="24"/>
        </w:rPr>
      </w:pPr>
      <w:r w:rsidRPr="00A6067B">
        <w:rPr>
          <w:rFonts w:ascii="Arial" w:hAnsi="Arial" w:cs="Arial"/>
          <w:sz w:val="24"/>
          <w:szCs w:val="24"/>
        </w:rPr>
        <w:t>The Fund’s contractor for pension administration services, Capita Employee Benefits</w:t>
      </w:r>
    </w:p>
    <w:p w:rsidR="00F620E3" w:rsidRPr="00A6067B" w:rsidRDefault="00F620E3" w:rsidP="00F620E3">
      <w:pPr>
        <w:numPr>
          <w:ilvl w:val="0"/>
          <w:numId w:val="25"/>
        </w:numPr>
        <w:spacing w:before="120" w:after="120"/>
        <w:ind w:hanging="720"/>
        <w:rPr>
          <w:rFonts w:ascii="Arial" w:hAnsi="Arial" w:cs="Arial"/>
          <w:sz w:val="24"/>
          <w:szCs w:val="24"/>
        </w:rPr>
      </w:pPr>
      <w:r w:rsidRPr="00A6067B">
        <w:rPr>
          <w:rFonts w:ascii="Arial" w:hAnsi="Arial" w:cs="Arial"/>
          <w:sz w:val="24"/>
          <w:szCs w:val="24"/>
        </w:rPr>
        <w:t>Brent Pensions Team staff</w:t>
      </w:r>
    </w:p>
    <w:p w:rsidR="0028516A" w:rsidRPr="00A6067B" w:rsidRDefault="0028516A" w:rsidP="00907AD2">
      <w:pPr>
        <w:numPr>
          <w:ilvl w:val="0"/>
          <w:numId w:val="25"/>
        </w:numPr>
        <w:spacing w:before="120" w:after="120"/>
        <w:ind w:hanging="720"/>
        <w:rPr>
          <w:rFonts w:ascii="Arial" w:hAnsi="Arial" w:cs="Arial"/>
          <w:sz w:val="24"/>
          <w:szCs w:val="24"/>
        </w:rPr>
      </w:pPr>
      <w:r w:rsidRPr="00A6067B">
        <w:rPr>
          <w:rFonts w:ascii="Arial" w:hAnsi="Arial" w:cs="Arial"/>
          <w:sz w:val="24"/>
          <w:szCs w:val="24"/>
        </w:rPr>
        <w:t>Other bodies, for example prospective employing authorities.</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We are committed to communicating clearly and effectively and we provide a high-quality service to all our stakeholders</w:t>
      </w:r>
      <w:r w:rsidR="0087664D" w:rsidRPr="00A6067B">
        <w:rPr>
          <w:rFonts w:ascii="Arial" w:hAnsi="Arial" w:cs="Arial"/>
          <w:sz w:val="24"/>
          <w:szCs w:val="24"/>
        </w:rPr>
        <w:t>.</w:t>
      </w:r>
    </w:p>
    <w:p w:rsidR="00E60194" w:rsidRPr="00A6067B" w:rsidRDefault="00E60194" w:rsidP="00E60194">
      <w:pPr>
        <w:spacing w:before="240" w:after="120"/>
        <w:rPr>
          <w:rFonts w:ascii="Arial" w:hAnsi="Arial" w:cs="Arial"/>
          <w:sz w:val="2"/>
          <w:szCs w:val="2"/>
        </w:rPr>
      </w:pPr>
    </w:p>
    <w:p w:rsidR="00E60194" w:rsidRPr="00A6067B" w:rsidRDefault="0087664D" w:rsidP="00E60194">
      <w:pPr>
        <w:spacing w:before="240" w:after="120"/>
        <w:rPr>
          <w:rFonts w:ascii="Arial" w:hAnsi="Arial" w:cs="Arial"/>
          <w:b/>
          <w:sz w:val="24"/>
          <w:szCs w:val="24"/>
        </w:rPr>
      </w:pPr>
      <w:r w:rsidRPr="00A6067B">
        <w:rPr>
          <w:rFonts w:ascii="Arial" w:hAnsi="Arial" w:cs="Arial"/>
          <w:b/>
          <w:sz w:val="24"/>
          <w:szCs w:val="24"/>
        </w:rPr>
        <w:t>Our communication with scheme members</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Scheme members include current contributors, those with a deferred benefit and those receiving a pension. Scheme members must be given detailed information about the scheme and their own benefits.</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Our website offers extensive information for scheme members. It contains links to other relevant organisations and is updated with all new legislation. We intend to develop the website as the prime source of information on the pension scheme. This should ensure timely, up-to-date and easy-to-access information for all our stakeholders.</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 xml:space="preserve">The </w:t>
      </w:r>
      <w:r w:rsidRPr="00A6067B">
        <w:rPr>
          <w:rFonts w:ascii="Arial" w:hAnsi="Arial" w:cs="Arial"/>
          <w:i/>
          <w:iCs/>
          <w:sz w:val="24"/>
          <w:szCs w:val="24"/>
        </w:rPr>
        <w:t>Employee’s Guide</w:t>
      </w:r>
      <w:r w:rsidRPr="00A6067B">
        <w:rPr>
          <w:rFonts w:ascii="Arial" w:hAnsi="Arial" w:cs="Arial"/>
          <w:sz w:val="24"/>
          <w:szCs w:val="24"/>
        </w:rPr>
        <w:t xml:space="preserve"> is the main reference point for current scheme members.  Each new employee gets a copy from their employer. We update it regularly, usually annually when regulations are changed. It is available from our website. Other scheme literature is available from employers or direct from us.</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We have a general query call centre which operates during office hours. A voice-mail service takes messages out of hours, and we return these calls the next working day. We also have a general email address for all queries.</w:t>
      </w:r>
    </w:p>
    <w:p w:rsidR="00E109CF" w:rsidRDefault="0028516A" w:rsidP="00E60194">
      <w:pPr>
        <w:spacing w:before="240" w:after="120"/>
        <w:rPr>
          <w:rFonts w:ascii="Arial" w:hAnsi="Arial" w:cs="Arial"/>
          <w:sz w:val="24"/>
          <w:szCs w:val="24"/>
        </w:rPr>
      </w:pPr>
      <w:r w:rsidRPr="00A6067B">
        <w:rPr>
          <w:rFonts w:ascii="Arial" w:hAnsi="Arial" w:cs="Arial"/>
          <w:sz w:val="24"/>
          <w:szCs w:val="24"/>
        </w:rPr>
        <w:t xml:space="preserve">Each year, we send all current and deferred members an annual benefit statement showing their benefits as at 31 March. These are usually issued between </w:t>
      </w:r>
      <w:r w:rsidR="00E109CF">
        <w:rPr>
          <w:rFonts w:ascii="Arial" w:hAnsi="Arial" w:cs="Arial"/>
          <w:sz w:val="24"/>
          <w:szCs w:val="24"/>
        </w:rPr>
        <w:t xml:space="preserve">May and </w:t>
      </w:r>
      <w:r w:rsidRPr="00A6067B">
        <w:rPr>
          <w:rFonts w:ascii="Arial" w:hAnsi="Arial" w:cs="Arial"/>
          <w:sz w:val="24"/>
          <w:szCs w:val="24"/>
        </w:rPr>
        <w:t>September each year.</w:t>
      </w:r>
    </w:p>
    <w:p w:rsidR="00E109CF" w:rsidRDefault="00E109CF">
      <w:pPr>
        <w:rPr>
          <w:rFonts w:ascii="Arial" w:hAnsi="Arial" w:cs="Arial"/>
          <w:sz w:val="24"/>
          <w:szCs w:val="24"/>
        </w:rPr>
      </w:pPr>
      <w:r>
        <w:rPr>
          <w:rFonts w:ascii="Arial" w:hAnsi="Arial" w:cs="Arial"/>
          <w:sz w:val="24"/>
          <w:szCs w:val="24"/>
        </w:rPr>
        <w:br w:type="page"/>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lastRenderedPageBreak/>
        <w:t>We send pay advice slips to pensioners each April and send a P60 in May if the pensioner has had income tax deducted during the year. A payslip is also sent to pensioners if there h</w:t>
      </w:r>
      <w:r w:rsidR="00E109CF">
        <w:rPr>
          <w:rFonts w:ascii="Arial" w:hAnsi="Arial" w:cs="Arial"/>
          <w:sz w:val="24"/>
          <w:szCs w:val="24"/>
        </w:rPr>
        <w:t>as been a change of more than £3</w:t>
      </w:r>
      <w:r w:rsidRPr="00A6067B">
        <w:rPr>
          <w:rFonts w:ascii="Arial" w:hAnsi="Arial" w:cs="Arial"/>
          <w:sz w:val="24"/>
          <w:szCs w:val="24"/>
        </w:rPr>
        <w:t xml:space="preserve"> in their monthly payment.</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An annual newsletter is sent to pensioners each March.</w:t>
      </w:r>
    </w:p>
    <w:p w:rsidR="00E60194" w:rsidRPr="00A6067B" w:rsidRDefault="0028516A" w:rsidP="00E60194">
      <w:pPr>
        <w:spacing w:before="240" w:after="120"/>
        <w:rPr>
          <w:rFonts w:ascii="Arial" w:hAnsi="Arial" w:cs="Arial"/>
          <w:sz w:val="24"/>
          <w:szCs w:val="24"/>
        </w:rPr>
      </w:pPr>
      <w:r w:rsidRPr="00A6067B">
        <w:rPr>
          <w:rFonts w:ascii="Arial" w:hAnsi="Arial" w:cs="Arial"/>
          <w:sz w:val="24"/>
          <w:szCs w:val="24"/>
        </w:rPr>
        <w:t xml:space="preserve">The </w:t>
      </w:r>
      <w:r w:rsidR="00554D9E" w:rsidRPr="00A6067B">
        <w:rPr>
          <w:rFonts w:ascii="Arial" w:hAnsi="Arial" w:cs="Arial"/>
          <w:sz w:val="24"/>
          <w:szCs w:val="24"/>
        </w:rPr>
        <w:t xml:space="preserve">Brent Pension Fund’s </w:t>
      </w:r>
      <w:r w:rsidRPr="00A6067B">
        <w:rPr>
          <w:rFonts w:ascii="Arial" w:hAnsi="Arial" w:cs="Arial"/>
          <w:sz w:val="24"/>
          <w:szCs w:val="24"/>
        </w:rPr>
        <w:t xml:space="preserve">annual report and full accounts are available to members </w:t>
      </w:r>
      <w:r w:rsidR="00E109CF">
        <w:rPr>
          <w:rFonts w:ascii="Arial" w:hAnsi="Arial" w:cs="Arial"/>
          <w:sz w:val="24"/>
          <w:szCs w:val="24"/>
        </w:rPr>
        <w:t>via</w:t>
      </w:r>
      <w:r w:rsidRPr="00A6067B">
        <w:rPr>
          <w:rFonts w:ascii="Arial" w:hAnsi="Arial" w:cs="Arial"/>
          <w:sz w:val="24"/>
          <w:szCs w:val="24"/>
        </w:rPr>
        <w:t xml:space="preserve"> our website.</w:t>
      </w:r>
    </w:p>
    <w:p w:rsidR="00E60194" w:rsidRPr="00A6067B" w:rsidRDefault="00E60194" w:rsidP="00E60194">
      <w:pPr>
        <w:spacing w:before="240" w:after="120"/>
        <w:rPr>
          <w:rFonts w:ascii="Arial" w:hAnsi="Arial" w:cs="Arial"/>
          <w:sz w:val="2"/>
          <w:szCs w:val="2"/>
        </w:rPr>
      </w:pPr>
    </w:p>
    <w:p w:rsidR="0028516A" w:rsidRPr="00A6067B" w:rsidRDefault="009A6661" w:rsidP="00E60194">
      <w:pPr>
        <w:spacing w:before="240" w:after="120"/>
        <w:rPr>
          <w:rFonts w:ascii="Arial" w:hAnsi="Arial" w:cs="Arial"/>
          <w:sz w:val="24"/>
          <w:szCs w:val="24"/>
        </w:rPr>
      </w:pPr>
      <w:r w:rsidRPr="00A6067B">
        <w:rPr>
          <w:rFonts w:ascii="Arial" w:hAnsi="Arial" w:cs="Arial"/>
          <w:b/>
          <w:sz w:val="24"/>
          <w:szCs w:val="24"/>
        </w:rPr>
        <w:t>Our c</w:t>
      </w:r>
      <w:r w:rsidR="00E60194" w:rsidRPr="00A6067B">
        <w:rPr>
          <w:rFonts w:ascii="Arial" w:hAnsi="Arial" w:cs="Arial"/>
          <w:b/>
          <w:sz w:val="24"/>
          <w:szCs w:val="24"/>
        </w:rPr>
        <w:t>ommunication with employing authorities</w:t>
      </w:r>
    </w:p>
    <w:p w:rsidR="0028516A" w:rsidRPr="00A6067B" w:rsidRDefault="0028516A" w:rsidP="0028516A">
      <w:pPr>
        <w:pStyle w:val="Heading5"/>
        <w:rPr>
          <w:rFonts w:ascii="Arial" w:hAnsi="Arial" w:cs="Arial"/>
          <w:color w:val="auto"/>
          <w:sz w:val="24"/>
          <w:szCs w:val="24"/>
        </w:rPr>
      </w:pPr>
      <w:r w:rsidRPr="00A6067B">
        <w:rPr>
          <w:rFonts w:ascii="Arial" w:hAnsi="Arial" w:cs="Arial"/>
          <w:color w:val="auto"/>
          <w:sz w:val="24"/>
          <w:szCs w:val="24"/>
        </w:rPr>
        <w:t>We communicate with employing authorities in several ways to help them meet their responsibilities as scheme employers.</w:t>
      </w:r>
    </w:p>
    <w:p w:rsidR="0028516A" w:rsidRPr="00A6067B" w:rsidRDefault="0028516A" w:rsidP="0028516A">
      <w:pPr>
        <w:pStyle w:val="Heading4"/>
        <w:rPr>
          <w:rFonts w:ascii="Arial" w:hAnsi="Arial" w:cs="Arial"/>
          <w:b w:val="0"/>
          <w:color w:val="auto"/>
          <w:sz w:val="24"/>
          <w:szCs w:val="24"/>
        </w:rPr>
      </w:pPr>
    </w:p>
    <w:p w:rsidR="00E60194" w:rsidRPr="00A6067B" w:rsidRDefault="0028516A" w:rsidP="00E60194">
      <w:pPr>
        <w:rPr>
          <w:rFonts w:ascii="Arial" w:hAnsi="Arial" w:cs="Arial"/>
          <w:sz w:val="24"/>
          <w:szCs w:val="24"/>
        </w:rPr>
      </w:pPr>
      <w:r w:rsidRPr="00A6067B">
        <w:rPr>
          <w:rFonts w:ascii="Arial" w:hAnsi="Arial" w:cs="Arial"/>
          <w:sz w:val="24"/>
          <w:szCs w:val="24"/>
        </w:rPr>
        <w:t xml:space="preserve">We give the </w:t>
      </w:r>
      <w:r w:rsidRPr="00A6067B">
        <w:rPr>
          <w:rFonts w:ascii="Arial" w:hAnsi="Arial" w:cs="Arial"/>
          <w:i/>
          <w:iCs/>
          <w:sz w:val="24"/>
          <w:szCs w:val="24"/>
        </w:rPr>
        <w:t>Employer Manual</w:t>
      </w:r>
      <w:r w:rsidRPr="00A6067B">
        <w:rPr>
          <w:rFonts w:ascii="Arial" w:hAnsi="Arial" w:cs="Arial"/>
          <w:sz w:val="24"/>
          <w:szCs w:val="24"/>
        </w:rPr>
        <w:t xml:space="preserve"> to all employing authorities. It contains details of procedures and their responsibilities. Copies of leaflets and forms are also available to employers from the website or on request from ourselves.</w:t>
      </w:r>
    </w:p>
    <w:p w:rsidR="009414BB" w:rsidRPr="00A6067B" w:rsidRDefault="009414BB" w:rsidP="0028516A">
      <w:pPr>
        <w:rPr>
          <w:rFonts w:ascii="Arial" w:hAnsi="Arial" w:cs="Arial"/>
          <w:b/>
          <w:sz w:val="24"/>
          <w:szCs w:val="24"/>
        </w:rPr>
      </w:pPr>
    </w:p>
    <w:p w:rsidR="00416FB0" w:rsidRDefault="009414BB" w:rsidP="00416FB0">
      <w:pPr>
        <w:rPr>
          <w:rFonts w:ascii="Arial" w:hAnsi="Arial" w:cs="Arial"/>
          <w:sz w:val="24"/>
          <w:szCs w:val="24"/>
        </w:rPr>
      </w:pPr>
      <w:r w:rsidRPr="00A6067B">
        <w:rPr>
          <w:rFonts w:ascii="Arial" w:hAnsi="Arial" w:cs="Arial"/>
          <w:sz w:val="24"/>
          <w:szCs w:val="24"/>
        </w:rPr>
        <w:t>A</w:t>
      </w:r>
      <w:r w:rsidR="0028516A" w:rsidRPr="00A6067B">
        <w:rPr>
          <w:rFonts w:ascii="Arial" w:hAnsi="Arial" w:cs="Arial"/>
          <w:sz w:val="24"/>
          <w:szCs w:val="24"/>
        </w:rPr>
        <w:t xml:space="preserve"> copy of the </w:t>
      </w:r>
      <w:r w:rsidRPr="00A6067B">
        <w:rPr>
          <w:rFonts w:ascii="Arial" w:hAnsi="Arial" w:cs="Arial"/>
          <w:sz w:val="24"/>
          <w:szCs w:val="24"/>
        </w:rPr>
        <w:t xml:space="preserve">Brent Pension Fund </w:t>
      </w:r>
      <w:r w:rsidR="0028516A" w:rsidRPr="00A6067B">
        <w:rPr>
          <w:rFonts w:ascii="Arial" w:hAnsi="Arial" w:cs="Arial"/>
          <w:sz w:val="24"/>
          <w:szCs w:val="24"/>
        </w:rPr>
        <w:t xml:space="preserve">annual report and accounts </w:t>
      </w:r>
      <w:r w:rsidRPr="00A6067B">
        <w:rPr>
          <w:rFonts w:ascii="Arial" w:hAnsi="Arial" w:cs="Arial"/>
          <w:sz w:val="24"/>
          <w:szCs w:val="24"/>
        </w:rPr>
        <w:t xml:space="preserve">is made available </w:t>
      </w:r>
      <w:r w:rsidR="0028516A" w:rsidRPr="00A6067B">
        <w:rPr>
          <w:rFonts w:ascii="Arial" w:hAnsi="Arial" w:cs="Arial"/>
          <w:sz w:val="24"/>
          <w:szCs w:val="24"/>
        </w:rPr>
        <w:t>to each employer</w:t>
      </w:r>
      <w:r w:rsidRPr="00A6067B">
        <w:rPr>
          <w:rFonts w:ascii="Arial" w:hAnsi="Arial" w:cs="Arial"/>
          <w:sz w:val="24"/>
          <w:szCs w:val="24"/>
        </w:rPr>
        <w:t xml:space="preserve"> via the website</w:t>
      </w:r>
      <w:r w:rsidR="0028516A" w:rsidRPr="00A6067B">
        <w:rPr>
          <w:rFonts w:ascii="Arial" w:hAnsi="Arial" w:cs="Arial"/>
          <w:sz w:val="24"/>
          <w:szCs w:val="24"/>
        </w:rPr>
        <w:t xml:space="preserve">. We publish an updated Statement of Investment Principles and make it available to employers within three </w:t>
      </w:r>
      <w:r w:rsidRPr="00A6067B">
        <w:rPr>
          <w:rFonts w:ascii="Arial" w:hAnsi="Arial" w:cs="Arial"/>
          <w:sz w:val="24"/>
          <w:szCs w:val="24"/>
        </w:rPr>
        <w:t>months of the Pension Fund Sub-Committee</w:t>
      </w:r>
      <w:r w:rsidR="0028516A" w:rsidRPr="00A6067B">
        <w:rPr>
          <w:rFonts w:ascii="Arial" w:hAnsi="Arial" w:cs="Arial"/>
          <w:sz w:val="24"/>
          <w:szCs w:val="24"/>
        </w:rPr>
        <w:t xml:space="preserve"> approving any significant amendment.</w:t>
      </w:r>
    </w:p>
    <w:p w:rsidR="009B18AE" w:rsidRPr="00A6067B" w:rsidRDefault="009B18AE" w:rsidP="00416FB0">
      <w:pPr>
        <w:rPr>
          <w:rFonts w:ascii="Arial" w:hAnsi="Arial" w:cs="Arial"/>
          <w:sz w:val="24"/>
          <w:szCs w:val="24"/>
        </w:rPr>
      </w:pPr>
    </w:p>
    <w:p w:rsidR="0028516A" w:rsidRPr="00A6067B" w:rsidRDefault="0028516A" w:rsidP="00416FB0">
      <w:pPr>
        <w:rPr>
          <w:rFonts w:ascii="Arial" w:hAnsi="Arial" w:cs="Arial"/>
          <w:sz w:val="24"/>
          <w:szCs w:val="24"/>
        </w:rPr>
      </w:pPr>
      <w:r w:rsidRPr="00A6067B">
        <w:rPr>
          <w:rFonts w:ascii="Arial" w:hAnsi="Arial" w:cs="Arial"/>
          <w:sz w:val="24"/>
          <w:szCs w:val="24"/>
        </w:rPr>
        <w:t>We send the full actuarial report on the triennial valuation to employers when they are available.</w:t>
      </w:r>
    </w:p>
    <w:p w:rsidR="0028516A" w:rsidRPr="00A6067B" w:rsidRDefault="0028516A" w:rsidP="0028516A">
      <w:pPr>
        <w:rPr>
          <w:rFonts w:ascii="Arial" w:hAnsi="Arial" w:cs="Arial"/>
          <w:sz w:val="24"/>
          <w:szCs w:val="24"/>
        </w:rPr>
      </w:pPr>
    </w:p>
    <w:p w:rsidR="00BB6A00" w:rsidRPr="00A6067B" w:rsidRDefault="00BB6A00" w:rsidP="0028516A">
      <w:pPr>
        <w:rPr>
          <w:rFonts w:ascii="Arial" w:hAnsi="Arial" w:cs="Arial"/>
          <w:sz w:val="24"/>
          <w:szCs w:val="24"/>
        </w:rPr>
      </w:pPr>
    </w:p>
    <w:p w:rsidR="00BB6A00" w:rsidRPr="00A6067B" w:rsidRDefault="00BB6A00" w:rsidP="0028516A">
      <w:pPr>
        <w:rPr>
          <w:rFonts w:ascii="Arial" w:hAnsi="Arial" w:cs="Arial"/>
          <w:sz w:val="24"/>
          <w:szCs w:val="24"/>
        </w:rPr>
      </w:pPr>
      <w:r w:rsidRPr="00A6067B">
        <w:rPr>
          <w:rFonts w:ascii="Arial" w:hAnsi="Arial" w:cs="Arial"/>
          <w:b/>
          <w:sz w:val="24"/>
          <w:szCs w:val="24"/>
        </w:rPr>
        <w:t xml:space="preserve">Our communication with </w:t>
      </w:r>
      <w:r w:rsidR="009A046F" w:rsidRPr="00A6067B">
        <w:rPr>
          <w:rFonts w:ascii="Arial" w:hAnsi="Arial" w:cs="Arial"/>
          <w:b/>
          <w:sz w:val="24"/>
          <w:szCs w:val="24"/>
        </w:rPr>
        <w:t>Cap</w:t>
      </w:r>
      <w:r w:rsidR="00296F15" w:rsidRPr="00A6067B">
        <w:rPr>
          <w:rFonts w:ascii="Arial" w:hAnsi="Arial" w:cs="Arial"/>
          <w:b/>
          <w:sz w:val="24"/>
          <w:szCs w:val="24"/>
        </w:rPr>
        <w:t>ita</w:t>
      </w:r>
      <w:r w:rsidR="009A046F" w:rsidRPr="00A6067B">
        <w:rPr>
          <w:rFonts w:ascii="Arial" w:hAnsi="Arial" w:cs="Arial"/>
          <w:b/>
          <w:sz w:val="24"/>
          <w:szCs w:val="24"/>
        </w:rPr>
        <w:t xml:space="preserve"> Employee Benefits</w:t>
      </w:r>
    </w:p>
    <w:p w:rsidR="0028516A" w:rsidRPr="00A6067B" w:rsidRDefault="0028516A" w:rsidP="0028516A">
      <w:pPr>
        <w:rPr>
          <w:rFonts w:ascii="Arial" w:hAnsi="Arial" w:cs="Arial"/>
          <w:sz w:val="24"/>
          <w:szCs w:val="24"/>
        </w:rPr>
      </w:pPr>
    </w:p>
    <w:p w:rsidR="00E37777" w:rsidRPr="00A6067B" w:rsidRDefault="00296F15" w:rsidP="0028516A">
      <w:pPr>
        <w:rPr>
          <w:rFonts w:ascii="Arial" w:hAnsi="Arial" w:cs="Arial"/>
          <w:sz w:val="24"/>
          <w:szCs w:val="24"/>
        </w:rPr>
      </w:pPr>
      <w:r w:rsidRPr="00A6067B">
        <w:rPr>
          <w:rFonts w:ascii="Arial" w:hAnsi="Arial" w:cs="Arial"/>
          <w:sz w:val="24"/>
          <w:szCs w:val="24"/>
        </w:rPr>
        <w:t>It is vital that regular communication</w:t>
      </w:r>
      <w:r w:rsidR="00A85FCE" w:rsidRPr="00A6067B">
        <w:rPr>
          <w:rFonts w:ascii="Arial" w:hAnsi="Arial" w:cs="Arial"/>
          <w:sz w:val="24"/>
          <w:szCs w:val="24"/>
        </w:rPr>
        <w:t xml:space="preserve"> </w:t>
      </w:r>
      <w:r w:rsidRPr="00A6067B">
        <w:rPr>
          <w:rFonts w:ascii="Arial" w:hAnsi="Arial" w:cs="Arial"/>
          <w:sz w:val="24"/>
          <w:szCs w:val="24"/>
        </w:rPr>
        <w:t xml:space="preserve">takes place with </w:t>
      </w:r>
      <w:r w:rsidR="00A85FCE" w:rsidRPr="00A6067B">
        <w:rPr>
          <w:rFonts w:ascii="Arial" w:hAnsi="Arial" w:cs="Arial"/>
          <w:sz w:val="24"/>
          <w:szCs w:val="24"/>
        </w:rPr>
        <w:t>Capita Employee Benefits</w:t>
      </w:r>
      <w:r w:rsidRPr="00A6067B">
        <w:rPr>
          <w:rFonts w:ascii="Arial" w:hAnsi="Arial" w:cs="Arial"/>
          <w:sz w:val="24"/>
          <w:szCs w:val="24"/>
        </w:rPr>
        <w:t xml:space="preserve">, to ensure that the </w:t>
      </w:r>
      <w:r w:rsidR="00C87B93" w:rsidRPr="00A6067B">
        <w:rPr>
          <w:rFonts w:ascii="Arial" w:hAnsi="Arial" w:cs="Arial"/>
          <w:sz w:val="24"/>
          <w:szCs w:val="24"/>
        </w:rPr>
        <w:t>Fund’s contractor for pension administration services</w:t>
      </w:r>
      <w:r w:rsidR="00E37777" w:rsidRPr="00A6067B">
        <w:rPr>
          <w:rFonts w:ascii="Arial" w:hAnsi="Arial" w:cs="Arial"/>
          <w:sz w:val="24"/>
          <w:szCs w:val="24"/>
        </w:rPr>
        <w:t xml:space="preserve"> delivers to the requisite</w:t>
      </w:r>
      <w:r w:rsidRPr="00A6067B">
        <w:rPr>
          <w:rFonts w:ascii="Arial" w:hAnsi="Arial" w:cs="Arial"/>
          <w:sz w:val="24"/>
          <w:szCs w:val="24"/>
        </w:rPr>
        <w:t xml:space="preserve"> quality and cost</w:t>
      </w:r>
      <w:r w:rsidR="00E37777" w:rsidRPr="00A6067B">
        <w:rPr>
          <w:rFonts w:ascii="Arial" w:hAnsi="Arial" w:cs="Arial"/>
          <w:sz w:val="24"/>
          <w:szCs w:val="24"/>
        </w:rPr>
        <w:t>.</w:t>
      </w:r>
    </w:p>
    <w:p w:rsidR="00E37777" w:rsidRPr="00A6067B" w:rsidRDefault="00E37777" w:rsidP="0028516A">
      <w:pPr>
        <w:rPr>
          <w:rFonts w:ascii="Arial" w:hAnsi="Arial" w:cs="Arial"/>
          <w:sz w:val="24"/>
          <w:szCs w:val="24"/>
        </w:rPr>
      </w:pPr>
    </w:p>
    <w:p w:rsidR="00514E3F" w:rsidRPr="00A6067B" w:rsidRDefault="00514E3F" w:rsidP="00514E3F">
      <w:pPr>
        <w:rPr>
          <w:rFonts w:ascii="Arial" w:hAnsi="Arial" w:cs="Arial"/>
          <w:sz w:val="24"/>
          <w:szCs w:val="24"/>
        </w:rPr>
      </w:pPr>
    </w:p>
    <w:p w:rsidR="00514E3F" w:rsidRPr="00A6067B" w:rsidRDefault="00514E3F" w:rsidP="00514E3F">
      <w:pPr>
        <w:rPr>
          <w:rFonts w:ascii="Arial" w:hAnsi="Arial" w:cs="Arial"/>
          <w:sz w:val="24"/>
          <w:szCs w:val="24"/>
        </w:rPr>
      </w:pPr>
      <w:r w:rsidRPr="00A6067B">
        <w:rPr>
          <w:rFonts w:ascii="Arial" w:hAnsi="Arial" w:cs="Arial"/>
          <w:b/>
          <w:sz w:val="24"/>
          <w:szCs w:val="24"/>
        </w:rPr>
        <w:t>Our communication with Brent Pensions Team staff</w:t>
      </w:r>
    </w:p>
    <w:p w:rsidR="00514E3F" w:rsidRPr="00A6067B" w:rsidRDefault="00514E3F" w:rsidP="00514E3F">
      <w:pPr>
        <w:rPr>
          <w:rFonts w:ascii="Arial" w:hAnsi="Arial" w:cs="Arial"/>
          <w:sz w:val="24"/>
          <w:szCs w:val="24"/>
        </w:rPr>
      </w:pPr>
    </w:p>
    <w:p w:rsidR="00514E3F" w:rsidRPr="00A6067B" w:rsidRDefault="00514E3F" w:rsidP="00514E3F">
      <w:pPr>
        <w:rPr>
          <w:rFonts w:ascii="Arial" w:hAnsi="Arial" w:cs="Arial"/>
          <w:sz w:val="24"/>
          <w:szCs w:val="24"/>
        </w:rPr>
      </w:pPr>
      <w:r w:rsidRPr="00A6067B">
        <w:rPr>
          <w:rFonts w:ascii="Arial" w:hAnsi="Arial" w:cs="Arial"/>
          <w:sz w:val="24"/>
          <w:szCs w:val="24"/>
        </w:rPr>
        <w:t xml:space="preserve">It is essential that our staff are </w:t>
      </w:r>
      <w:r w:rsidR="00F82A80" w:rsidRPr="00A6067B">
        <w:rPr>
          <w:rFonts w:ascii="Arial" w:hAnsi="Arial" w:cs="Arial"/>
          <w:sz w:val="24"/>
          <w:szCs w:val="24"/>
        </w:rPr>
        <w:t>kept up to date with all changes to the scheme so that they can continue to administer it effectively and offer a high-quality service to members and employers.</w:t>
      </w:r>
    </w:p>
    <w:p w:rsidR="00514E3F" w:rsidRDefault="00514E3F" w:rsidP="00514E3F">
      <w:pPr>
        <w:rPr>
          <w:rFonts w:ascii="Arial" w:hAnsi="Arial" w:cs="Arial"/>
          <w:sz w:val="24"/>
          <w:szCs w:val="24"/>
          <w:highlight w:val="yellow"/>
        </w:rPr>
      </w:pPr>
    </w:p>
    <w:p w:rsidR="00A6067B" w:rsidRPr="00A6067B" w:rsidRDefault="00A6067B" w:rsidP="00A6067B">
      <w:pPr>
        <w:rPr>
          <w:rFonts w:ascii="Arial" w:hAnsi="Arial" w:cs="Arial"/>
          <w:sz w:val="24"/>
          <w:szCs w:val="24"/>
        </w:rPr>
      </w:pPr>
    </w:p>
    <w:p w:rsidR="00A6067B" w:rsidRPr="00C55AA6" w:rsidRDefault="00A6067B" w:rsidP="00A6067B">
      <w:pPr>
        <w:rPr>
          <w:rFonts w:ascii="Arial" w:hAnsi="Arial" w:cs="Arial"/>
          <w:sz w:val="24"/>
          <w:szCs w:val="24"/>
        </w:rPr>
      </w:pPr>
      <w:r w:rsidRPr="00C55AA6">
        <w:rPr>
          <w:rFonts w:ascii="Arial" w:hAnsi="Arial" w:cs="Arial"/>
          <w:b/>
          <w:sz w:val="24"/>
          <w:szCs w:val="24"/>
        </w:rPr>
        <w:t xml:space="preserve">Our communication with </w:t>
      </w:r>
      <w:r w:rsidR="00FE0D6F" w:rsidRPr="00C55AA6">
        <w:rPr>
          <w:rFonts w:ascii="Arial" w:hAnsi="Arial" w:cs="Arial"/>
          <w:b/>
          <w:sz w:val="24"/>
          <w:szCs w:val="24"/>
        </w:rPr>
        <w:t>other bodies</w:t>
      </w:r>
    </w:p>
    <w:p w:rsidR="00A6067B" w:rsidRPr="00C55AA6" w:rsidRDefault="00A6067B" w:rsidP="00A6067B">
      <w:pPr>
        <w:rPr>
          <w:rFonts w:ascii="Arial" w:hAnsi="Arial" w:cs="Arial"/>
          <w:sz w:val="24"/>
          <w:szCs w:val="24"/>
        </w:rPr>
      </w:pPr>
    </w:p>
    <w:p w:rsidR="00176E48" w:rsidRPr="00C55AA6" w:rsidRDefault="0028516A" w:rsidP="0028516A">
      <w:pPr>
        <w:rPr>
          <w:rFonts w:ascii="Arial" w:hAnsi="Arial" w:cs="Arial"/>
          <w:sz w:val="24"/>
          <w:szCs w:val="24"/>
        </w:rPr>
      </w:pPr>
      <w:r w:rsidRPr="00C55AA6">
        <w:rPr>
          <w:rFonts w:ascii="Arial" w:hAnsi="Arial" w:cs="Arial"/>
          <w:sz w:val="24"/>
          <w:szCs w:val="24"/>
        </w:rPr>
        <w:t>We provide information to members’ representatives on request.</w:t>
      </w:r>
    </w:p>
    <w:p w:rsidR="00A62EFA" w:rsidRDefault="00A62EFA">
      <w:pPr>
        <w:rPr>
          <w:rFonts w:ascii="Arial" w:hAnsi="Arial" w:cs="Arial"/>
          <w:sz w:val="24"/>
          <w:szCs w:val="24"/>
        </w:rPr>
      </w:pPr>
      <w:r>
        <w:rPr>
          <w:rFonts w:ascii="Arial" w:hAnsi="Arial" w:cs="Arial"/>
          <w:sz w:val="24"/>
          <w:szCs w:val="24"/>
        </w:rPr>
        <w:br w:type="page"/>
      </w:r>
    </w:p>
    <w:p w:rsidR="0028516A" w:rsidRPr="00C55AA6" w:rsidRDefault="00FE0D6F" w:rsidP="0028516A">
      <w:pPr>
        <w:rPr>
          <w:rFonts w:ascii="Arial" w:hAnsi="Arial" w:cs="Arial"/>
          <w:sz w:val="24"/>
          <w:szCs w:val="24"/>
        </w:rPr>
      </w:pPr>
      <w:r w:rsidRPr="00C55AA6">
        <w:rPr>
          <w:rFonts w:ascii="Arial" w:hAnsi="Arial" w:cs="Arial"/>
          <w:sz w:val="24"/>
          <w:szCs w:val="24"/>
        </w:rPr>
        <w:lastRenderedPageBreak/>
        <w:t>The Pension Fund Sub-Committee</w:t>
      </w:r>
      <w:r w:rsidR="0028516A" w:rsidRPr="00C55AA6">
        <w:rPr>
          <w:rFonts w:ascii="Arial" w:hAnsi="Arial" w:cs="Arial"/>
          <w:sz w:val="24"/>
          <w:szCs w:val="24"/>
        </w:rPr>
        <w:t xml:space="preserve"> receives reports from the C</w:t>
      </w:r>
      <w:r w:rsidR="00483502">
        <w:rPr>
          <w:rFonts w:ascii="Arial" w:hAnsi="Arial" w:cs="Arial"/>
          <w:sz w:val="24"/>
          <w:szCs w:val="24"/>
        </w:rPr>
        <w:t>hief Finance</w:t>
      </w:r>
      <w:r w:rsidRPr="00C55AA6">
        <w:rPr>
          <w:rFonts w:ascii="Arial" w:hAnsi="Arial" w:cs="Arial"/>
          <w:sz w:val="24"/>
          <w:szCs w:val="24"/>
        </w:rPr>
        <w:t xml:space="preserve"> Officer</w:t>
      </w:r>
      <w:r w:rsidR="0028516A" w:rsidRPr="00C55AA6">
        <w:rPr>
          <w:rFonts w:ascii="Arial" w:hAnsi="Arial" w:cs="Arial"/>
          <w:sz w:val="24"/>
          <w:szCs w:val="24"/>
        </w:rPr>
        <w:t>. Although these usually concern investment is</w:t>
      </w:r>
      <w:r w:rsidR="00176E48" w:rsidRPr="00C55AA6">
        <w:rPr>
          <w:rFonts w:ascii="Arial" w:hAnsi="Arial" w:cs="Arial"/>
          <w:sz w:val="24"/>
          <w:szCs w:val="24"/>
        </w:rPr>
        <w:t>sues, they will advise the Sub-Committee</w:t>
      </w:r>
      <w:r w:rsidR="0028516A" w:rsidRPr="00C55AA6">
        <w:rPr>
          <w:rFonts w:ascii="Arial" w:hAnsi="Arial" w:cs="Arial"/>
          <w:sz w:val="24"/>
          <w:szCs w:val="24"/>
        </w:rPr>
        <w:t xml:space="preserve"> on changes to administrative arrangements or scheme rules where relevant.</w:t>
      </w:r>
    </w:p>
    <w:p w:rsidR="00176E48" w:rsidRPr="00C55AA6" w:rsidRDefault="00176E48" w:rsidP="0028516A">
      <w:pPr>
        <w:rPr>
          <w:rFonts w:ascii="Arial" w:hAnsi="Arial" w:cs="Arial"/>
          <w:sz w:val="24"/>
          <w:szCs w:val="24"/>
        </w:rPr>
      </w:pPr>
    </w:p>
    <w:p w:rsidR="006F15EC" w:rsidRPr="00176E48" w:rsidRDefault="0028516A">
      <w:pPr>
        <w:rPr>
          <w:rFonts w:ascii="Arial" w:hAnsi="Arial" w:cs="Arial"/>
          <w:iCs/>
          <w:sz w:val="24"/>
          <w:szCs w:val="24"/>
          <w:highlight w:val="yellow"/>
        </w:rPr>
      </w:pPr>
      <w:r w:rsidRPr="00C55AA6">
        <w:rPr>
          <w:rFonts w:ascii="Arial" w:hAnsi="Arial" w:cs="Arial"/>
          <w:sz w:val="24"/>
          <w:szCs w:val="24"/>
        </w:rPr>
        <w:t xml:space="preserve">Any prospective employing authority will receive a letter outlining the costs of joining the scheme and a copy of the </w:t>
      </w:r>
      <w:r w:rsidRPr="00C55AA6">
        <w:rPr>
          <w:rFonts w:ascii="Arial" w:hAnsi="Arial" w:cs="Arial"/>
          <w:i/>
          <w:sz w:val="24"/>
          <w:szCs w:val="24"/>
        </w:rPr>
        <w:t>Employer Manual</w:t>
      </w:r>
      <w:r w:rsidRPr="00C55AA6">
        <w:rPr>
          <w:rFonts w:ascii="Arial" w:hAnsi="Arial" w:cs="Arial"/>
          <w:iCs/>
          <w:sz w:val="24"/>
          <w:szCs w:val="24"/>
        </w:rPr>
        <w:t>.</w:t>
      </w:r>
      <w:r w:rsidR="006F15EC" w:rsidRPr="003A3DDE">
        <w:rPr>
          <w:rFonts w:ascii="Arial" w:hAnsi="Arial" w:cs="Arial"/>
          <w:b/>
          <w:sz w:val="24"/>
          <w:szCs w:val="24"/>
        </w:rPr>
        <w:br w:type="page"/>
      </w:r>
    </w:p>
    <w:p w:rsidR="006F15EC" w:rsidRPr="00734D7A" w:rsidRDefault="006F15EC" w:rsidP="006F15EC">
      <w:pPr>
        <w:rPr>
          <w:rFonts w:ascii="Arial" w:hAnsi="Arial" w:cs="Arial"/>
          <w:b/>
          <w:sz w:val="28"/>
          <w:szCs w:val="28"/>
        </w:rPr>
      </w:pPr>
      <w:r w:rsidRPr="00734D7A">
        <w:rPr>
          <w:rFonts w:ascii="Arial" w:hAnsi="Arial" w:cs="Arial"/>
          <w:b/>
          <w:sz w:val="28"/>
          <w:szCs w:val="28"/>
        </w:rPr>
        <w:lastRenderedPageBreak/>
        <w:t>Funding Strategy Statement</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CE3EF7">
        <w:rPr>
          <w:rFonts w:ascii="Arial" w:hAnsi="Arial" w:cs="Arial"/>
          <w:b/>
          <w:snapToGrid w:val="0"/>
          <w:sz w:val="24"/>
          <w:szCs w:val="24"/>
        </w:rPr>
        <w:t>Introduction</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E3EF7">
        <w:rPr>
          <w:rFonts w:ascii="Arial" w:hAnsi="Arial" w:cs="Arial"/>
          <w:snapToGrid w:val="0"/>
          <w:sz w:val="24"/>
          <w:szCs w:val="24"/>
        </w:rPr>
        <w:t>The Local Government Pension Scheme (Administration) Regulations 2</w:t>
      </w:r>
      <w:r w:rsidR="00C62199" w:rsidRPr="00CE3EF7">
        <w:rPr>
          <w:rFonts w:ascii="Arial" w:hAnsi="Arial" w:cs="Arial"/>
          <w:snapToGrid w:val="0"/>
          <w:sz w:val="24"/>
          <w:szCs w:val="24"/>
        </w:rPr>
        <w:t>008 require the Brent</w:t>
      </w:r>
      <w:r w:rsidRPr="00CE3EF7">
        <w:rPr>
          <w:rFonts w:ascii="Arial" w:hAnsi="Arial" w:cs="Arial"/>
          <w:snapToGrid w:val="0"/>
          <w:sz w:val="24"/>
          <w:szCs w:val="24"/>
        </w:rPr>
        <w:t xml:space="preserve"> Pension Fund to prepare and publish a Funding Strategy Statement (</w:t>
      </w:r>
      <w:smartTag w:uri="urn:schemas-microsoft-com:office:smarttags" w:element="stockticker">
        <w:r w:rsidRPr="00CE3EF7">
          <w:rPr>
            <w:rFonts w:ascii="Arial" w:hAnsi="Arial" w:cs="Arial"/>
            <w:snapToGrid w:val="0"/>
            <w:sz w:val="24"/>
            <w:szCs w:val="24"/>
          </w:rPr>
          <w:t>FSS</w:t>
        </w:r>
      </w:smartTag>
      <w:r w:rsidR="00AE11B4" w:rsidRPr="00CE3EF7">
        <w:rPr>
          <w:rFonts w:ascii="Arial" w:hAnsi="Arial" w:cs="Arial"/>
          <w:snapToGrid w:val="0"/>
          <w:sz w:val="24"/>
          <w:szCs w:val="24"/>
        </w:rPr>
        <w:t>).</w:t>
      </w:r>
      <w:r w:rsidRPr="00CE3EF7">
        <w:rPr>
          <w:rFonts w:ascii="Arial" w:hAnsi="Arial" w:cs="Arial"/>
          <w:snapToGrid w:val="0"/>
          <w:sz w:val="24"/>
          <w:szCs w:val="24"/>
        </w:rPr>
        <w:t xml:space="preserve"> The Fund’s actuary must take this statement into account when setting employers’ contribution rates.</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E3EF7">
        <w:rPr>
          <w:rFonts w:ascii="Arial" w:hAnsi="Arial" w:cs="Arial"/>
          <w:snapToGrid w:val="0"/>
          <w:sz w:val="24"/>
          <w:szCs w:val="24"/>
        </w:rPr>
        <w:t xml:space="preserve">The Chartered Institute of Public Finance and Accountancy (CIPFA) issued detailed guidance on the content and format of an </w:t>
      </w:r>
      <w:smartTag w:uri="urn:schemas-microsoft-com:office:smarttags" w:element="stockticker">
        <w:r w:rsidRPr="00CE3EF7">
          <w:rPr>
            <w:rFonts w:ascii="Arial" w:hAnsi="Arial" w:cs="Arial"/>
            <w:snapToGrid w:val="0"/>
            <w:sz w:val="24"/>
            <w:szCs w:val="24"/>
          </w:rPr>
          <w:t>FSS</w:t>
        </w:r>
      </w:smartTag>
      <w:r w:rsidR="00EF4C0C">
        <w:rPr>
          <w:rFonts w:ascii="Arial" w:hAnsi="Arial" w:cs="Arial"/>
          <w:snapToGrid w:val="0"/>
          <w:sz w:val="24"/>
          <w:szCs w:val="24"/>
        </w:rPr>
        <w:t>.</w:t>
      </w:r>
      <w:r w:rsidRPr="00CE3EF7">
        <w:rPr>
          <w:rFonts w:ascii="Arial" w:hAnsi="Arial" w:cs="Arial"/>
          <w:snapToGrid w:val="0"/>
          <w:sz w:val="24"/>
          <w:szCs w:val="24"/>
        </w:rPr>
        <w:t xml:space="preserve"> This guidance was followed in preparing this document.</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E3EF7">
        <w:rPr>
          <w:rFonts w:ascii="Arial" w:hAnsi="Arial" w:cs="Arial"/>
          <w:snapToGrid w:val="0"/>
          <w:sz w:val="24"/>
          <w:szCs w:val="24"/>
        </w:rPr>
        <w:t xml:space="preserve">This </w:t>
      </w:r>
      <w:smartTag w:uri="urn:schemas-microsoft-com:office:smarttags" w:element="stockticker">
        <w:r w:rsidRPr="00CE3EF7">
          <w:rPr>
            <w:rFonts w:ascii="Arial" w:hAnsi="Arial" w:cs="Arial"/>
            <w:snapToGrid w:val="0"/>
            <w:sz w:val="24"/>
            <w:szCs w:val="24"/>
          </w:rPr>
          <w:t>FSS</w:t>
        </w:r>
      </w:smartTag>
      <w:r w:rsidRPr="00CE3EF7">
        <w:rPr>
          <w:rFonts w:ascii="Arial" w:hAnsi="Arial" w:cs="Arial"/>
          <w:snapToGrid w:val="0"/>
          <w:sz w:val="24"/>
          <w:szCs w:val="24"/>
        </w:rPr>
        <w:t xml:space="preserve"> should be read in the context of the Fund’s Statement of Investment Principles (SIP), which sets out in detail the Fund’s investm</w:t>
      </w:r>
      <w:r w:rsidR="00F83919" w:rsidRPr="00CE3EF7">
        <w:rPr>
          <w:rFonts w:ascii="Arial" w:hAnsi="Arial" w:cs="Arial"/>
          <w:snapToGrid w:val="0"/>
          <w:sz w:val="24"/>
          <w:szCs w:val="24"/>
        </w:rPr>
        <w:t>ent arrangements and strategy.</w:t>
      </w:r>
    </w:p>
    <w:p w:rsidR="004926AA" w:rsidRDefault="004926A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4926AA" w:rsidRPr="00CE3EF7" w:rsidRDefault="004926A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sz w:val="24"/>
          <w:szCs w:val="24"/>
        </w:rPr>
        <w:t>The FSS was last updated in March 2011, and will be formally reviewed as part of the triennial valuation as at 31 March 2013.</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CE3EF7">
        <w:rPr>
          <w:rFonts w:ascii="Arial" w:hAnsi="Arial" w:cs="Arial"/>
          <w:b/>
          <w:snapToGrid w:val="0"/>
          <w:sz w:val="24"/>
          <w:szCs w:val="24"/>
        </w:rPr>
        <w:t>Purpose of the Funding Strategy Statement</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E3EF7">
        <w:rPr>
          <w:rFonts w:ascii="Arial" w:hAnsi="Arial" w:cs="Arial"/>
          <w:snapToGrid w:val="0"/>
          <w:sz w:val="24"/>
          <w:szCs w:val="24"/>
        </w:rPr>
        <w:t xml:space="preserve">The </w:t>
      </w:r>
      <w:smartTag w:uri="urn:schemas-microsoft-com:office:smarttags" w:element="stockticker">
        <w:r w:rsidRPr="00CE3EF7">
          <w:rPr>
            <w:rFonts w:ascii="Arial" w:hAnsi="Arial" w:cs="Arial"/>
            <w:snapToGrid w:val="0"/>
            <w:sz w:val="24"/>
            <w:szCs w:val="24"/>
          </w:rPr>
          <w:t>FSS</w:t>
        </w:r>
      </w:smartTag>
      <w:r w:rsidRPr="00CE3EF7">
        <w:rPr>
          <w:rFonts w:ascii="Arial" w:hAnsi="Arial" w:cs="Arial"/>
          <w:snapToGrid w:val="0"/>
          <w:sz w:val="24"/>
          <w:szCs w:val="24"/>
        </w:rPr>
        <w:t xml:space="preserve"> has two main purposes:</w:t>
      </w:r>
    </w:p>
    <w:p w:rsidR="0072488D" w:rsidRPr="00CE3EF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CE3EF7" w:rsidRDefault="0072488D" w:rsidP="00907AD2">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E3EF7">
        <w:rPr>
          <w:rFonts w:ascii="Arial" w:hAnsi="Arial" w:cs="Arial"/>
          <w:snapToGrid w:val="0"/>
          <w:sz w:val="24"/>
          <w:szCs w:val="24"/>
        </w:rPr>
        <w:t>To set out clearly the Fund’s strategy for how it intends to meet its liabilities over the long term.</w:t>
      </w:r>
    </w:p>
    <w:p w:rsidR="0072488D" w:rsidRPr="00CE3EF7" w:rsidRDefault="0072488D" w:rsidP="00907AD2">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E3EF7">
        <w:rPr>
          <w:rFonts w:ascii="Arial" w:hAnsi="Arial" w:cs="Arial"/>
          <w:snapToGrid w:val="0"/>
          <w:sz w:val="24"/>
          <w:szCs w:val="24"/>
        </w:rPr>
        <w:t>To explain how the Fund will try to maintain stable contribution rates from employers.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907AD2">
        <w:rPr>
          <w:rFonts w:ascii="Arial" w:hAnsi="Arial" w:cs="Arial"/>
          <w:b/>
          <w:snapToGrid w:val="0"/>
          <w:sz w:val="24"/>
          <w:szCs w:val="24"/>
        </w:rPr>
        <w:t>Aims of the Fund</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The Fund has four main aims: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07AD2" w:rsidRDefault="0072488D" w:rsidP="00907AD2">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To make sure the Fund can always meet its liabilities.</w:t>
      </w:r>
    </w:p>
    <w:p w:rsidR="0072488D" w:rsidRPr="00907AD2" w:rsidRDefault="0072488D" w:rsidP="00907AD2">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To enable employers’ contribution rates to be kept as stable as possible and affordable for the Fund’s employers.</w:t>
      </w:r>
    </w:p>
    <w:p w:rsidR="0072488D" w:rsidRPr="00907AD2" w:rsidRDefault="0072488D" w:rsidP="00907AD2">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To manage the employers’ liabilities effectively.</w:t>
      </w:r>
    </w:p>
    <w:p w:rsidR="0072488D" w:rsidRPr="00907AD2" w:rsidRDefault="0072488D" w:rsidP="00907AD2">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To maximise the income from investments within reasonable risk parameters.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The main aims of the Fund are explained in more detail below.</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4711E" w:rsidRDefault="0074711E">
      <w:pPr>
        <w:rPr>
          <w:rFonts w:ascii="Arial" w:hAnsi="Arial" w:cs="Arial"/>
          <w:b/>
          <w:snapToGrid w:val="0"/>
          <w:sz w:val="24"/>
          <w:szCs w:val="24"/>
        </w:rPr>
      </w:pPr>
      <w:r>
        <w:rPr>
          <w:rFonts w:ascii="Arial" w:hAnsi="Arial" w:cs="Arial"/>
          <w:b/>
          <w:snapToGrid w:val="0"/>
          <w:sz w:val="24"/>
          <w:szCs w:val="24"/>
        </w:rPr>
        <w:br w:type="page"/>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907AD2">
        <w:rPr>
          <w:rFonts w:ascii="Arial" w:hAnsi="Arial" w:cs="Arial"/>
          <w:b/>
          <w:snapToGrid w:val="0"/>
          <w:sz w:val="24"/>
          <w:szCs w:val="24"/>
        </w:rPr>
        <w:lastRenderedPageBreak/>
        <w:t>To make sure the Fund can always meet its liabilities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907AD2" w:rsidRDefault="00465F10"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907AD2">
        <w:rPr>
          <w:rFonts w:ascii="Arial" w:hAnsi="Arial" w:cs="Arial"/>
          <w:snapToGrid w:val="0"/>
          <w:sz w:val="24"/>
          <w:szCs w:val="24"/>
        </w:rPr>
        <w:t>Brent</w:t>
      </w:r>
      <w:r w:rsidR="0072488D" w:rsidRPr="00907AD2">
        <w:rPr>
          <w:rFonts w:ascii="Arial" w:hAnsi="Arial" w:cs="Arial"/>
          <w:snapToGrid w:val="0"/>
          <w:sz w:val="24"/>
          <w:szCs w:val="24"/>
        </w:rPr>
        <w:t xml:space="preserve"> Council as </w:t>
      </w:r>
      <w:r w:rsidR="002D0C1B">
        <w:rPr>
          <w:rFonts w:ascii="Arial" w:hAnsi="Arial" w:cs="Arial"/>
          <w:snapToGrid w:val="0"/>
          <w:sz w:val="24"/>
          <w:szCs w:val="24"/>
        </w:rPr>
        <w:t>the A</w:t>
      </w:r>
      <w:r w:rsidR="0072488D" w:rsidRPr="00907AD2">
        <w:rPr>
          <w:rFonts w:ascii="Arial" w:hAnsi="Arial" w:cs="Arial"/>
          <w:snapToGrid w:val="0"/>
          <w:sz w:val="24"/>
          <w:szCs w:val="24"/>
        </w:rPr>
        <w:t xml:space="preserve">dministering </w:t>
      </w:r>
      <w:r w:rsidR="002D0C1B">
        <w:rPr>
          <w:rFonts w:ascii="Arial" w:hAnsi="Arial" w:cs="Arial"/>
          <w:snapToGrid w:val="0"/>
          <w:sz w:val="24"/>
          <w:szCs w:val="24"/>
        </w:rPr>
        <w:t>A</w:t>
      </w:r>
      <w:r w:rsidR="0072488D" w:rsidRPr="00907AD2">
        <w:rPr>
          <w:rFonts w:ascii="Arial" w:hAnsi="Arial" w:cs="Arial"/>
          <w:snapToGrid w:val="0"/>
          <w:sz w:val="24"/>
          <w:szCs w:val="24"/>
        </w:rPr>
        <w:t>uthority will make sure that the Fund always has enough cash available to pay pensions, transfer values to other pension funds</w:t>
      </w:r>
      <w:r w:rsidR="009D51CF">
        <w:rPr>
          <w:rFonts w:ascii="Arial" w:hAnsi="Arial" w:cs="Arial"/>
          <w:snapToGrid w:val="0"/>
          <w:sz w:val="24"/>
          <w:szCs w:val="24"/>
        </w:rPr>
        <w:t>, and other costs and expenses.</w:t>
      </w:r>
      <w:r w:rsidR="0072488D" w:rsidRPr="00907AD2">
        <w:rPr>
          <w:rFonts w:ascii="Arial" w:hAnsi="Arial" w:cs="Arial"/>
          <w:snapToGrid w:val="0"/>
          <w:sz w:val="24"/>
          <w:szCs w:val="24"/>
        </w:rPr>
        <w:t xml:space="preserve"> Such expenditure will normally be met from incoming contributions from employees and employers and investment income, to avoid the cost of selling</w:t>
      </w:r>
      <w:r w:rsidR="009D51CF">
        <w:rPr>
          <w:rFonts w:ascii="Arial" w:hAnsi="Arial" w:cs="Arial"/>
          <w:snapToGrid w:val="0"/>
          <w:sz w:val="24"/>
          <w:szCs w:val="24"/>
        </w:rPr>
        <w:t xml:space="preserve"> any of the Fund’s investments.</w:t>
      </w:r>
      <w:r w:rsidR="0072488D" w:rsidRPr="00907AD2">
        <w:rPr>
          <w:rFonts w:ascii="Arial" w:hAnsi="Arial" w:cs="Arial"/>
          <w:snapToGrid w:val="0"/>
          <w:sz w:val="24"/>
          <w:szCs w:val="24"/>
        </w:rPr>
        <w:t xml:space="preserve"> The position is reviewed </w:t>
      </w:r>
      <w:r w:rsidRPr="00907AD2">
        <w:rPr>
          <w:rFonts w:ascii="Arial" w:hAnsi="Arial" w:cs="Arial"/>
          <w:snapToGrid w:val="0"/>
          <w:sz w:val="24"/>
          <w:szCs w:val="24"/>
        </w:rPr>
        <w:t xml:space="preserve">on a monthly basis </w:t>
      </w:r>
      <w:r w:rsidR="0072488D" w:rsidRPr="00907AD2">
        <w:rPr>
          <w:rFonts w:ascii="Arial" w:hAnsi="Arial" w:cs="Arial"/>
          <w:snapToGrid w:val="0"/>
          <w:sz w:val="24"/>
          <w:szCs w:val="24"/>
        </w:rPr>
        <w:t>to make sure enough cash is available to meet the Fund’s obligations.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907AD2">
        <w:rPr>
          <w:rFonts w:ascii="Arial" w:hAnsi="Arial" w:cs="Arial"/>
          <w:b/>
          <w:snapToGrid w:val="0"/>
          <w:sz w:val="24"/>
          <w:szCs w:val="24"/>
        </w:rPr>
        <w:t>To enable employers’ contribution rates to be kept as stable as possible and affordable for the Fund’s employers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 xml:space="preserve">Achieving stability in employers’ contribution rates requires investment in assets that </w:t>
      </w:r>
      <w:r w:rsidR="009D51CF">
        <w:rPr>
          <w:rFonts w:ascii="Arial" w:hAnsi="Arial" w:cs="Arial"/>
          <w:snapToGrid w:val="0"/>
          <w:sz w:val="24"/>
          <w:szCs w:val="24"/>
        </w:rPr>
        <w:t>‘match’ the Fund’s liabilities.</w:t>
      </w:r>
      <w:r w:rsidRPr="00907AD2">
        <w:rPr>
          <w:rFonts w:ascii="Arial" w:hAnsi="Arial" w:cs="Arial"/>
          <w:snapToGrid w:val="0"/>
          <w:sz w:val="24"/>
          <w:szCs w:val="24"/>
        </w:rPr>
        <w:t xml:space="preserve"> In this context, ‘match’ means behaving in a similar way to the liabilities as economic conditions alte</w:t>
      </w:r>
      <w:r w:rsidR="009D51CF">
        <w:rPr>
          <w:rFonts w:ascii="Arial" w:hAnsi="Arial" w:cs="Arial"/>
          <w:snapToGrid w:val="0"/>
          <w:sz w:val="24"/>
          <w:szCs w:val="24"/>
        </w:rPr>
        <w:t>r.</w:t>
      </w:r>
      <w:r w:rsidRPr="00907AD2">
        <w:rPr>
          <w:rFonts w:ascii="Arial" w:hAnsi="Arial" w:cs="Arial"/>
          <w:snapToGrid w:val="0"/>
          <w:sz w:val="24"/>
          <w:szCs w:val="24"/>
        </w:rPr>
        <w:t xml:space="preserve"> Of the main strategic asset classes, </w:t>
      </w:r>
      <w:r w:rsidR="008F4A4B">
        <w:rPr>
          <w:rFonts w:ascii="Arial" w:hAnsi="Arial" w:cs="Arial"/>
          <w:snapToGrid w:val="0"/>
          <w:sz w:val="24"/>
          <w:szCs w:val="24"/>
        </w:rPr>
        <w:t>fixed interest</w:t>
      </w:r>
      <w:r w:rsidR="00117AD2">
        <w:rPr>
          <w:rFonts w:ascii="Arial" w:hAnsi="Arial" w:cs="Arial"/>
          <w:snapToGrid w:val="0"/>
          <w:sz w:val="24"/>
          <w:szCs w:val="24"/>
        </w:rPr>
        <w:t xml:space="preserve"> and index-linked</w:t>
      </w:r>
      <w:r w:rsidR="00EF4C0C">
        <w:rPr>
          <w:rFonts w:ascii="Arial" w:hAnsi="Arial" w:cs="Arial"/>
          <w:snapToGrid w:val="0"/>
          <w:sz w:val="24"/>
          <w:szCs w:val="24"/>
        </w:rPr>
        <w:t xml:space="preserve"> </w:t>
      </w:r>
      <w:r w:rsidRPr="00907AD2">
        <w:rPr>
          <w:rFonts w:ascii="Arial" w:hAnsi="Arial" w:cs="Arial"/>
          <w:snapToGrid w:val="0"/>
          <w:sz w:val="24"/>
          <w:szCs w:val="24"/>
        </w:rPr>
        <w:t>investments are the best match for the Fund’s liabilities.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07AD2">
        <w:rPr>
          <w:rFonts w:ascii="Arial" w:hAnsi="Arial" w:cs="Arial"/>
          <w:snapToGrid w:val="0"/>
          <w:sz w:val="24"/>
          <w:szCs w:val="24"/>
        </w:rPr>
        <w:t>Ot</w:t>
      </w:r>
      <w:r w:rsidR="00292FB6">
        <w:rPr>
          <w:rFonts w:ascii="Arial" w:hAnsi="Arial" w:cs="Arial"/>
          <w:snapToGrid w:val="0"/>
          <w:sz w:val="24"/>
          <w:szCs w:val="24"/>
        </w:rPr>
        <w:t>her asset classes, such as shares</w:t>
      </w:r>
      <w:r w:rsidRPr="00907AD2">
        <w:rPr>
          <w:rFonts w:ascii="Arial" w:hAnsi="Arial" w:cs="Arial"/>
          <w:snapToGrid w:val="0"/>
          <w:sz w:val="24"/>
          <w:szCs w:val="24"/>
        </w:rPr>
        <w:t xml:space="preserve"> and property, offer the potential for hi</w:t>
      </w:r>
      <w:r w:rsidR="009D51CF">
        <w:rPr>
          <w:rFonts w:ascii="Arial" w:hAnsi="Arial" w:cs="Arial"/>
          <w:snapToGrid w:val="0"/>
          <w:sz w:val="24"/>
          <w:szCs w:val="24"/>
        </w:rPr>
        <w:t>gher long-term rates of return.</w:t>
      </w:r>
      <w:r w:rsidRPr="00907AD2">
        <w:rPr>
          <w:rFonts w:ascii="Arial" w:hAnsi="Arial" w:cs="Arial"/>
          <w:snapToGrid w:val="0"/>
          <w:sz w:val="24"/>
          <w:szCs w:val="24"/>
        </w:rPr>
        <w:t xml:space="preserve"> A substantial proportion of the Fund’s investments are held in these asset classes with the aim of </w:t>
      </w:r>
      <w:r w:rsidR="009D51CF">
        <w:rPr>
          <w:rFonts w:ascii="Arial" w:hAnsi="Arial" w:cs="Arial"/>
          <w:snapToGrid w:val="0"/>
          <w:sz w:val="24"/>
          <w:szCs w:val="24"/>
        </w:rPr>
        <w:t xml:space="preserve">increasing investment returns. </w:t>
      </w:r>
      <w:r w:rsidRPr="00907AD2">
        <w:rPr>
          <w:rFonts w:ascii="Arial" w:hAnsi="Arial" w:cs="Arial"/>
          <w:snapToGrid w:val="0"/>
          <w:sz w:val="24"/>
          <w:szCs w:val="24"/>
        </w:rPr>
        <w:t>However, these asset classes are more risky and can lead</w:t>
      </w:r>
      <w:r w:rsidR="00413D0C">
        <w:rPr>
          <w:rFonts w:ascii="Arial" w:hAnsi="Arial" w:cs="Arial"/>
          <w:snapToGrid w:val="0"/>
          <w:sz w:val="24"/>
          <w:szCs w:val="24"/>
        </w:rPr>
        <w:t xml:space="preserve"> to volatile returns over short </w:t>
      </w:r>
      <w:r w:rsidRPr="00907AD2">
        <w:rPr>
          <w:rFonts w:ascii="Arial" w:hAnsi="Arial" w:cs="Arial"/>
          <w:snapToGrid w:val="0"/>
          <w:sz w:val="24"/>
          <w:szCs w:val="24"/>
        </w:rPr>
        <w:t>term periods.</w:t>
      </w:r>
    </w:p>
    <w:p w:rsidR="0072488D" w:rsidRPr="00907A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07AD2" w:rsidRDefault="009106D2"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sz w:val="24"/>
          <w:szCs w:val="24"/>
        </w:rPr>
        <w:t xml:space="preserve">This short </w:t>
      </w:r>
      <w:r w:rsidR="0072488D" w:rsidRPr="00907AD2">
        <w:rPr>
          <w:rFonts w:ascii="Arial" w:hAnsi="Arial" w:cs="Arial"/>
          <w:snapToGrid w:val="0"/>
          <w:sz w:val="24"/>
          <w:szCs w:val="24"/>
        </w:rPr>
        <w:t>term volatility in investment returns can lead to similar volatility in the Fund’s solvency level in successive actuarial valuations, which in turn can mean volatility in</w:t>
      </w:r>
      <w:r w:rsidR="005F16CA">
        <w:rPr>
          <w:rFonts w:ascii="Arial" w:hAnsi="Arial" w:cs="Arial"/>
          <w:snapToGrid w:val="0"/>
          <w:sz w:val="24"/>
          <w:szCs w:val="24"/>
        </w:rPr>
        <w:t xml:space="preserve"> employers’ contribution rates.</w:t>
      </w:r>
      <w:r w:rsidR="0072488D" w:rsidRPr="00907AD2">
        <w:rPr>
          <w:rFonts w:ascii="Arial" w:hAnsi="Arial" w:cs="Arial"/>
          <w:snapToGrid w:val="0"/>
          <w:sz w:val="24"/>
          <w:szCs w:val="24"/>
        </w:rPr>
        <w:t xml:space="preserve"> Such volatility can be reduced by using smoothing</w:t>
      </w:r>
      <w:r w:rsidR="00FE394F">
        <w:rPr>
          <w:rFonts w:ascii="Arial" w:hAnsi="Arial" w:cs="Arial"/>
          <w:snapToGrid w:val="0"/>
          <w:sz w:val="24"/>
          <w:szCs w:val="24"/>
        </w:rPr>
        <w:t xml:space="preserve"> adjustments as advised by the A</w:t>
      </w:r>
      <w:r w:rsidR="0072488D" w:rsidRPr="00907AD2">
        <w:rPr>
          <w:rFonts w:ascii="Arial" w:hAnsi="Arial" w:cs="Arial"/>
          <w:snapToGrid w:val="0"/>
          <w:sz w:val="24"/>
          <w:szCs w:val="24"/>
        </w:rPr>
        <w:t>ctuary.</w:t>
      </w:r>
    </w:p>
    <w:p w:rsidR="0072488D" w:rsidRPr="009106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106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106D2">
        <w:rPr>
          <w:rFonts w:ascii="Arial" w:hAnsi="Arial" w:cs="Arial"/>
          <w:snapToGrid w:val="0"/>
          <w:sz w:val="24"/>
          <w:szCs w:val="24"/>
        </w:rPr>
        <w:t xml:space="preserve">Maintaining stability in employers’ contribution rates can run counter to the </w:t>
      </w:r>
      <w:r w:rsidR="005F16CA" w:rsidRPr="009106D2">
        <w:rPr>
          <w:rFonts w:ascii="Arial" w:hAnsi="Arial" w:cs="Arial"/>
          <w:snapToGrid w:val="0"/>
          <w:sz w:val="24"/>
          <w:szCs w:val="24"/>
        </w:rPr>
        <w:t xml:space="preserve">main aim of ensuring solvency. </w:t>
      </w:r>
      <w:r w:rsidRPr="009106D2">
        <w:rPr>
          <w:rFonts w:ascii="Arial" w:hAnsi="Arial" w:cs="Arial"/>
          <w:snapToGrid w:val="0"/>
          <w:sz w:val="24"/>
          <w:szCs w:val="24"/>
        </w:rPr>
        <w:t>There is a need to strike a balance between the investment policy, smoothing adjustments used when carrying out actuarial valuations, and the stability of employers’ contribution rates from one valuation period to the next.</w:t>
      </w:r>
    </w:p>
    <w:p w:rsidR="0072488D" w:rsidRPr="009106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106D2"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106D2">
        <w:rPr>
          <w:rFonts w:ascii="Arial" w:hAnsi="Arial" w:cs="Arial"/>
          <w:snapToGrid w:val="0"/>
          <w:sz w:val="24"/>
          <w:szCs w:val="24"/>
        </w:rPr>
        <w:t>The position can be even more volatile for admission bodies which participate in the Fund for a fixed period (for example, non-local authority employers awarded contracts to provide local authority services), where use of smoothing adjustments is less appropriate.</w:t>
      </w:r>
    </w:p>
    <w:p w:rsidR="0072488D" w:rsidRPr="00110CCA"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110CCA"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110CCA">
        <w:rPr>
          <w:rFonts w:ascii="Arial" w:hAnsi="Arial" w:cs="Arial"/>
          <w:b/>
          <w:snapToGrid w:val="0"/>
          <w:sz w:val="24"/>
          <w:szCs w:val="24"/>
        </w:rPr>
        <w:t>To manage the employers’ liabilities effectively</w:t>
      </w:r>
    </w:p>
    <w:p w:rsidR="0072488D" w:rsidRPr="00110CCA"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110CCA" w:rsidRDefault="00457390" w:rsidP="00AA2C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110CCA">
        <w:rPr>
          <w:rFonts w:ascii="Arial" w:hAnsi="Arial" w:cs="Arial"/>
          <w:snapToGrid w:val="0"/>
          <w:sz w:val="24"/>
          <w:szCs w:val="24"/>
        </w:rPr>
        <w:t>The</w:t>
      </w:r>
      <w:r w:rsidR="0072488D" w:rsidRPr="00110CCA">
        <w:rPr>
          <w:rFonts w:ascii="Arial" w:hAnsi="Arial" w:cs="Arial"/>
          <w:snapToGrid w:val="0"/>
          <w:sz w:val="24"/>
          <w:szCs w:val="24"/>
        </w:rPr>
        <w:t xml:space="preserve"> Council as administering authority makes sure that the Fund’s liabi</w:t>
      </w:r>
      <w:r w:rsidR="005F16CA" w:rsidRPr="00110CCA">
        <w:rPr>
          <w:rFonts w:ascii="Arial" w:hAnsi="Arial" w:cs="Arial"/>
          <w:snapToGrid w:val="0"/>
          <w:sz w:val="24"/>
          <w:szCs w:val="24"/>
        </w:rPr>
        <w:t>lities are managed effectively.</w:t>
      </w:r>
      <w:r w:rsidR="0072488D" w:rsidRPr="00110CCA">
        <w:rPr>
          <w:rFonts w:ascii="Arial" w:hAnsi="Arial" w:cs="Arial"/>
          <w:snapToGrid w:val="0"/>
          <w:sz w:val="24"/>
          <w:szCs w:val="24"/>
        </w:rPr>
        <w:t xml:space="preserve"> This is achieved by commissioning actuarial valuations every </w:t>
      </w:r>
      <w:r w:rsidR="005F16CA" w:rsidRPr="00110CCA">
        <w:rPr>
          <w:rFonts w:ascii="Arial" w:hAnsi="Arial" w:cs="Arial"/>
          <w:snapToGrid w:val="0"/>
          <w:sz w:val="24"/>
          <w:szCs w:val="24"/>
        </w:rPr>
        <w:t>three years as required by law.</w:t>
      </w:r>
      <w:r w:rsidR="0072488D" w:rsidRPr="00110CCA">
        <w:rPr>
          <w:rFonts w:ascii="Arial" w:hAnsi="Arial" w:cs="Arial"/>
          <w:snapToGrid w:val="0"/>
          <w:sz w:val="24"/>
          <w:szCs w:val="24"/>
        </w:rPr>
        <w:t xml:space="preserve"> These determine the employers’ contribution rates required to make sure liabilit</w:t>
      </w:r>
      <w:r w:rsidR="005F16CA" w:rsidRPr="00110CCA">
        <w:rPr>
          <w:rFonts w:ascii="Arial" w:hAnsi="Arial" w:cs="Arial"/>
          <w:snapToGrid w:val="0"/>
          <w:sz w:val="24"/>
          <w:szCs w:val="24"/>
        </w:rPr>
        <w:t>ies can be managed effectively.</w:t>
      </w:r>
      <w:r w:rsidR="0072488D" w:rsidRPr="00110CCA">
        <w:rPr>
          <w:rFonts w:ascii="Arial" w:hAnsi="Arial" w:cs="Arial"/>
          <w:snapToGrid w:val="0"/>
          <w:sz w:val="24"/>
          <w:szCs w:val="24"/>
        </w:rPr>
        <w:t xml:space="preserve"> </w:t>
      </w:r>
    </w:p>
    <w:p w:rsidR="00AA2CB2" w:rsidRPr="000766D0" w:rsidRDefault="00AA2CB2"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FE394F" w:rsidRDefault="00FE394F">
      <w:pPr>
        <w:rPr>
          <w:rFonts w:ascii="Arial" w:hAnsi="Arial" w:cs="Arial"/>
          <w:b/>
          <w:snapToGrid w:val="0"/>
          <w:sz w:val="24"/>
          <w:szCs w:val="24"/>
        </w:rPr>
      </w:pPr>
      <w:r>
        <w:rPr>
          <w:rFonts w:ascii="Arial" w:hAnsi="Arial" w:cs="Arial"/>
          <w:b/>
          <w:snapToGrid w:val="0"/>
          <w:sz w:val="24"/>
          <w:szCs w:val="24"/>
        </w:rPr>
        <w:br w:type="page"/>
      </w:r>
    </w:p>
    <w:p w:rsidR="002E7AC5"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0766D0">
        <w:rPr>
          <w:rFonts w:ascii="Arial" w:hAnsi="Arial" w:cs="Arial"/>
          <w:b/>
          <w:snapToGrid w:val="0"/>
          <w:sz w:val="24"/>
          <w:szCs w:val="24"/>
        </w:rPr>
        <w:lastRenderedPageBreak/>
        <w:t>To maximise the income from investments within reasonable risk parameters</w:t>
      </w:r>
    </w:p>
    <w:p w:rsidR="002E7AC5"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2E7AC5"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0766D0">
        <w:rPr>
          <w:rFonts w:ascii="Arial" w:hAnsi="Arial" w:cs="Arial"/>
          <w:snapToGrid w:val="0"/>
          <w:sz w:val="24"/>
          <w:szCs w:val="24"/>
        </w:rPr>
        <w:t xml:space="preserve">Returns should be higher over the long term than those from </w:t>
      </w:r>
      <w:r w:rsidR="00F76A0D" w:rsidRPr="000766D0">
        <w:rPr>
          <w:rFonts w:ascii="Arial" w:hAnsi="Arial" w:cs="Arial"/>
          <w:snapToGrid w:val="0"/>
          <w:sz w:val="24"/>
          <w:szCs w:val="24"/>
        </w:rPr>
        <w:t xml:space="preserve">Government </w:t>
      </w:r>
      <w:r w:rsidRPr="000766D0">
        <w:rPr>
          <w:rFonts w:ascii="Arial" w:hAnsi="Arial" w:cs="Arial"/>
          <w:snapToGrid w:val="0"/>
          <w:sz w:val="24"/>
          <w:szCs w:val="24"/>
        </w:rPr>
        <w:t>stocks by investing in other asset classes such as shares, property and alternative investments. However, investment is restricted as specified in the LGPS investment regulations.</w:t>
      </w:r>
    </w:p>
    <w:p w:rsidR="002E7AC5"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2E7AC5"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0766D0">
        <w:rPr>
          <w:rFonts w:ascii="Arial" w:hAnsi="Arial" w:cs="Arial"/>
          <w:snapToGrid w:val="0"/>
          <w:sz w:val="24"/>
          <w:szCs w:val="24"/>
        </w:rPr>
        <w:t>Risk parameters are controlled by restricting investment to asset classes generally recognised as appropriate for UK pension funds.</w:t>
      </w:r>
      <w:r w:rsidR="00BC0E92" w:rsidRPr="000766D0">
        <w:rPr>
          <w:rFonts w:ascii="Arial" w:hAnsi="Arial" w:cs="Arial"/>
          <w:snapToGrid w:val="0"/>
          <w:sz w:val="24"/>
          <w:szCs w:val="24"/>
        </w:rPr>
        <w:t xml:space="preserve"> From time to time the</w:t>
      </w:r>
      <w:r w:rsidRPr="000766D0">
        <w:rPr>
          <w:rFonts w:ascii="Arial" w:hAnsi="Arial" w:cs="Arial"/>
          <w:snapToGrid w:val="0"/>
          <w:sz w:val="24"/>
          <w:szCs w:val="24"/>
        </w:rPr>
        <w:t xml:space="preserve"> Council reviews the potential risks of investing in the various asset clas</w:t>
      </w:r>
      <w:r w:rsidR="0035242A">
        <w:rPr>
          <w:rFonts w:ascii="Arial" w:hAnsi="Arial" w:cs="Arial"/>
          <w:snapToGrid w:val="0"/>
          <w:sz w:val="24"/>
          <w:szCs w:val="24"/>
        </w:rPr>
        <w:t>ses, with help from the Fund’s A</w:t>
      </w:r>
      <w:r w:rsidRPr="000766D0">
        <w:rPr>
          <w:rFonts w:ascii="Arial" w:hAnsi="Arial" w:cs="Arial"/>
          <w:snapToGrid w:val="0"/>
          <w:sz w:val="24"/>
          <w:szCs w:val="24"/>
        </w:rPr>
        <w:t>ctuary and its investment managers.</w:t>
      </w:r>
    </w:p>
    <w:p w:rsidR="002E7AC5"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10CCA" w:rsidRPr="000766D0" w:rsidRDefault="002E7AC5" w:rsidP="002E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0766D0">
        <w:rPr>
          <w:rFonts w:ascii="Arial" w:hAnsi="Arial" w:cs="Arial"/>
          <w:snapToGrid w:val="0"/>
          <w:sz w:val="24"/>
          <w:szCs w:val="24"/>
        </w:rPr>
        <w:t>The Fund’s funding strategy requires the assets to</w:t>
      </w:r>
      <w:r w:rsidR="000B4E65">
        <w:rPr>
          <w:rFonts w:ascii="Arial" w:hAnsi="Arial" w:cs="Arial"/>
          <w:snapToGrid w:val="0"/>
          <w:sz w:val="24"/>
          <w:szCs w:val="24"/>
        </w:rPr>
        <w:t xml:space="preserve"> deliver a long </w:t>
      </w:r>
      <w:r w:rsidR="00BC0E92" w:rsidRPr="000766D0">
        <w:rPr>
          <w:rFonts w:ascii="Arial" w:hAnsi="Arial" w:cs="Arial"/>
          <w:snapToGrid w:val="0"/>
          <w:sz w:val="24"/>
          <w:szCs w:val="24"/>
        </w:rPr>
        <w:t>term return of 3.0</w:t>
      </w:r>
      <w:r w:rsidR="00AD36A6">
        <w:rPr>
          <w:rFonts w:ascii="Arial" w:hAnsi="Arial" w:cs="Arial"/>
          <w:snapToGrid w:val="0"/>
          <w:sz w:val="24"/>
          <w:szCs w:val="24"/>
        </w:rPr>
        <w:t xml:space="preserve">% a year above </w:t>
      </w:r>
      <w:r w:rsidR="00D5695A">
        <w:rPr>
          <w:rFonts w:ascii="Arial" w:hAnsi="Arial" w:cs="Arial"/>
          <w:snapToGrid w:val="0"/>
          <w:sz w:val="24"/>
          <w:szCs w:val="24"/>
        </w:rPr>
        <w:t xml:space="preserve">Government </w:t>
      </w:r>
      <w:r w:rsidR="00AD36A6">
        <w:rPr>
          <w:rFonts w:ascii="Arial" w:hAnsi="Arial" w:cs="Arial"/>
          <w:snapToGrid w:val="0"/>
          <w:sz w:val="24"/>
          <w:szCs w:val="24"/>
        </w:rPr>
        <w:t>gilt yields.</w:t>
      </w:r>
      <w:r w:rsidRPr="000766D0">
        <w:rPr>
          <w:rFonts w:ascii="Arial" w:hAnsi="Arial" w:cs="Arial"/>
          <w:snapToGrid w:val="0"/>
          <w:sz w:val="24"/>
          <w:szCs w:val="24"/>
        </w:rPr>
        <w:t xml:space="preserve"> An investment management structure has been developed and managers</w:t>
      </w:r>
      <w:r w:rsidR="005F5D13">
        <w:rPr>
          <w:rFonts w:ascii="Arial" w:hAnsi="Arial" w:cs="Arial"/>
          <w:snapToGrid w:val="0"/>
          <w:sz w:val="24"/>
          <w:szCs w:val="24"/>
        </w:rPr>
        <w:t xml:space="preserve"> appointed to deliver this long </w:t>
      </w:r>
      <w:r w:rsidRPr="000766D0">
        <w:rPr>
          <w:rFonts w:ascii="Arial" w:hAnsi="Arial" w:cs="Arial"/>
          <w:snapToGrid w:val="0"/>
          <w:sz w:val="24"/>
          <w:szCs w:val="24"/>
        </w:rPr>
        <w:t>term return with</w:t>
      </w:r>
      <w:r w:rsidR="00AD36A6">
        <w:rPr>
          <w:rFonts w:ascii="Arial" w:hAnsi="Arial" w:cs="Arial"/>
          <w:snapToGrid w:val="0"/>
          <w:sz w:val="24"/>
          <w:szCs w:val="24"/>
        </w:rPr>
        <w:t>in an acceptable level of risk.</w:t>
      </w:r>
      <w:r w:rsidRPr="000766D0">
        <w:rPr>
          <w:rFonts w:ascii="Arial" w:hAnsi="Arial" w:cs="Arial"/>
          <w:snapToGrid w:val="0"/>
          <w:sz w:val="24"/>
          <w:szCs w:val="24"/>
        </w:rPr>
        <w:t xml:space="preserve"> Details of the structure and managers are in the Statement of Investment Principles.</w:t>
      </w:r>
    </w:p>
    <w:p w:rsidR="00110CCA" w:rsidRPr="00CC3A06" w:rsidRDefault="00110CC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10CCA" w:rsidRPr="00CC3A06" w:rsidRDefault="0011239F"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CC3A06">
        <w:rPr>
          <w:rFonts w:ascii="Arial" w:hAnsi="Arial" w:cs="Arial"/>
          <w:b/>
          <w:snapToGrid w:val="0"/>
          <w:sz w:val="24"/>
          <w:szCs w:val="24"/>
        </w:rPr>
        <w:t>Responsibilities of the key parties</w:t>
      </w:r>
    </w:p>
    <w:p w:rsidR="0011239F" w:rsidRPr="00CC3A06" w:rsidRDefault="0011239F"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036EB6" w:rsidRPr="00CC3A06" w:rsidRDefault="0011239F"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C3A06">
        <w:rPr>
          <w:rFonts w:ascii="Arial" w:hAnsi="Arial" w:cs="Arial"/>
          <w:snapToGrid w:val="0"/>
          <w:sz w:val="24"/>
          <w:szCs w:val="24"/>
        </w:rPr>
        <w:t>The three parties whose responsibilities to the Fund are of particular relevance are the Administering Authority, the individual employers, and the Fund Actuary.</w:t>
      </w:r>
      <w:r w:rsidR="00036EB6" w:rsidRPr="00CC3A06">
        <w:rPr>
          <w:rFonts w:ascii="Arial" w:hAnsi="Arial" w:cs="Arial"/>
          <w:snapToGrid w:val="0"/>
          <w:sz w:val="24"/>
          <w:szCs w:val="24"/>
        </w:rPr>
        <w:t xml:space="preserve"> The Council delegates responsibility for fulfilling its obligations to the Pension Fund </w:t>
      </w:r>
      <w:r w:rsidR="00CC3A06" w:rsidRPr="00CC3A06">
        <w:rPr>
          <w:rFonts w:ascii="Arial" w:hAnsi="Arial" w:cs="Arial"/>
          <w:snapToGrid w:val="0"/>
          <w:sz w:val="24"/>
          <w:szCs w:val="24"/>
        </w:rPr>
        <w:t>Sub-Committee</w:t>
      </w:r>
      <w:r w:rsidR="00036EB6" w:rsidRPr="00CC3A06">
        <w:rPr>
          <w:rFonts w:ascii="Arial" w:hAnsi="Arial" w:cs="Arial"/>
          <w:snapToGrid w:val="0"/>
          <w:sz w:val="24"/>
          <w:szCs w:val="24"/>
        </w:rPr>
        <w:t>.</w:t>
      </w:r>
    </w:p>
    <w:p w:rsidR="00036EB6" w:rsidRPr="00CC3A06"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036EB6" w:rsidRPr="00CC3A06" w:rsidRDefault="00CC3A0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CC3A06">
        <w:rPr>
          <w:rFonts w:ascii="Arial" w:hAnsi="Arial" w:cs="Arial"/>
          <w:b/>
          <w:snapToGrid w:val="0"/>
          <w:sz w:val="24"/>
          <w:szCs w:val="24"/>
        </w:rPr>
        <w:t>The Council’s obligations as Administering A</w:t>
      </w:r>
      <w:r w:rsidR="00036EB6" w:rsidRPr="00CC3A06">
        <w:rPr>
          <w:rFonts w:ascii="Arial" w:hAnsi="Arial" w:cs="Arial"/>
          <w:b/>
          <w:snapToGrid w:val="0"/>
          <w:sz w:val="24"/>
          <w:szCs w:val="24"/>
        </w:rPr>
        <w:t>uthority</w:t>
      </w:r>
    </w:p>
    <w:p w:rsidR="00036EB6" w:rsidRPr="00CC3A06"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036EB6" w:rsidRPr="006878D4" w:rsidRDefault="00036EB6" w:rsidP="00036EB6">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collect employers’ and employees’ contributions and, as far as possible, make sure they are paid by the due date as specified in the LGPS regulations.</w:t>
      </w:r>
    </w:p>
    <w:p w:rsidR="00036EB6" w:rsidRPr="006878D4" w:rsidRDefault="00036EB6" w:rsidP="00036EB6">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invest surplus money in accordance with the LGPS regulations relating to the investment of funds.</w:t>
      </w:r>
    </w:p>
    <w:p w:rsidR="00036EB6" w:rsidRPr="006878D4" w:rsidRDefault="00036EB6" w:rsidP="00036EB6">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make sure that cash is always available to meet the Fund’s liabilities when they are due.</w:t>
      </w:r>
    </w:p>
    <w:p w:rsidR="00036EB6" w:rsidRPr="006878D4" w:rsidRDefault="00036EB6" w:rsidP="00036EB6">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manage the valuation process in consulta</w:t>
      </w:r>
      <w:r w:rsidR="009C582C">
        <w:rPr>
          <w:rFonts w:ascii="Arial" w:hAnsi="Arial" w:cs="Arial"/>
          <w:snapToGrid w:val="0"/>
          <w:sz w:val="24"/>
          <w:szCs w:val="24"/>
        </w:rPr>
        <w:t>tion with the Fund’s A</w:t>
      </w:r>
      <w:r w:rsidRPr="006878D4">
        <w:rPr>
          <w:rFonts w:ascii="Arial" w:hAnsi="Arial" w:cs="Arial"/>
          <w:snapToGrid w:val="0"/>
          <w:sz w:val="24"/>
          <w:szCs w:val="24"/>
        </w:rPr>
        <w:t>ctuary, agreeing appropriate timescales and providing accurate data.</w:t>
      </w:r>
    </w:p>
    <w:p w:rsidR="00036EB6" w:rsidRPr="006878D4" w:rsidRDefault="00036EB6" w:rsidP="00036EB6">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monitor regularly the Fund’s investment performance and funding level.</w:t>
      </w:r>
    </w:p>
    <w:p w:rsidR="00036EB6" w:rsidRPr="006878D4" w:rsidRDefault="00036EB6" w:rsidP="00036EB6">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prepare and maintain a Statement of Investment Principles and a Funding Strategy Statement.</w:t>
      </w:r>
    </w:p>
    <w:p w:rsidR="00036EB6" w:rsidRPr="006878D4"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9C582C" w:rsidRDefault="009C582C">
      <w:pPr>
        <w:rPr>
          <w:rFonts w:ascii="Arial" w:hAnsi="Arial" w:cs="Arial"/>
          <w:b/>
          <w:snapToGrid w:val="0"/>
          <w:sz w:val="24"/>
          <w:szCs w:val="24"/>
        </w:rPr>
      </w:pPr>
      <w:r>
        <w:rPr>
          <w:rFonts w:ascii="Arial" w:hAnsi="Arial" w:cs="Arial"/>
          <w:b/>
          <w:snapToGrid w:val="0"/>
          <w:sz w:val="24"/>
          <w:szCs w:val="24"/>
        </w:rPr>
        <w:br w:type="page"/>
      </w:r>
    </w:p>
    <w:p w:rsidR="00036EB6" w:rsidRPr="006878D4"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6878D4">
        <w:rPr>
          <w:rFonts w:ascii="Arial" w:hAnsi="Arial" w:cs="Arial"/>
          <w:b/>
          <w:snapToGrid w:val="0"/>
          <w:sz w:val="24"/>
          <w:szCs w:val="24"/>
        </w:rPr>
        <w:lastRenderedPageBreak/>
        <w:t>Individual employers’ obligations</w:t>
      </w:r>
    </w:p>
    <w:p w:rsidR="00036EB6" w:rsidRPr="006878D4"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036EB6" w:rsidRPr="006878D4" w:rsidRDefault="00036EB6" w:rsidP="00036EB6">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deduct contributions from employees’ pay, and make employers’ contribution</w:t>
      </w:r>
      <w:r w:rsidR="00BB607A">
        <w:rPr>
          <w:rFonts w:ascii="Arial" w:hAnsi="Arial" w:cs="Arial"/>
          <w:snapToGrid w:val="0"/>
          <w:sz w:val="24"/>
          <w:szCs w:val="24"/>
        </w:rPr>
        <w:t>s at the rates specified by the A</w:t>
      </w:r>
      <w:r w:rsidRPr="006878D4">
        <w:rPr>
          <w:rFonts w:ascii="Arial" w:hAnsi="Arial" w:cs="Arial"/>
          <w:snapToGrid w:val="0"/>
          <w:sz w:val="24"/>
          <w:szCs w:val="24"/>
        </w:rPr>
        <w:t>c</w:t>
      </w:r>
      <w:r w:rsidR="006878D4" w:rsidRPr="006878D4">
        <w:rPr>
          <w:rFonts w:ascii="Arial" w:hAnsi="Arial" w:cs="Arial"/>
          <w:snapToGrid w:val="0"/>
          <w:sz w:val="24"/>
          <w:szCs w:val="24"/>
        </w:rPr>
        <w:t>tuary, paying both to the</w:t>
      </w:r>
      <w:r w:rsidRPr="006878D4">
        <w:rPr>
          <w:rFonts w:ascii="Arial" w:hAnsi="Arial" w:cs="Arial"/>
          <w:snapToGrid w:val="0"/>
          <w:sz w:val="24"/>
          <w:szCs w:val="24"/>
        </w:rPr>
        <w:t xml:space="preserve"> Council by the due date.</w:t>
      </w:r>
    </w:p>
    <w:p w:rsidR="00036EB6" w:rsidRPr="006878D4" w:rsidRDefault="00036EB6" w:rsidP="00036EB6">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exercise discretions allowed to employers within the LGPS regulations.</w:t>
      </w:r>
    </w:p>
    <w:p w:rsidR="00036EB6" w:rsidRPr="006878D4" w:rsidRDefault="00036EB6" w:rsidP="00036EB6">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pay for agreed added-years arrangements.</w:t>
      </w:r>
    </w:p>
    <w:p w:rsidR="00036EB6" w:rsidRPr="006878D4" w:rsidRDefault="006878D4" w:rsidP="00036EB6">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8D4">
        <w:rPr>
          <w:rFonts w:ascii="Arial" w:hAnsi="Arial" w:cs="Arial"/>
          <w:snapToGrid w:val="0"/>
          <w:sz w:val="24"/>
          <w:szCs w:val="24"/>
        </w:rPr>
        <w:t>To keep the</w:t>
      </w:r>
      <w:r w:rsidR="00036EB6" w:rsidRPr="006878D4">
        <w:rPr>
          <w:rFonts w:ascii="Arial" w:hAnsi="Arial" w:cs="Arial"/>
          <w:snapToGrid w:val="0"/>
          <w:sz w:val="24"/>
          <w:szCs w:val="24"/>
        </w:rPr>
        <w:t xml:space="preserve"> Council fully informed of all changes to membership, or other changes that could affect the solvency position.</w:t>
      </w:r>
    </w:p>
    <w:p w:rsidR="00036EB6" w:rsidRPr="00657F6F"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036EB6" w:rsidRPr="00657F6F" w:rsidRDefault="00C20241"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Pr>
          <w:rFonts w:ascii="Arial" w:hAnsi="Arial" w:cs="Arial"/>
          <w:b/>
          <w:snapToGrid w:val="0"/>
          <w:sz w:val="24"/>
          <w:szCs w:val="24"/>
        </w:rPr>
        <w:t>The A</w:t>
      </w:r>
      <w:r w:rsidR="00036EB6" w:rsidRPr="00657F6F">
        <w:rPr>
          <w:rFonts w:ascii="Arial" w:hAnsi="Arial" w:cs="Arial"/>
          <w:b/>
          <w:snapToGrid w:val="0"/>
          <w:sz w:val="24"/>
          <w:szCs w:val="24"/>
        </w:rPr>
        <w:t>ctuary’s obligations</w:t>
      </w:r>
    </w:p>
    <w:p w:rsidR="00036EB6" w:rsidRPr="00657F6F"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036EB6" w:rsidRPr="00657F6F" w:rsidRDefault="00036EB6" w:rsidP="00036EB6">
      <w:pPr>
        <w:widowControl w:val="0"/>
        <w:numPr>
          <w:ilvl w:val="0"/>
          <w:numId w:val="2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57F6F">
        <w:rPr>
          <w:rFonts w:ascii="Arial" w:hAnsi="Arial" w:cs="Arial"/>
          <w:snapToGrid w:val="0"/>
          <w:sz w:val="24"/>
          <w:szCs w:val="24"/>
        </w:rPr>
        <w:t>To prepare actuarial valuations and set employers’ contribution rates having regard to th</w:t>
      </w:r>
      <w:r w:rsidR="00CA336B" w:rsidRPr="00657F6F">
        <w:rPr>
          <w:rFonts w:ascii="Arial" w:hAnsi="Arial" w:cs="Arial"/>
          <w:snapToGrid w:val="0"/>
          <w:sz w:val="24"/>
          <w:szCs w:val="24"/>
        </w:rPr>
        <w:t>is Funding Strategy Statement.</w:t>
      </w:r>
    </w:p>
    <w:p w:rsidR="00036EB6" w:rsidRPr="00657F6F" w:rsidRDefault="00036EB6" w:rsidP="00036EB6">
      <w:pPr>
        <w:widowControl w:val="0"/>
        <w:numPr>
          <w:ilvl w:val="0"/>
          <w:numId w:val="2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57F6F">
        <w:rPr>
          <w:rFonts w:ascii="Arial" w:hAnsi="Arial" w:cs="Arial"/>
          <w:snapToGrid w:val="0"/>
          <w:sz w:val="24"/>
          <w:szCs w:val="24"/>
        </w:rPr>
        <w:t xml:space="preserve">To prepare advice and calculations </w:t>
      </w:r>
      <w:r w:rsidR="00CA336B" w:rsidRPr="00657F6F">
        <w:rPr>
          <w:rFonts w:ascii="Arial" w:hAnsi="Arial" w:cs="Arial"/>
          <w:snapToGrid w:val="0"/>
          <w:sz w:val="24"/>
          <w:szCs w:val="24"/>
        </w:rPr>
        <w:t>in connection with</w:t>
      </w:r>
      <w:r w:rsidRPr="00657F6F">
        <w:rPr>
          <w:rFonts w:ascii="Arial" w:hAnsi="Arial" w:cs="Arial"/>
          <w:snapToGrid w:val="0"/>
          <w:sz w:val="24"/>
          <w:szCs w:val="24"/>
        </w:rPr>
        <w:t xml:space="preserve"> cessation valuations, bulk transfers and individual benefit-related matters.</w:t>
      </w:r>
    </w:p>
    <w:p w:rsidR="00036EB6" w:rsidRPr="00657F6F" w:rsidRDefault="00036EB6" w:rsidP="00036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AA2CB2" w:rsidRPr="0062132B" w:rsidRDefault="000037E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62132B">
        <w:rPr>
          <w:rFonts w:ascii="Arial" w:hAnsi="Arial" w:cs="Arial"/>
          <w:b/>
          <w:snapToGrid w:val="0"/>
          <w:sz w:val="24"/>
          <w:szCs w:val="24"/>
        </w:rPr>
        <w:t>Funding Target and Solvency</w:t>
      </w:r>
    </w:p>
    <w:p w:rsidR="000766D0" w:rsidRPr="0062132B" w:rsidRDefault="000766D0"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0037EA" w:rsidRPr="0062132B" w:rsidRDefault="000037EA" w:rsidP="000037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2132B">
        <w:rPr>
          <w:rFonts w:ascii="Arial" w:hAnsi="Arial" w:cs="Arial"/>
          <w:snapToGrid w:val="0"/>
          <w:sz w:val="24"/>
          <w:szCs w:val="24"/>
        </w:rPr>
        <w:t xml:space="preserve">The Fund’s primary aim is long term solvency. </w:t>
      </w:r>
      <w:r w:rsidR="004769AC" w:rsidRPr="0062132B">
        <w:rPr>
          <w:rFonts w:ascii="Arial" w:hAnsi="Arial" w:cs="Arial"/>
          <w:snapToGrid w:val="0"/>
          <w:sz w:val="24"/>
          <w:szCs w:val="24"/>
        </w:rPr>
        <w:t>The Fund is deemed to be solvent when the assets held are equal to 100% of the Funding Target.</w:t>
      </w:r>
      <w:r w:rsidR="004769AC">
        <w:rPr>
          <w:rFonts w:ascii="Arial" w:hAnsi="Arial" w:cs="Arial"/>
          <w:snapToGrid w:val="0"/>
          <w:sz w:val="24"/>
          <w:szCs w:val="24"/>
        </w:rPr>
        <w:t xml:space="preserve"> </w:t>
      </w:r>
      <w:r w:rsidRPr="0062132B">
        <w:rPr>
          <w:rFonts w:ascii="Arial" w:hAnsi="Arial" w:cs="Arial"/>
          <w:snapToGrid w:val="0"/>
          <w:sz w:val="24"/>
          <w:szCs w:val="24"/>
        </w:rPr>
        <w:t>Accordingly, employers’ contributions will be set to ens</w:t>
      </w:r>
      <w:r w:rsidR="0062132B" w:rsidRPr="0062132B">
        <w:rPr>
          <w:rFonts w:ascii="Arial" w:hAnsi="Arial" w:cs="Arial"/>
          <w:snapToGrid w:val="0"/>
          <w:sz w:val="24"/>
          <w:szCs w:val="24"/>
        </w:rPr>
        <w:t>ure that 100% of the pension benefits promised</w:t>
      </w:r>
      <w:r w:rsidRPr="0062132B">
        <w:rPr>
          <w:rFonts w:ascii="Arial" w:hAnsi="Arial" w:cs="Arial"/>
          <w:snapToGrid w:val="0"/>
          <w:sz w:val="24"/>
          <w:szCs w:val="24"/>
        </w:rPr>
        <w:t xml:space="preserve"> can be met over the long term.</w:t>
      </w:r>
    </w:p>
    <w:p w:rsidR="0018347B" w:rsidRPr="00403C94"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403C94"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403C94">
        <w:rPr>
          <w:rFonts w:ascii="Arial" w:hAnsi="Arial" w:cs="Arial"/>
          <w:snapToGrid w:val="0"/>
          <w:sz w:val="24"/>
          <w:szCs w:val="24"/>
        </w:rPr>
        <w:t>The Funding Target is the amount of assets which the Fund needs to hold at any point in time such that the funds held, plus future anticipated investment returns on those funds, taking into account the anticipated future membership and contributions due from the membership, meet the funding principle.</w:t>
      </w:r>
    </w:p>
    <w:p w:rsidR="0018347B" w:rsidRPr="00403C94"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403C94"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403C94">
        <w:rPr>
          <w:rFonts w:ascii="Arial" w:hAnsi="Arial" w:cs="Arial"/>
          <w:snapToGrid w:val="0"/>
          <w:sz w:val="24"/>
          <w:szCs w:val="24"/>
        </w:rPr>
        <w:t>The Fund's funding ratio at any particular valuation is the ratio of the v</w:t>
      </w:r>
      <w:r w:rsidR="004F23D9">
        <w:rPr>
          <w:rFonts w:ascii="Arial" w:hAnsi="Arial" w:cs="Arial"/>
          <w:snapToGrid w:val="0"/>
          <w:sz w:val="24"/>
          <w:szCs w:val="24"/>
        </w:rPr>
        <w:t>alue of the assets held to the Funding T</w:t>
      </w:r>
      <w:r w:rsidRPr="00403C94">
        <w:rPr>
          <w:rFonts w:ascii="Arial" w:hAnsi="Arial" w:cs="Arial"/>
          <w:snapToGrid w:val="0"/>
          <w:sz w:val="24"/>
          <w:szCs w:val="24"/>
        </w:rPr>
        <w:t>arget set using the assumptions used in that valuation of the Fund. When assets held are greater than this amount the Fund is deemed to be in surplus, and when assets held are less than this amount the Fund is deemed to be in defici</w:t>
      </w:r>
      <w:r w:rsidR="00167B94">
        <w:rPr>
          <w:rFonts w:ascii="Arial" w:hAnsi="Arial" w:cs="Arial"/>
          <w:snapToGrid w:val="0"/>
          <w:sz w:val="24"/>
          <w:szCs w:val="24"/>
        </w:rPr>
        <w:t>t</w:t>
      </w:r>
      <w:r w:rsidRPr="00403C94">
        <w:rPr>
          <w:rFonts w:ascii="Arial" w:hAnsi="Arial" w:cs="Arial"/>
          <w:snapToGrid w:val="0"/>
          <w:sz w:val="24"/>
          <w:szCs w:val="24"/>
        </w:rPr>
        <w:t>.</w:t>
      </w:r>
    </w:p>
    <w:p w:rsidR="0018347B" w:rsidRPr="00403C94"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85DE4" w:rsidRPr="00403C94" w:rsidRDefault="00785DE4"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403C94">
        <w:rPr>
          <w:rFonts w:ascii="Arial" w:hAnsi="Arial" w:cs="Arial"/>
          <w:b/>
          <w:snapToGrid w:val="0"/>
          <w:sz w:val="24"/>
          <w:szCs w:val="24"/>
        </w:rPr>
        <w:t>Recovery period</w:t>
      </w:r>
    </w:p>
    <w:p w:rsidR="00785DE4" w:rsidRPr="004210F2" w:rsidRDefault="00785DE4"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72488D"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highlight w:val="yellow"/>
        </w:rPr>
      </w:pPr>
      <w:r w:rsidRPr="004210F2">
        <w:rPr>
          <w:rFonts w:ascii="Arial" w:hAnsi="Arial" w:cs="Arial"/>
          <w:snapToGrid w:val="0"/>
          <w:sz w:val="24"/>
          <w:szCs w:val="24"/>
        </w:rPr>
        <w:t>When an actuarial valuation show</w:t>
      </w:r>
      <w:r w:rsidR="00167B94">
        <w:rPr>
          <w:rFonts w:ascii="Arial" w:hAnsi="Arial" w:cs="Arial"/>
          <w:snapToGrid w:val="0"/>
          <w:sz w:val="24"/>
          <w:szCs w:val="24"/>
        </w:rPr>
        <w:t>s that the Fund is in deficit</w:t>
      </w:r>
      <w:r w:rsidRPr="004210F2">
        <w:rPr>
          <w:rFonts w:ascii="Arial" w:hAnsi="Arial" w:cs="Arial"/>
          <w:snapToGrid w:val="0"/>
          <w:sz w:val="24"/>
          <w:szCs w:val="24"/>
        </w:rPr>
        <w:t xml:space="preserve">, employers’ contribution rates will be adjusted to achieve a 100% funding ratio over a period of years (the recovery period), while ensuring that the probability of achieving solvency over the recovery period remains acceptable. </w:t>
      </w:r>
      <w:r w:rsidRPr="00A62CFE">
        <w:rPr>
          <w:rFonts w:ascii="Arial" w:hAnsi="Arial" w:cs="Arial"/>
          <w:snapToGrid w:val="0"/>
          <w:sz w:val="24"/>
          <w:szCs w:val="24"/>
        </w:rPr>
        <w:t>A recovery period of 25 yea</w:t>
      </w:r>
      <w:r w:rsidR="004210F2" w:rsidRPr="00A62CFE">
        <w:rPr>
          <w:rFonts w:ascii="Arial" w:hAnsi="Arial" w:cs="Arial"/>
          <w:snapToGrid w:val="0"/>
          <w:sz w:val="24"/>
          <w:szCs w:val="24"/>
        </w:rPr>
        <w:t>rs was used in the 2010 valuation</w:t>
      </w:r>
      <w:r w:rsidRPr="00A62CFE">
        <w:rPr>
          <w:rFonts w:ascii="Arial" w:hAnsi="Arial" w:cs="Arial"/>
          <w:snapToGrid w:val="0"/>
          <w:sz w:val="24"/>
          <w:szCs w:val="24"/>
        </w:rPr>
        <w:t xml:space="preserve"> for scheduled employers. Were any member employers to participate in the Fund for a shor</w:t>
      </w:r>
      <w:r w:rsidR="00167B94">
        <w:rPr>
          <w:rFonts w:ascii="Arial" w:hAnsi="Arial" w:cs="Arial"/>
          <w:snapToGrid w:val="0"/>
          <w:sz w:val="24"/>
          <w:szCs w:val="24"/>
        </w:rPr>
        <w:t>t period only, the Council and A</w:t>
      </w:r>
      <w:r w:rsidRPr="00A62CFE">
        <w:rPr>
          <w:rFonts w:ascii="Arial" w:hAnsi="Arial" w:cs="Arial"/>
          <w:snapToGrid w:val="0"/>
          <w:sz w:val="24"/>
          <w:szCs w:val="24"/>
        </w:rPr>
        <w:t>ctuary would be unlikely to agree to their having a recovery period longer than their remaining term of participation.</w:t>
      </w:r>
    </w:p>
    <w:p w:rsidR="0018347B"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67B94" w:rsidRDefault="00167B94">
      <w:pPr>
        <w:rPr>
          <w:rFonts w:ascii="Arial" w:hAnsi="Arial" w:cs="Arial"/>
          <w:b/>
          <w:snapToGrid w:val="0"/>
          <w:sz w:val="24"/>
          <w:szCs w:val="24"/>
        </w:rPr>
      </w:pPr>
      <w:r>
        <w:rPr>
          <w:rFonts w:ascii="Arial" w:hAnsi="Arial" w:cs="Arial"/>
          <w:b/>
          <w:snapToGrid w:val="0"/>
          <w:sz w:val="24"/>
          <w:szCs w:val="24"/>
        </w:rPr>
        <w:br w:type="page"/>
      </w:r>
    </w:p>
    <w:p w:rsidR="00A62CFE" w:rsidRPr="0084490F" w:rsidRDefault="00A62CFE"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84490F">
        <w:rPr>
          <w:rFonts w:ascii="Arial" w:hAnsi="Arial" w:cs="Arial"/>
          <w:b/>
          <w:snapToGrid w:val="0"/>
          <w:sz w:val="24"/>
          <w:szCs w:val="24"/>
        </w:rPr>
        <w:lastRenderedPageBreak/>
        <w:t>Grouping</w:t>
      </w:r>
    </w:p>
    <w:p w:rsidR="00A62CFE" w:rsidRPr="0084490F" w:rsidRDefault="00A62CFE"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84490F"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84490F">
        <w:rPr>
          <w:rFonts w:ascii="Arial" w:hAnsi="Arial" w:cs="Arial"/>
          <w:snapToGrid w:val="0"/>
          <w:sz w:val="24"/>
          <w:szCs w:val="24"/>
        </w:rPr>
        <w:t>In some circumstances it is desirable to group employers within the Fund together for funding purposes (i.e.</w:t>
      </w:r>
      <w:r w:rsidR="00A13F12">
        <w:rPr>
          <w:rFonts w:ascii="Arial" w:hAnsi="Arial" w:cs="Arial"/>
          <w:snapToGrid w:val="0"/>
          <w:sz w:val="24"/>
          <w:szCs w:val="24"/>
        </w:rPr>
        <w:t>,</w:t>
      </w:r>
      <w:r w:rsidRPr="0084490F">
        <w:rPr>
          <w:rFonts w:ascii="Arial" w:hAnsi="Arial" w:cs="Arial"/>
          <w:snapToGrid w:val="0"/>
          <w:sz w:val="24"/>
          <w:szCs w:val="24"/>
        </w:rPr>
        <w:t xml:space="preserve"> to calculate employer contribution rates). Reasons might include reducing the volatility of contribution rates for small employers, facilitating situations where employers have a common source of funding or accommodating employers who wish to share the risks related to their participation in the Fund.</w:t>
      </w:r>
    </w:p>
    <w:p w:rsidR="0018347B" w:rsidRPr="0072488D"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highlight w:val="yellow"/>
        </w:rPr>
      </w:pPr>
    </w:p>
    <w:p w:rsidR="0018347B" w:rsidRPr="0084490F"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84490F">
        <w:rPr>
          <w:rFonts w:ascii="Arial" w:hAnsi="Arial" w:cs="Arial"/>
          <w:snapToGrid w:val="0"/>
          <w:sz w:val="24"/>
          <w:szCs w:val="24"/>
        </w:rPr>
        <w:t>Employers may be grouped entirely, such that all of the risks of participation are shared, or only partially grouped such that only specified risks are shared.</w:t>
      </w:r>
    </w:p>
    <w:p w:rsidR="0018347B" w:rsidRPr="0084490F"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84490F"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84490F">
        <w:rPr>
          <w:rFonts w:ascii="Arial" w:hAnsi="Arial" w:cs="Arial"/>
          <w:snapToGrid w:val="0"/>
          <w:sz w:val="24"/>
          <w:szCs w:val="24"/>
        </w:rPr>
        <w:t>Where employers are grouped together for funding purposes, this will only occur with the consent of the employers involved.</w:t>
      </w:r>
    </w:p>
    <w:p w:rsidR="0018347B" w:rsidRPr="00726913"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726913"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726913">
        <w:rPr>
          <w:rFonts w:ascii="Arial" w:hAnsi="Arial" w:cs="Arial"/>
          <w:snapToGrid w:val="0"/>
          <w:sz w:val="24"/>
          <w:szCs w:val="24"/>
        </w:rPr>
        <w:t>All employers in the Fund are grouped together regarding the risks associated with payment of lump sum benefits on death in service. The cost of such benefits is shared across the employers in the Fund. This is because the Fund, in view of its size, does not see it as cost effective or necessary to insure these benefits externally.</w:t>
      </w:r>
    </w:p>
    <w:p w:rsidR="0018347B" w:rsidRPr="00203DFA"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EE7559" w:rsidRPr="00203DFA" w:rsidRDefault="00405F9C"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203DFA">
        <w:rPr>
          <w:rFonts w:ascii="Arial" w:hAnsi="Arial" w:cs="Arial"/>
          <w:b/>
          <w:snapToGrid w:val="0"/>
          <w:sz w:val="24"/>
          <w:szCs w:val="24"/>
        </w:rPr>
        <w:t>Stepp</w:t>
      </w:r>
      <w:r w:rsidR="00EE7559" w:rsidRPr="00203DFA">
        <w:rPr>
          <w:rFonts w:ascii="Arial" w:hAnsi="Arial" w:cs="Arial"/>
          <w:b/>
          <w:snapToGrid w:val="0"/>
          <w:sz w:val="24"/>
          <w:szCs w:val="24"/>
        </w:rPr>
        <w:t>ing</w:t>
      </w:r>
    </w:p>
    <w:p w:rsidR="00EE7559" w:rsidRPr="00203DFA" w:rsidRDefault="00EE7559" w:rsidP="00EE75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EE7559" w:rsidRPr="00203DFA" w:rsidRDefault="00405F9C" w:rsidP="00EE75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203DFA">
        <w:rPr>
          <w:rFonts w:ascii="Arial" w:hAnsi="Arial" w:cs="Arial"/>
          <w:snapToGrid w:val="0"/>
          <w:sz w:val="24"/>
          <w:szCs w:val="24"/>
        </w:rPr>
        <w:t>Consistent with the requirement to keep employer contr</w:t>
      </w:r>
      <w:r w:rsidR="00AA674C" w:rsidRPr="00203DFA">
        <w:rPr>
          <w:rFonts w:ascii="Arial" w:hAnsi="Arial" w:cs="Arial"/>
          <w:snapToGrid w:val="0"/>
          <w:sz w:val="24"/>
          <w:szCs w:val="24"/>
        </w:rPr>
        <w:t>ibution rates as stable as possible, the Administering Authority will consider, at each valuation, whether new contribution rates should be payable immediately, or should be reached by a series of steps over future years</w:t>
      </w:r>
      <w:r w:rsidR="00EE7559" w:rsidRPr="00203DFA">
        <w:rPr>
          <w:rFonts w:ascii="Arial" w:hAnsi="Arial" w:cs="Arial"/>
          <w:snapToGrid w:val="0"/>
          <w:sz w:val="24"/>
          <w:szCs w:val="24"/>
        </w:rPr>
        <w:t>.</w:t>
      </w:r>
      <w:r w:rsidR="00481DA7" w:rsidRPr="00203DFA">
        <w:rPr>
          <w:rFonts w:ascii="Arial" w:hAnsi="Arial" w:cs="Arial"/>
          <w:snapToGrid w:val="0"/>
          <w:sz w:val="24"/>
          <w:szCs w:val="24"/>
        </w:rPr>
        <w:t xml:space="preserve"> The Administering Authorit</w:t>
      </w:r>
      <w:r w:rsidR="004B092F" w:rsidRPr="00203DFA">
        <w:rPr>
          <w:rFonts w:ascii="Arial" w:hAnsi="Arial" w:cs="Arial"/>
          <w:snapToGrid w:val="0"/>
          <w:sz w:val="24"/>
          <w:szCs w:val="24"/>
        </w:rPr>
        <w:t>y’s policy is that in the normal course of events no more than three equal annual steps will be permitted.</w:t>
      </w:r>
    </w:p>
    <w:p w:rsidR="0009307A" w:rsidRDefault="0009307A"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highlight w:val="yellow"/>
        </w:rPr>
      </w:pPr>
    </w:p>
    <w:p w:rsidR="0009307A" w:rsidRDefault="00D03DF0"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highlight w:val="yellow"/>
        </w:rPr>
      </w:pPr>
      <w:r>
        <w:rPr>
          <w:rFonts w:ascii="Arial" w:hAnsi="Arial" w:cs="Arial"/>
          <w:b/>
          <w:snapToGrid w:val="0"/>
          <w:sz w:val="24"/>
          <w:szCs w:val="24"/>
        </w:rPr>
        <w:t>Notional sub-f</w:t>
      </w:r>
      <w:r w:rsidR="00AE5A4E">
        <w:rPr>
          <w:rFonts w:ascii="Arial" w:hAnsi="Arial" w:cs="Arial"/>
          <w:b/>
          <w:snapToGrid w:val="0"/>
          <w:sz w:val="24"/>
          <w:szCs w:val="24"/>
        </w:rPr>
        <w:t>unds for individual employers</w:t>
      </w:r>
    </w:p>
    <w:p w:rsidR="0009307A" w:rsidRPr="008E3FF2" w:rsidRDefault="0009307A"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8E3FF2"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sz w:val="24"/>
          <w:szCs w:val="24"/>
        </w:rPr>
      </w:pPr>
      <w:r w:rsidRPr="008E3FF2">
        <w:rPr>
          <w:rFonts w:ascii="Arial" w:hAnsi="Arial" w:cs="Arial"/>
          <w:i/>
          <w:snapToGrid w:val="0"/>
          <w:sz w:val="24"/>
          <w:szCs w:val="24"/>
        </w:rPr>
        <w:t>Notional sub-funds</w:t>
      </w:r>
    </w:p>
    <w:p w:rsidR="0018347B" w:rsidRPr="008E3FF2"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8E3FF2"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8E3FF2">
        <w:rPr>
          <w:rFonts w:ascii="Arial" w:hAnsi="Arial" w:cs="Arial"/>
          <w:snapToGrid w:val="0"/>
          <w:sz w:val="24"/>
          <w:szCs w:val="24"/>
        </w:rPr>
        <w:t>In order to establish contribution rates for individual employers or groups of employers it is convenient to subdivide the Fund notionally between the employers, as if each employer had its own notional sub-fund</w:t>
      </w:r>
      <w:r w:rsidR="00D03DF0" w:rsidRPr="008E3FF2">
        <w:rPr>
          <w:rFonts w:ascii="Arial" w:hAnsi="Arial" w:cs="Arial"/>
          <w:snapToGrid w:val="0"/>
          <w:sz w:val="24"/>
          <w:szCs w:val="24"/>
        </w:rPr>
        <w:t xml:space="preserve"> within the Fund</w:t>
      </w:r>
      <w:r w:rsidRPr="008E3FF2">
        <w:rPr>
          <w:rFonts w:ascii="Arial" w:hAnsi="Arial" w:cs="Arial"/>
          <w:snapToGrid w:val="0"/>
          <w:sz w:val="24"/>
          <w:szCs w:val="24"/>
        </w:rPr>
        <w:t>.</w:t>
      </w:r>
    </w:p>
    <w:p w:rsidR="0018347B" w:rsidRPr="008E3FF2"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8E3FF2"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8E3FF2">
        <w:rPr>
          <w:rFonts w:ascii="Arial" w:hAnsi="Arial" w:cs="Arial"/>
          <w:snapToGrid w:val="0"/>
          <w:sz w:val="24"/>
          <w:szCs w:val="24"/>
        </w:rPr>
        <w:t>This subdivision is for funding purposes only. It is purely notional and does not imply any formal subdivision of assets, nor ownership of any particular assets or groups of assets by any individual employer or group.</w:t>
      </w:r>
    </w:p>
    <w:p w:rsidR="0018347B" w:rsidRPr="004240F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07CC6" w:rsidRDefault="00707CC6">
      <w:pPr>
        <w:rPr>
          <w:rFonts w:ascii="Arial" w:hAnsi="Arial" w:cs="Arial"/>
          <w:i/>
          <w:snapToGrid w:val="0"/>
          <w:sz w:val="24"/>
          <w:szCs w:val="24"/>
        </w:rPr>
      </w:pPr>
      <w:r>
        <w:rPr>
          <w:rFonts w:ascii="Arial" w:hAnsi="Arial" w:cs="Arial"/>
          <w:i/>
          <w:snapToGrid w:val="0"/>
          <w:sz w:val="24"/>
          <w:szCs w:val="24"/>
        </w:rPr>
        <w:br w:type="page"/>
      </w:r>
    </w:p>
    <w:p w:rsidR="0018347B" w:rsidRPr="004240F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sz w:val="24"/>
          <w:szCs w:val="24"/>
        </w:rPr>
      </w:pPr>
      <w:r w:rsidRPr="004240F9">
        <w:rPr>
          <w:rFonts w:ascii="Arial" w:hAnsi="Arial" w:cs="Arial"/>
          <w:i/>
          <w:snapToGrid w:val="0"/>
          <w:sz w:val="24"/>
          <w:szCs w:val="24"/>
        </w:rPr>
        <w:lastRenderedPageBreak/>
        <w:t>Roll forward of sub-funds</w:t>
      </w:r>
    </w:p>
    <w:p w:rsidR="0018347B" w:rsidRPr="004240F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4240F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4240F9">
        <w:rPr>
          <w:rFonts w:ascii="Arial" w:hAnsi="Arial" w:cs="Arial"/>
          <w:snapToGrid w:val="0"/>
          <w:sz w:val="24"/>
          <w:szCs w:val="24"/>
        </w:rPr>
        <w:t xml:space="preserve">The notional sub-fund allocated to each employer or group will be </w:t>
      </w:r>
      <w:r w:rsidR="004240F9" w:rsidRPr="004240F9">
        <w:rPr>
          <w:rFonts w:ascii="Arial" w:hAnsi="Arial" w:cs="Arial"/>
          <w:snapToGrid w:val="0"/>
          <w:sz w:val="24"/>
          <w:szCs w:val="24"/>
        </w:rPr>
        <w:t xml:space="preserve">rolled forward </w:t>
      </w:r>
      <w:r w:rsidRPr="004240F9">
        <w:rPr>
          <w:rFonts w:ascii="Arial" w:hAnsi="Arial" w:cs="Arial"/>
          <w:snapToGrid w:val="0"/>
          <w:sz w:val="24"/>
          <w:szCs w:val="24"/>
        </w:rPr>
        <w:t>allowing for all cashflows associated with that employer's or group's membership, including contribution income, benefits paid, transfers in and out and investment income allocated as set out below.</w:t>
      </w:r>
    </w:p>
    <w:p w:rsidR="0018347B" w:rsidRPr="001C1571" w:rsidRDefault="0018347B" w:rsidP="00756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1C1571">
        <w:rPr>
          <w:rFonts w:ascii="Arial" w:hAnsi="Arial" w:cs="Arial"/>
          <w:snapToGrid w:val="0"/>
          <w:sz w:val="24"/>
          <w:szCs w:val="24"/>
        </w:rPr>
        <w:t>In some cases there is insufficient information to complete these calcu</w:t>
      </w:r>
      <w:r w:rsidR="007568E3" w:rsidRPr="001C1571">
        <w:rPr>
          <w:rFonts w:ascii="Arial" w:hAnsi="Arial" w:cs="Arial"/>
          <w:snapToGrid w:val="0"/>
          <w:sz w:val="24"/>
          <w:szCs w:val="24"/>
        </w:rPr>
        <w:t>lations. In these circumstances</w:t>
      </w:r>
      <w:r w:rsidR="00B743B6" w:rsidRPr="001C1571">
        <w:rPr>
          <w:rFonts w:ascii="Arial" w:hAnsi="Arial" w:cs="Arial"/>
          <w:snapToGrid w:val="0"/>
          <w:sz w:val="24"/>
          <w:szCs w:val="24"/>
        </w:rPr>
        <w:t xml:space="preserve"> w</w:t>
      </w:r>
      <w:r w:rsidR="001C1571">
        <w:rPr>
          <w:rFonts w:ascii="Arial" w:hAnsi="Arial" w:cs="Arial"/>
          <w:snapToGrid w:val="0"/>
          <w:sz w:val="24"/>
          <w:szCs w:val="24"/>
        </w:rPr>
        <w:t>here, in the opinion of the A</w:t>
      </w:r>
      <w:r w:rsidRPr="001C1571">
        <w:rPr>
          <w:rFonts w:ascii="Arial" w:hAnsi="Arial" w:cs="Arial"/>
          <w:snapToGrid w:val="0"/>
          <w:sz w:val="24"/>
          <w:szCs w:val="24"/>
        </w:rPr>
        <w:t>ctuary, the unavailable cashflow data is of low materiality, estimated cashflows will be used.</w:t>
      </w:r>
    </w:p>
    <w:p w:rsidR="0018347B" w:rsidRPr="001C1571"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1C1571" w:rsidRDefault="00B743B6"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1C1571">
        <w:rPr>
          <w:rFonts w:ascii="Arial" w:hAnsi="Arial" w:cs="Arial"/>
          <w:snapToGrid w:val="0"/>
          <w:sz w:val="24"/>
          <w:szCs w:val="24"/>
        </w:rPr>
        <w:t>Where, in the opinion of the Actuary, the</w:t>
      </w:r>
      <w:r w:rsidR="0018347B" w:rsidRPr="001C1571">
        <w:rPr>
          <w:rFonts w:ascii="Arial" w:hAnsi="Arial" w:cs="Arial"/>
          <w:snapToGrid w:val="0"/>
          <w:sz w:val="24"/>
          <w:szCs w:val="24"/>
        </w:rPr>
        <w:t xml:space="preserve"> cashflow data</w:t>
      </w:r>
      <w:r w:rsidRPr="001C1571">
        <w:rPr>
          <w:rFonts w:ascii="Arial" w:hAnsi="Arial" w:cs="Arial"/>
          <w:snapToGrid w:val="0"/>
          <w:sz w:val="24"/>
          <w:szCs w:val="24"/>
        </w:rPr>
        <w:t xml:space="preserve"> which is unavailable</w:t>
      </w:r>
      <w:r w:rsidR="00954DC0" w:rsidRPr="001C1571">
        <w:rPr>
          <w:rFonts w:ascii="Arial" w:hAnsi="Arial" w:cs="Arial"/>
          <w:snapToGrid w:val="0"/>
          <w:sz w:val="24"/>
          <w:szCs w:val="24"/>
        </w:rPr>
        <w:t xml:space="preserve"> is material, the A</w:t>
      </w:r>
      <w:r w:rsidR="0018347B" w:rsidRPr="001C1571">
        <w:rPr>
          <w:rFonts w:ascii="Arial" w:hAnsi="Arial" w:cs="Arial"/>
          <w:snapToGrid w:val="0"/>
          <w:sz w:val="24"/>
          <w:szCs w:val="24"/>
        </w:rPr>
        <w:t xml:space="preserve">ctuary will use an analysis of gains and losses to </w:t>
      </w:r>
      <w:r w:rsidR="00954DC0" w:rsidRPr="001C1571">
        <w:rPr>
          <w:rFonts w:ascii="Arial" w:hAnsi="Arial" w:cs="Arial"/>
          <w:snapToGrid w:val="0"/>
          <w:sz w:val="24"/>
          <w:szCs w:val="24"/>
        </w:rPr>
        <w:t>roll forward</w:t>
      </w:r>
      <w:r w:rsidR="0018347B" w:rsidRPr="001C1571">
        <w:rPr>
          <w:rFonts w:ascii="Arial" w:hAnsi="Arial" w:cs="Arial"/>
          <w:snapToGrid w:val="0"/>
          <w:sz w:val="24"/>
          <w:szCs w:val="24"/>
        </w:rPr>
        <w:t xml:space="preserve"> the notional sub-fund. This method is less precise than using cashflows, and involves calculating gains and los</w:t>
      </w:r>
      <w:r w:rsidR="00954DC0" w:rsidRPr="001C1571">
        <w:rPr>
          <w:rFonts w:ascii="Arial" w:hAnsi="Arial" w:cs="Arial"/>
          <w:snapToGrid w:val="0"/>
          <w:sz w:val="24"/>
          <w:szCs w:val="24"/>
        </w:rPr>
        <w:t>ses to the surplus or deficit</w:t>
      </w:r>
      <w:r w:rsidR="0018347B" w:rsidRPr="001C1571">
        <w:rPr>
          <w:rFonts w:ascii="Arial" w:hAnsi="Arial" w:cs="Arial"/>
          <w:snapToGrid w:val="0"/>
          <w:sz w:val="24"/>
          <w:szCs w:val="24"/>
        </w:rPr>
        <w:t xml:space="preserve"> shown at the previous valuation to determine an expected surplus o</w:t>
      </w:r>
      <w:r w:rsidR="00954DC0" w:rsidRPr="001C1571">
        <w:rPr>
          <w:rFonts w:ascii="Arial" w:hAnsi="Arial" w:cs="Arial"/>
          <w:snapToGrid w:val="0"/>
          <w:sz w:val="24"/>
          <w:szCs w:val="24"/>
        </w:rPr>
        <w:t>r deficiency at this valuation.</w:t>
      </w:r>
      <w:r w:rsidR="0018347B" w:rsidRPr="001C1571">
        <w:rPr>
          <w:rFonts w:ascii="Arial" w:hAnsi="Arial" w:cs="Arial"/>
          <w:snapToGrid w:val="0"/>
          <w:sz w:val="24"/>
          <w:szCs w:val="24"/>
        </w:rPr>
        <w:t xml:space="preserve"> This is compared with the liabilities evaluated at this valuation to calculate an implied notional asset holding.</w:t>
      </w:r>
    </w:p>
    <w:p w:rsidR="0018347B" w:rsidRPr="00235A3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235A3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sz w:val="24"/>
          <w:szCs w:val="24"/>
        </w:rPr>
      </w:pPr>
      <w:r w:rsidRPr="00235A39">
        <w:rPr>
          <w:rFonts w:ascii="Arial" w:hAnsi="Arial" w:cs="Arial"/>
          <w:i/>
          <w:snapToGrid w:val="0"/>
          <w:sz w:val="24"/>
          <w:szCs w:val="24"/>
        </w:rPr>
        <w:t>Attribution of investment income</w:t>
      </w:r>
    </w:p>
    <w:p w:rsidR="0018347B" w:rsidRPr="00235A3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235A39" w:rsidRDefault="00E83D92"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235A39">
        <w:rPr>
          <w:rFonts w:ascii="Arial" w:hAnsi="Arial" w:cs="Arial"/>
          <w:snapToGrid w:val="0"/>
          <w:sz w:val="24"/>
          <w:szCs w:val="24"/>
        </w:rPr>
        <w:t>Where the A</w:t>
      </w:r>
      <w:r w:rsidR="0018347B" w:rsidRPr="00235A39">
        <w:rPr>
          <w:rFonts w:ascii="Arial" w:hAnsi="Arial" w:cs="Arial"/>
          <w:snapToGrid w:val="0"/>
          <w:sz w:val="24"/>
          <w:szCs w:val="24"/>
        </w:rPr>
        <w:t>dministe</w:t>
      </w:r>
      <w:r w:rsidRPr="00235A39">
        <w:rPr>
          <w:rFonts w:ascii="Arial" w:hAnsi="Arial" w:cs="Arial"/>
          <w:snapToGrid w:val="0"/>
          <w:sz w:val="24"/>
          <w:szCs w:val="24"/>
        </w:rPr>
        <w:t>ring A</w:t>
      </w:r>
      <w:r w:rsidR="0018347B" w:rsidRPr="00235A39">
        <w:rPr>
          <w:rFonts w:ascii="Arial" w:hAnsi="Arial" w:cs="Arial"/>
          <w:snapToGrid w:val="0"/>
          <w:sz w:val="24"/>
          <w:szCs w:val="24"/>
        </w:rPr>
        <w:t>u</w:t>
      </w:r>
      <w:r w:rsidRPr="00235A39">
        <w:rPr>
          <w:rFonts w:ascii="Arial" w:hAnsi="Arial" w:cs="Arial"/>
          <w:snapToGrid w:val="0"/>
          <w:sz w:val="24"/>
          <w:szCs w:val="24"/>
        </w:rPr>
        <w:t>thority has agreed with an</w:t>
      </w:r>
      <w:r w:rsidR="0018347B" w:rsidRPr="00235A39">
        <w:rPr>
          <w:rFonts w:ascii="Arial" w:hAnsi="Arial" w:cs="Arial"/>
          <w:snapToGrid w:val="0"/>
          <w:sz w:val="24"/>
          <w:szCs w:val="24"/>
        </w:rPr>
        <w:t xml:space="preserve"> employer that </w:t>
      </w:r>
      <w:r w:rsidR="00590975" w:rsidRPr="00235A39">
        <w:rPr>
          <w:rFonts w:ascii="Arial" w:hAnsi="Arial" w:cs="Arial"/>
          <w:snapToGrid w:val="0"/>
          <w:sz w:val="24"/>
          <w:szCs w:val="24"/>
        </w:rPr>
        <w:t>it will</w:t>
      </w:r>
      <w:r w:rsidR="0018347B" w:rsidRPr="00235A39">
        <w:rPr>
          <w:rFonts w:ascii="Arial" w:hAnsi="Arial" w:cs="Arial"/>
          <w:snapToGrid w:val="0"/>
          <w:sz w:val="24"/>
          <w:szCs w:val="24"/>
        </w:rPr>
        <w:t xml:space="preserve"> have a tailored asset portfolio notionally allocated to it, the assets notionally allocated to that employer will be credited with a rate of return appropriate to the agreed </w:t>
      </w:r>
      <w:r w:rsidR="00235A39" w:rsidRPr="00235A39">
        <w:rPr>
          <w:rFonts w:ascii="Arial" w:hAnsi="Arial" w:cs="Arial"/>
          <w:snapToGrid w:val="0"/>
          <w:sz w:val="24"/>
          <w:szCs w:val="24"/>
        </w:rPr>
        <w:t>notional asset portfolio</w:t>
      </w:r>
      <w:r w:rsidR="0018347B" w:rsidRPr="00235A39">
        <w:rPr>
          <w:rFonts w:ascii="Arial" w:hAnsi="Arial" w:cs="Arial"/>
          <w:snapToGrid w:val="0"/>
          <w:sz w:val="24"/>
          <w:szCs w:val="24"/>
        </w:rPr>
        <w:t>.</w:t>
      </w:r>
    </w:p>
    <w:p w:rsidR="0018347B" w:rsidRPr="00235A3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235A39"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235A39">
        <w:rPr>
          <w:rFonts w:ascii="Arial" w:hAnsi="Arial" w:cs="Arial"/>
          <w:snapToGrid w:val="0"/>
          <w:sz w:val="24"/>
          <w:szCs w:val="24"/>
        </w:rPr>
        <w:t>Where the employer has not been allocated a tailored notional portfolio of assets, the assets notionally allocated to that employer will be credited with the rate of return earned by the Fund assets as a whole, adjusted for any return credited to those employers for whom a tailored notional asset portfolio exists.</w:t>
      </w:r>
    </w:p>
    <w:p w:rsidR="0018347B" w:rsidRPr="004424F4" w:rsidRDefault="0018347B" w:rsidP="00183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8347B" w:rsidRPr="004424F4" w:rsidRDefault="00CA3E0E"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4424F4">
        <w:rPr>
          <w:rFonts w:ascii="Arial" w:hAnsi="Arial" w:cs="Arial"/>
          <w:b/>
          <w:snapToGrid w:val="0"/>
          <w:sz w:val="24"/>
          <w:szCs w:val="24"/>
        </w:rPr>
        <w:t>Subsumed liabilities</w:t>
      </w:r>
    </w:p>
    <w:p w:rsidR="00AA2CB2" w:rsidRPr="004424F4" w:rsidRDefault="00AA2CB2"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1910CD" w:rsidRPr="004424F4" w:rsidRDefault="001910C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4424F4">
        <w:rPr>
          <w:rFonts w:ascii="Arial" w:hAnsi="Arial" w:cs="Arial"/>
          <w:snapToGrid w:val="0"/>
          <w:sz w:val="24"/>
          <w:szCs w:val="24"/>
        </w:rPr>
        <w:t>Where an employer is ceasing participation in the Fund such that it will no longer have any contributing members, it is possible that another employer in the Fund agreed to provide a source of future funding in respect of any emerging deficits in respect of those liabilities.</w:t>
      </w:r>
    </w:p>
    <w:p w:rsidR="001910CD" w:rsidRPr="004424F4" w:rsidRDefault="001910C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4424F4"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4424F4">
        <w:rPr>
          <w:rFonts w:ascii="Arial" w:hAnsi="Arial" w:cs="Arial"/>
          <w:snapToGrid w:val="0"/>
          <w:sz w:val="24"/>
          <w:szCs w:val="24"/>
        </w:rPr>
        <w:t xml:space="preserve">In such circumstances the liabilities are known as subsumed liabilities </w:t>
      </w:r>
      <w:r w:rsidR="00775550" w:rsidRPr="004424F4">
        <w:rPr>
          <w:rFonts w:ascii="Arial" w:hAnsi="Arial" w:cs="Arial"/>
          <w:snapToGrid w:val="0"/>
          <w:sz w:val="24"/>
          <w:szCs w:val="24"/>
        </w:rPr>
        <w:t>(in that</w:t>
      </w:r>
      <w:r w:rsidRPr="004424F4">
        <w:rPr>
          <w:rFonts w:ascii="Arial" w:hAnsi="Arial" w:cs="Arial"/>
          <w:snapToGrid w:val="0"/>
          <w:sz w:val="24"/>
          <w:szCs w:val="24"/>
        </w:rPr>
        <w:t xml:space="preserve"> responsibility for them is subsumed by the accepting employer</w:t>
      </w:r>
      <w:r w:rsidR="00775550" w:rsidRPr="004424F4">
        <w:rPr>
          <w:rFonts w:ascii="Arial" w:hAnsi="Arial" w:cs="Arial"/>
          <w:snapToGrid w:val="0"/>
          <w:sz w:val="24"/>
          <w:szCs w:val="24"/>
        </w:rPr>
        <w:t>). The A</w:t>
      </w:r>
      <w:r w:rsidRPr="004424F4">
        <w:rPr>
          <w:rFonts w:ascii="Arial" w:hAnsi="Arial" w:cs="Arial"/>
          <w:snapToGrid w:val="0"/>
          <w:sz w:val="24"/>
          <w:szCs w:val="24"/>
        </w:rPr>
        <w:t>dminis</w:t>
      </w:r>
      <w:r w:rsidR="00775550" w:rsidRPr="004424F4">
        <w:rPr>
          <w:rFonts w:ascii="Arial" w:hAnsi="Arial" w:cs="Arial"/>
          <w:snapToGrid w:val="0"/>
          <w:sz w:val="24"/>
          <w:szCs w:val="24"/>
        </w:rPr>
        <w:t>tering A</w:t>
      </w:r>
      <w:r w:rsidRPr="004424F4">
        <w:rPr>
          <w:rFonts w:ascii="Arial" w:hAnsi="Arial" w:cs="Arial"/>
          <w:snapToGrid w:val="0"/>
          <w:sz w:val="24"/>
          <w:szCs w:val="24"/>
        </w:rPr>
        <w:t>uthority will assume that the investments held in respect of those liabilities will be the same as those held for the rest of the liabilities of the accepting employer. Generally this will mean assuming continued investment in more risky investments than Government bonds.</w:t>
      </w:r>
    </w:p>
    <w:p w:rsidR="0072488D" w:rsidRPr="0072488D"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highlight w:val="yellow"/>
        </w:rPr>
      </w:pPr>
    </w:p>
    <w:p w:rsidR="00FB0972" w:rsidRDefault="00FB0972">
      <w:pPr>
        <w:rPr>
          <w:rFonts w:ascii="Arial" w:hAnsi="Arial" w:cs="Arial"/>
          <w:b/>
          <w:snapToGrid w:val="0"/>
          <w:sz w:val="24"/>
          <w:szCs w:val="24"/>
          <w:highlight w:val="yellow"/>
        </w:rPr>
      </w:pPr>
      <w:r>
        <w:rPr>
          <w:rFonts w:ascii="Arial" w:hAnsi="Arial" w:cs="Arial"/>
          <w:b/>
          <w:snapToGrid w:val="0"/>
          <w:sz w:val="24"/>
          <w:szCs w:val="24"/>
          <w:highlight w:val="yellow"/>
        </w:rPr>
        <w:br w:type="page"/>
      </w:r>
    </w:p>
    <w:p w:rsidR="0072488D" w:rsidRPr="007C4E51" w:rsidRDefault="004424F4"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7C4E51">
        <w:rPr>
          <w:rFonts w:ascii="Arial" w:hAnsi="Arial" w:cs="Arial"/>
          <w:b/>
          <w:snapToGrid w:val="0"/>
          <w:sz w:val="24"/>
          <w:szCs w:val="24"/>
        </w:rPr>
        <w:lastRenderedPageBreak/>
        <w:t>O</w:t>
      </w:r>
      <w:r w:rsidR="0072488D" w:rsidRPr="007C4E51">
        <w:rPr>
          <w:rFonts w:ascii="Arial" w:hAnsi="Arial" w:cs="Arial"/>
          <w:b/>
          <w:snapToGrid w:val="0"/>
          <w:sz w:val="24"/>
          <w:szCs w:val="24"/>
        </w:rPr>
        <w:t>rphan liabilities</w:t>
      </w:r>
    </w:p>
    <w:p w:rsidR="0072488D" w:rsidRPr="007C4E51"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7C4E51"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7C4E51">
        <w:rPr>
          <w:rFonts w:ascii="Arial" w:hAnsi="Arial" w:cs="Arial"/>
          <w:snapToGrid w:val="0"/>
          <w:sz w:val="24"/>
          <w:szCs w:val="24"/>
        </w:rPr>
        <w:t>Where an employer is leaving the Fund and will no longer have any contributing members, and the residual liabilities are n</w:t>
      </w:r>
      <w:r w:rsidR="00512F9C" w:rsidRPr="007C4E51">
        <w:rPr>
          <w:rFonts w:ascii="Arial" w:hAnsi="Arial" w:cs="Arial"/>
          <w:snapToGrid w:val="0"/>
          <w:sz w:val="24"/>
          <w:szCs w:val="24"/>
        </w:rPr>
        <w:t>ot subsumed, the Administering A</w:t>
      </w:r>
      <w:r w:rsidRPr="007C4E51">
        <w:rPr>
          <w:rFonts w:ascii="Arial" w:hAnsi="Arial" w:cs="Arial"/>
          <w:snapToGrid w:val="0"/>
          <w:sz w:val="24"/>
          <w:szCs w:val="24"/>
        </w:rPr>
        <w:t xml:space="preserve">uthority will act on the basis that it will have no further access for funding from that employer once any cessation valuation, carried out in accordance with </w:t>
      </w:r>
      <w:r w:rsidR="00512F9C" w:rsidRPr="007C4E51">
        <w:rPr>
          <w:rFonts w:ascii="Arial" w:hAnsi="Arial" w:cs="Arial"/>
          <w:snapToGrid w:val="0"/>
          <w:sz w:val="24"/>
          <w:szCs w:val="24"/>
        </w:rPr>
        <w:t xml:space="preserve">Administration </w:t>
      </w:r>
      <w:r w:rsidRPr="007C4E51">
        <w:rPr>
          <w:rFonts w:ascii="Arial" w:hAnsi="Arial" w:cs="Arial"/>
          <w:snapToGrid w:val="0"/>
          <w:sz w:val="24"/>
          <w:szCs w:val="24"/>
        </w:rPr>
        <w:t>Regulation 38, has been completed and any sums due have been paid. Residual liabilities of employers from whom no further funding can be obtained are known as orphan liabilities.</w:t>
      </w:r>
    </w:p>
    <w:p w:rsidR="00FB0972" w:rsidRPr="007C4E51" w:rsidRDefault="00FB0972"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7C4E51" w:rsidRDefault="00FB0972"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7C4E51">
        <w:rPr>
          <w:rFonts w:ascii="Arial" w:hAnsi="Arial" w:cs="Arial"/>
          <w:snapToGrid w:val="0"/>
          <w:sz w:val="24"/>
          <w:szCs w:val="24"/>
        </w:rPr>
        <w:t>The Administering A</w:t>
      </w:r>
      <w:r w:rsidR="0072488D" w:rsidRPr="007C4E51">
        <w:rPr>
          <w:rFonts w:ascii="Arial" w:hAnsi="Arial" w:cs="Arial"/>
          <w:snapToGrid w:val="0"/>
          <w:sz w:val="24"/>
          <w:szCs w:val="24"/>
        </w:rPr>
        <w:t>uthority will seek to minimise the risk to other employers in the Fund of having to make good any deficiency arising on the orphan lia</w:t>
      </w:r>
      <w:r w:rsidR="007C4E51" w:rsidRPr="007C4E51">
        <w:rPr>
          <w:rFonts w:ascii="Arial" w:hAnsi="Arial" w:cs="Arial"/>
          <w:snapToGrid w:val="0"/>
          <w:sz w:val="24"/>
          <w:szCs w:val="24"/>
        </w:rPr>
        <w:t>bilities. To achieve this, the Administering A</w:t>
      </w:r>
      <w:r w:rsidR="0072488D" w:rsidRPr="007C4E51">
        <w:rPr>
          <w:rFonts w:ascii="Arial" w:hAnsi="Arial" w:cs="Arial"/>
          <w:snapToGrid w:val="0"/>
          <w:sz w:val="24"/>
          <w:szCs w:val="24"/>
        </w:rPr>
        <w:t>uthority will seek sufficient funding from the outgoing employer to match the liabilities with low risk investme</w:t>
      </w:r>
      <w:r w:rsidR="007C4E51" w:rsidRPr="007C4E51">
        <w:rPr>
          <w:rFonts w:ascii="Arial" w:hAnsi="Arial" w:cs="Arial"/>
          <w:snapToGrid w:val="0"/>
          <w:sz w:val="24"/>
          <w:szCs w:val="24"/>
        </w:rPr>
        <w:t>nts, generally Government fixed-</w:t>
      </w:r>
      <w:r w:rsidR="0072488D" w:rsidRPr="007C4E51">
        <w:rPr>
          <w:rFonts w:ascii="Arial" w:hAnsi="Arial" w:cs="Arial"/>
          <w:snapToGrid w:val="0"/>
          <w:sz w:val="24"/>
          <w:szCs w:val="24"/>
        </w:rPr>
        <w:t>interest and index-linked bonds.</w:t>
      </w:r>
    </w:p>
    <w:p w:rsidR="0072488D" w:rsidRPr="0072488D"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napToGrid w:val="0"/>
          <w:sz w:val="24"/>
          <w:szCs w:val="24"/>
          <w:highlight w:val="yellow"/>
        </w:rPr>
      </w:pPr>
    </w:p>
    <w:p w:rsidR="0072488D" w:rsidRPr="00B1457B" w:rsidRDefault="00B133FF"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B1457B">
        <w:rPr>
          <w:rFonts w:ascii="Arial" w:hAnsi="Arial" w:cs="Arial"/>
          <w:b/>
          <w:snapToGrid w:val="0"/>
          <w:sz w:val="24"/>
          <w:szCs w:val="24"/>
        </w:rPr>
        <w:t>Cessation of participation</w:t>
      </w:r>
    </w:p>
    <w:p w:rsidR="0072488D" w:rsidRPr="00C33B7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C33B7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33B77">
        <w:rPr>
          <w:rFonts w:ascii="Arial" w:hAnsi="Arial" w:cs="Arial"/>
          <w:snapToGrid w:val="0"/>
          <w:sz w:val="24"/>
          <w:szCs w:val="24"/>
        </w:rPr>
        <w:t xml:space="preserve">Where an admission body ceases participation, a cessation valuation will be </w:t>
      </w:r>
      <w:r w:rsidR="00343E4D" w:rsidRPr="00C33B77">
        <w:rPr>
          <w:rFonts w:ascii="Arial" w:hAnsi="Arial" w:cs="Arial"/>
          <w:snapToGrid w:val="0"/>
          <w:sz w:val="24"/>
          <w:szCs w:val="24"/>
        </w:rPr>
        <w:t>carried out in accordance with Administration R</w:t>
      </w:r>
      <w:r w:rsidRPr="00C33B77">
        <w:rPr>
          <w:rFonts w:ascii="Arial" w:hAnsi="Arial" w:cs="Arial"/>
          <w:snapToGrid w:val="0"/>
          <w:sz w:val="24"/>
          <w:szCs w:val="24"/>
        </w:rPr>
        <w:t>egulation 38 of the Local Government Pension Scheme (Administration) Regulations 2008. That valuation will take account of any activity as a consequence of cessation of participation regarding any existing contributing members (for example any bulk transfer payments due) and the status of any liabilities that will remain in the Fund.</w:t>
      </w:r>
    </w:p>
    <w:p w:rsidR="0072488D" w:rsidRPr="008457D1"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8457D1"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8457D1">
        <w:rPr>
          <w:rFonts w:ascii="Arial" w:hAnsi="Arial" w:cs="Arial"/>
          <w:snapToGrid w:val="0"/>
          <w:sz w:val="24"/>
          <w:szCs w:val="24"/>
        </w:rPr>
        <w:t>In particular, the cessation valuation will distinguish between residual liabilities which will become orphan liabilities, and liabilities which will be subsumed by other employe</w:t>
      </w:r>
      <w:r w:rsidR="008457D1" w:rsidRPr="008457D1">
        <w:rPr>
          <w:rFonts w:ascii="Arial" w:hAnsi="Arial" w:cs="Arial"/>
          <w:snapToGrid w:val="0"/>
          <w:sz w:val="24"/>
          <w:szCs w:val="24"/>
        </w:rPr>
        <w:t>rs. For orphan liabilities the Funding T</w:t>
      </w:r>
      <w:r w:rsidRPr="008457D1">
        <w:rPr>
          <w:rFonts w:ascii="Arial" w:hAnsi="Arial" w:cs="Arial"/>
          <w:snapToGrid w:val="0"/>
          <w:sz w:val="24"/>
          <w:szCs w:val="24"/>
        </w:rPr>
        <w:t>arget in the cessation valuation will anticipate investment in low risk investments such as Government bonds. For subsumed liabilities the cessation valuation will anticipate continued investment in assets similar to those held in respect of the subsuming employer's (or group of employers') liabilities.</w:t>
      </w:r>
    </w:p>
    <w:p w:rsidR="0072488D" w:rsidRPr="008457D1"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444AB4"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444AB4">
        <w:rPr>
          <w:rFonts w:ascii="Arial" w:hAnsi="Arial" w:cs="Arial"/>
          <w:snapToGrid w:val="0"/>
          <w:sz w:val="24"/>
          <w:szCs w:val="24"/>
        </w:rPr>
        <w:t xml:space="preserve">Regardless of whether the residual liabilities are orphan liabilities or subsumed liabilities, the departing employer will be expected to make good the funding obligation revealed in the cessation valuation. In other words, the fact that liabilities may become subsumed </w:t>
      </w:r>
      <w:r w:rsidR="00444AB4" w:rsidRPr="00444AB4">
        <w:rPr>
          <w:rFonts w:ascii="Arial" w:hAnsi="Arial" w:cs="Arial"/>
          <w:snapToGrid w:val="0"/>
          <w:sz w:val="24"/>
          <w:szCs w:val="24"/>
        </w:rPr>
        <w:t>liabilities does not</w:t>
      </w:r>
      <w:r w:rsidRPr="00444AB4">
        <w:rPr>
          <w:rFonts w:ascii="Arial" w:hAnsi="Arial" w:cs="Arial"/>
          <w:snapToGrid w:val="0"/>
          <w:sz w:val="24"/>
          <w:szCs w:val="24"/>
        </w:rPr>
        <w:t xml:space="preserve"> remove the possibility of a cessation payment being required.</w:t>
      </w:r>
    </w:p>
    <w:p w:rsidR="0072488D" w:rsidRPr="00EE4776"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EE4776"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EE4776">
        <w:rPr>
          <w:rFonts w:ascii="Arial" w:hAnsi="Arial" w:cs="Arial"/>
          <w:b/>
          <w:snapToGrid w:val="0"/>
          <w:sz w:val="24"/>
          <w:szCs w:val="24"/>
        </w:rPr>
        <w:t>Identification of risks and counter measures</w:t>
      </w:r>
    </w:p>
    <w:p w:rsidR="0072488D" w:rsidRPr="00EE4776"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EE4776" w:rsidRDefault="00D93C8C"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EE4776">
        <w:rPr>
          <w:rFonts w:ascii="Arial" w:hAnsi="Arial" w:cs="Arial"/>
          <w:snapToGrid w:val="0"/>
          <w:sz w:val="24"/>
          <w:szCs w:val="24"/>
        </w:rPr>
        <w:t>The Administering A</w:t>
      </w:r>
      <w:r w:rsidR="0072488D" w:rsidRPr="00EE4776">
        <w:rPr>
          <w:rFonts w:ascii="Arial" w:hAnsi="Arial" w:cs="Arial"/>
          <w:snapToGrid w:val="0"/>
          <w:sz w:val="24"/>
          <w:szCs w:val="24"/>
        </w:rPr>
        <w:t>uthority recognises that future events and investment income cannot be predicted with certainty. Instead, there is a range of possible outcomes, and different assumed outcomes will lie at different places within that range.</w:t>
      </w:r>
    </w:p>
    <w:p w:rsidR="00DF5F46" w:rsidRDefault="00DF5F46">
      <w:pPr>
        <w:rPr>
          <w:rFonts w:ascii="Arial" w:hAnsi="Arial" w:cs="Arial"/>
          <w:snapToGrid w:val="0"/>
          <w:sz w:val="24"/>
          <w:szCs w:val="24"/>
          <w:highlight w:val="yellow"/>
        </w:rPr>
      </w:pPr>
      <w:r>
        <w:rPr>
          <w:rFonts w:ascii="Arial" w:hAnsi="Arial" w:cs="Arial"/>
          <w:snapToGrid w:val="0"/>
          <w:sz w:val="24"/>
          <w:szCs w:val="24"/>
          <w:highlight w:val="yellow"/>
        </w:rPr>
        <w:br w:type="page"/>
      </w:r>
    </w:p>
    <w:p w:rsidR="0072488D" w:rsidRPr="00B27C8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B27C87">
        <w:rPr>
          <w:rFonts w:ascii="Arial" w:hAnsi="Arial" w:cs="Arial"/>
          <w:snapToGrid w:val="0"/>
          <w:sz w:val="24"/>
          <w:szCs w:val="24"/>
        </w:rPr>
        <w:lastRenderedPageBreak/>
        <w:t>The more optimistic the assumptions made</w:t>
      </w:r>
      <w:r w:rsidR="00EE4776" w:rsidRPr="00B27C87">
        <w:rPr>
          <w:rFonts w:ascii="Arial" w:hAnsi="Arial" w:cs="Arial"/>
          <w:snapToGrid w:val="0"/>
          <w:sz w:val="24"/>
          <w:szCs w:val="24"/>
        </w:rPr>
        <w:t xml:space="preserve"> in determining the Funding Target</w:t>
      </w:r>
      <w:r w:rsidRPr="00B27C87">
        <w:rPr>
          <w:rFonts w:ascii="Arial" w:hAnsi="Arial" w:cs="Arial"/>
          <w:snapToGrid w:val="0"/>
          <w:sz w:val="24"/>
          <w:szCs w:val="24"/>
        </w:rPr>
        <w:t>, the more that outcome will sit towards the 'favourable' end of the range of possible outcomes, the lower will be the probability of events actually matching or being more favourable than the assumed events, and the lower will be the Funding Target calculated using those assumptions.</w:t>
      </w:r>
    </w:p>
    <w:p w:rsidR="0072488D" w:rsidRPr="00B27C87"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A1175B" w:rsidRDefault="00B27C87"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A1175B">
        <w:rPr>
          <w:rFonts w:ascii="Arial" w:hAnsi="Arial" w:cs="Arial"/>
          <w:snapToGrid w:val="0"/>
          <w:sz w:val="24"/>
          <w:szCs w:val="24"/>
        </w:rPr>
        <w:t>The Administering A</w:t>
      </w:r>
      <w:r w:rsidR="0072488D" w:rsidRPr="00A1175B">
        <w:rPr>
          <w:rFonts w:ascii="Arial" w:hAnsi="Arial" w:cs="Arial"/>
          <w:snapToGrid w:val="0"/>
          <w:sz w:val="24"/>
          <w:szCs w:val="24"/>
        </w:rPr>
        <w:t>uthority will not adopt assumptions which, in its judgement, and on the basis of actuarial advice received, mean that it is less than 55% likely that the strategy will deliver funding success. Where the probability of fundin</w:t>
      </w:r>
      <w:r w:rsidRPr="00A1175B">
        <w:rPr>
          <w:rFonts w:ascii="Arial" w:hAnsi="Arial" w:cs="Arial"/>
          <w:snapToGrid w:val="0"/>
          <w:sz w:val="24"/>
          <w:szCs w:val="24"/>
        </w:rPr>
        <w:t>g success is less than 65% the Administering A</w:t>
      </w:r>
      <w:r w:rsidR="0072488D" w:rsidRPr="00A1175B">
        <w:rPr>
          <w:rFonts w:ascii="Arial" w:hAnsi="Arial" w:cs="Arial"/>
          <w:snapToGrid w:val="0"/>
          <w:sz w:val="24"/>
          <w:szCs w:val="24"/>
        </w:rPr>
        <w:t>uthority will not adopt assumptions which lead to a material reduction in the aggregate employer contribution rate</w:t>
      </w:r>
      <w:r w:rsidR="00A1175B" w:rsidRPr="00A1175B">
        <w:rPr>
          <w:rFonts w:ascii="Arial" w:hAnsi="Arial" w:cs="Arial"/>
          <w:snapToGrid w:val="0"/>
          <w:sz w:val="24"/>
          <w:szCs w:val="24"/>
        </w:rPr>
        <w:t xml:space="preserve"> to the Fund</w:t>
      </w:r>
      <w:r w:rsidR="0072488D" w:rsidRPr="00A1175B">
        <w:rPr>
          <w:rFonts w:ascii="Arial" w:hAnsi="Arial" w:cs="Arial"/>
          <w:snapToGrid w:val="0"/>
          <w:sz w:val="24"/>
          <w:szCs w:val="24"/>
        </w:rPr>
        <w:t>.</w:t>
      </w:r>
    </w:p>
    <w:p w:rsidR="0072488D" w:rsidRPr="00A1175B"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995F02" w:rsidRDefault="00A1175B"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995F02">
        <w:rPr>
          <w:rFonts w:ascii="Arial" w:hAnsi="Arial" w:cs="Arial"/>
          <w:snapToGrid w:val="0"/>
          <w:sz w:val="24"/>
          <w:szCs w:val="24"/>
        </w:rPr>
        <w:t>The Administering Authority</w:t>
      </w:r>
      <w:r w:rsidR="0072488D" w:rsidRPr="00995F02">
        <w:rPr>
          <w:rFonts w:ascii="Arial" w:hAnsi="Arial" w:cs="Arial"/>
          <w:snapToGrid w:val="0"/>
          <w:sz w:val="24"/>
          <w:szCs w:val="24"/>
        </w:rPr>
        <w:t>’s overall policy on risk is to identify all risks to the Fund and to consider the position both in aggregat</w:t>
      </w:r>
      <w:r w:rsidR="008D7A4A" w:rsidRPr="00995F02">
        <w:rPr>
          <w:rFonts w:ascii="Arial" w:hAnsi="Arial" w:cs="Arial"/>
          <w:snapToGrid w:val="0"/>
          <w:sz w:val="24"/>
          <w:szCs w:val="24"/>
        </w:rPr>
        <w:t>e and at individual risk level.</w:t>
      </w:r>
      <w:r w:rsidR="0072488D" w:rsidRPr="00995F02">
        <w:rPr>
          <w:rFonts w:ascii="Arial" w:hAnsi="Arial" w:cs="Arial"/>
          <w:snapToGrid w:val="0"/>
          <w:sz w:val="24"/>
          <w:szCs w:val="24"/>
        </w:rPr>
        <w:t xml:space="preserve"> Risks to the Fund will be monitored and action taken to l</w:t>
      </w:r>
      <w:r w:rsidR="008D7A4A" w:rsidRPr="00995F02">
        <w:rPr>
          <w:rFonts w:ascii="Arial" w:hAnsi="Arial" w:cs="Arial"/>
          <w:snapToGrid w:val="0"/>
          <w:sz w:val="24"/>
          <w:szCs w:val="24"/>
        </w:rPr>
        <w:t xml:space="preserve">imit them as soon as possible. </w:t>
      </w:r>
      <w:r w:rsidR="0072488D" w:rsidRPr="00995F02">
        <w:rPr>
          <w:rFonts w:ascii="Arial" w:hAnsi="Arial" w:cs="Arial"/>
          <w:snapToGrid w:val="0"/>
          <w:sz w:val="24"/>
          <w:szCs w:val="24"/>
        </w:rPr>
        <w:t>The main risks are as follows:</w:t>
      </w:r>
    </w:p>
    <w:p w:rsidR="0072488D" w:rsidRPr="00687935"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687935"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687935">
        <w:rPr>
          <w:rFonts w:ascii="Arial" w:hAnsi="Arial" w:cs="Arial"/>
          <w:b/>
          <w:snapToGrid w:val="0"/>
          <w:sz w:val="24"/>
          <w:szCs w:val="24"/>
        </w:rPr>
        <w:t>Demographic</w:t>
      </w:r>
    </w:p>
    <w:p w:rsidR="0072488D" w:rsidRPr="00687935"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687935"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935">
        <w:rPr>
          <w:rFonts w:ascii="Arial" w:hAnsi="Arial" w:cs="Arial"/>
          <w:snapToGrid w:val="0"/>
          <w:sz w:val="24"/>
          <w:szCs w:val="24"/>
        </w:rPr>
        <w:t xml:space="preserve">Demographic risks include changing retirement patterns </w:t>
      </w:r>
      <w:r w:rsidR="008D7A4A" w:rsidRPr="00687935">
        <w:rPr>
          <w:rFonts w:ascii="Arial" w:hAnsi="Arial" w:cs="Arial"/>
          <w:snapToGrid w:val="0"/>
          <w:sz w:val="24"/>
          <w:szCs w:val="24"/>
        </w:rPr>
        <w:t>and increasing life expectancy. The</w:t>
      </w:r>
      <w:r w:rsidR="00846839">
        <w:rPr>
          <w:rFonts w:ascii="Arial" w:hAnsi="Arial" w:cs="Arial"/>
          <w:snapToGrid w:val="0"/>
          <w:sz w:val="24"/>
          <w:szCs w:val="24"/>
        </w:rPr>
        <w:t xml:space="preserve"> Administering Authority</w:t>
      </w:r>
      <w:r w:rsidRPr="00687935">
        <w:rPr>
          <w:rFonts w:ascii="Arial" w:hAnsi="Arial" w:cs="Arial"/>
          <w:snapToGrid w:val="0"/>
          <w:sz w:val="24"/>
          <w:szCs w:val="24"/>
        </w:rPr>
        <w:t xml:space="preserve"> will make sure the Fund</w:t>
      </w:r>
      <w:r w:rsidR="00CC0CD3" w:rsidRPr="00687935">
        <w:rPr>
          <w:rFonts w:ascii="Arial" w:hAnsi="Arial" w:cs="Arial"/>
          <w:snapToGrid w:val="0"/>
          <w:sz w:val="24"/>
          <w:szCs w:val="24"/>
        </w:rPr>
        <w:t>’s A</w:t>
      </w:r>
      <w:r w:rsidRPr="00687935">
        <w:rPr>
          <w:rFonts w:ascii="Arial" w:hAnsi="Arial" w:cs="Arial"/>
          <w:snapToGrid w:val="0"/>
          <w:sz w:val="24"/>
          <w:szCs w:val="24"/>
        </w:rPr>
        <w:t>ctuary investigates these matters at each valuatio</w:t>
      </w:r>
      <w:r w:rsidR="008D7A4A" w:rsidRPr="00687935">
        <w:rPr>
          <w:rFonts w:ascii="Arial" w:hAnsi="Arial" w:cs="Arial"/>
          <w:snapToGrid w:val="0"/>
          <w:sz w:val="24"/>
          <w:szCs w:val="24"/>
        </w:rPr>
        <w:t xml:space="preserve">n, or more often if necessary. </w:t>
      </w:r>
      <w:r w:rsidR="00CC0CD3" w:rsidRPr="00687935">
        <w:rPr>
          <w:rFonts w:ascii="Arial" w:hAnsi="Arial" w:cs="Arial"/>
          <w:snapToGrid w:val="0"/>
          <w:sz w:val="24"/>
          <w:szCs w:val="24"/>
        </w:rPr>
        <w:t>The A</w:t>
      </w:r>
      <w:r w:rsidR="008D7A4A" w:rsidRPr="00687935">
        <w:rPr>
          <w:rFonts w:ascii="Arial" w:hAnsi="Arial" w:cs="Arial"/>
          <w:snapToGrid w:val="0"/>
          <w:sz w:val="24"/>
          <w:szCs w:val="24"/>
        </w:rPr>
        <w:t>c</w:t>
      </w:r>
      <w:r w:rsidR="00846839">
        <w:rPr>
          <w:rFonts w:ascii="Arial" w:hAnsi="Arial" w:cs="Arial"/>
          <w:snapToGrid w:val="0"/>
          <w:sz w:val="24"/>
          <w:szCs w:val="24"/>
        </w:rPr>
        <w:t>tuary will report to the Administering Authority</w:t>
      </w:r>
      <w:r w:rsidR="008D7A4A" w:rsidRPr="00687935">
        <w:rPr>
          <w:rFonts w:ascii="Arial" w:hAnsi="Arial" w:cs="Arial"/>
          <w:snapToGrid w:val="0"/>
          <w:sz w:val="24"/>
          <w:szCs w:val="24"/>
        </w:rPr>
        <w:t xml:space="preserve"> as appropriate. The</w:t>
      </w:r>
      <w:r w:rsidR="00846839">
        <w:rPr>
          <w:rFonts w:ascii="Arial" w:hAnsi="Arial" w:cs="Arial"/>
          <w:snapToGrid w:val="0"/>
          <w:sz w:val="24"/>
          <w:szCs w:val="24"/>
        </w:rPr>
        <w:t xml:space="preserve"> Administering Authority</w:t>
      </w:r>
      <w:r w:rsidR="00CC0CD3" w:rsidRPr="00687935">
        <w:rPr>
          <w:rFonts w:ascii="Arial" w:hAnsi="Arial" w:cs="Arial"/>
          <w:snapToGrid w:val="0"/>
          <w:sz w:val="24"/>
          <w:szCs w:val="24"/>
        </w:rPr>
        <w:t xml:space="preserve"> will then agree with the A</w:t>
      </w:r>
      <w:r w:rsidRPr="00687935">
        <w:rPr>
          <w:rFonts w:ascii="Arial" w:hAnsi="Arial" w:cs="Arial"/>
          <w:snapToGrid w:val="0"/>
          <w:sz w:val="24"/>
          <w:szCs w:val="24"/>
        </w:rPr>
        <w:t>ctuary any necessary changes to the assumptions used in assessing solvency.</w:t>
      </w:r>
    </w:p>
    <w:p w:rsidR="0072488D" w:rsidRPr="00687935"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687935"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87935">
        <w:rPr>
          <w:rFonts w:ascii="Arial" w:hAnsi="Arial" w:cs="Arial"/>
          <w:snapToGrid w:val="0"/>
          <w:sz w:val="24"/>
          <w:szCs w:val="24"/>
        </w:rPr>
        <w:t>If significant demographic changes become apparen</w:t>
      </w:r>
      <w:r w:rsidR="008D7A4A" w:rsidRPr="00687935">
        <w:rPr>
          <w:rFonts w:ascii="Arial" w:hAnsi="Arial" w:cs="Arial"/>
          <w:snapToGrid w:val="0"/>
          <w:sz w:val="24"/>
          <w:szCs w:val="24"/>
        </w:rPr>
        <w:t>t between valuations, the</w:t>
      </w:r>
      <w:r w:rsidR="00846839">
        <w:rPr>
          <w:rFonts w:ascii="Arial" w:hAnsi="Arial" w:cs="Arial"/>
          <w:snapToGrid w:val="0"/>
          <w:sz w:val="24"/>
          <w:szCs w:val="24"/>
        </w:rPr>
        <w:t xml:space="preserve"> Administering Authority</w:t>
      </w:r>
      <w:r w:rsidRPr="00687935">
        <w:rPr>
          <w:rFonts w:ascii="Arial" w:hAnsi="Arial" w:cs="Arial"/>
          <w:snapToGrid w:val="0"/>
          <w:sz w:val="24"/>
          <w:szCs w:val="24"/>
        </w:rPr>
        <w:t xml:space="preserve"> will notify all participating employers of the likely effect on their contributions after the next full valuation, and will review t</w:t>
      </w:r>
      <w:r w:rsidR="00687935" w:rsidRPr="00687935">
        <w:rPr>
          <w:rFonts w:ascii="Arial" w:hAnsi="Arial" w:cs="Arial"/>
          <w:snapToGrid w:val="0"/>
          <w:sz w:val="24"/>
          <w:szCs w:val="24"/>
        </w:rPr>
        <w:t>he bonds that are in place for T</w:t>
      </w:r>
      <w:r w:rsidRPr="00687935">
        <w:rPr>
          <w:rFonts w:ascii="Arial" w:hAnsi="Arial" w:cs="Arial"/>
          <w:snapToGrid w:val="0"/>
          <w:sz w:val="24"/>
          <w:szCs w:val="24"/>
        </w:rPr>
        <w:t xml:space="preserve">ransferee </w:t>
      </w:r>
      <w:r w:rsidR="00687935" w:rsidRPr="00687935">
        <w:rPr>
          <w:rFonts w:ascii="Arial" w:hAnsi="Arial" w:cs="Arial"/>
          <w:snapToGrid w:val="0"/>
          <w:sz w:val="24"/>
          <w:szCs w:val="24"/>
        </w:rPr>
        <w:t>Admission B</w:t>
      </w:r>
      <w:r w:rsidRPr="00687935">
        <w:rPr>
          <w:rFonts w:ascii="Arial" w:hAnsi="Arial" w:cs="Arial"/>
          <w:snapToGrid w:val="0"/>
          <w:sz w:val="24"/>
          <w:szCs w:val="24"/>
        </w:rPr>
        <w:t>odies.</w:t>
      </w:r>
    </w:p>
    <w:p w:rsidR="0072488D" w:rsidRPr="00C45178"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C45178"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C45178">
        <w:rPr>
          <w:rFonts w:ascii="Arial" w:hAnsi="Arial" w:cs="Arial"/>
          <w:b/>
          <w:snapToGrid w:val="0"/>
          <w:sz w:val="24"/>
          <w:szCs w:val="24"/>
        </w:rPr>
        <w:t>Regulatory</w:t>
      </w:r>
    </w:p>
    <w:p w:rsidR="0072488D" w:rsidRPr="00C45178"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C45178"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45178">
        <w:rPr>
          <w:rFonts w:ascii="Arial" w:hAnsi="Arial" w:cs="Arial"/>
          <w:snapToGrid w:val="0"/>
          <w:sz w:val="24"/>
          <w:szCs w:val="24"/>
        </w:rPr>
        <w:t>Regulatory risks relate to changes in LGPS regulations, including national pensions legislation an</w:t>
      </w:r>
      <w:r w:rsidR="008D7A4A" w:rsidRPr="00C45178">
        <w:rPr>
          <w:rFonts w:ascii="Arial" w:hAnsi="Arial" w:cs="Arial"/>
          <w:snapToGrid w:val="0"/>
          <w:sz w:val="24"/>
          <w:szCs w:val="24"/>
        </w:rPr>
        <w:t>d HM Revenue and Customs rules. The</w:t>
      </w:r>
      <w:r w:rsidR="00D94EA5" w:rsidRPr="00C45178">
        <w:rPr>
          <w:rFonts w:ascii="Arial" w:hAnsi="Arial" w:cs="Arial"/>
          <w:snapToGrid w:val="0"/>
          <w:sz w:val="24"/>
          <w:szCs w:val="24"/>
        </w:rPr>
        <w:t xml:space="preserve"> Administering Authority</w:t>
      </w:r>
      <w:r w:rsidRPr="00C45178">
        <w:rPr>
          <w:rFonts w:ascii="Arial" w:hAnsi="Arial" w:cs="Arial"/>
          <w:snapToGrid w:val="0"/>
          <w:sz w:val="24"/>
          <w:szCs w:val="24"/>
        </w:rPr>
        <w:t xml:space="preserve"> will keep abreast of all proposed changes and, whenever possible, comment on the Fund’s behalf during c</w:t>
      </w:r>
      <w:r w:rsidR="008D7A4A" w:rsidRPr="00C45178">
        <w:rPr>
          <w:rFonts w:ascii="Arial" w:hAnsi="Arial" w:cs="Arial"/>
          <w:snapToGrid w:val="0"/>
          <w:sz w:val="24"/>
          <w:szCs w:val="24"/>
        </w:rPr>
        <w:t>onsultation periods. The</w:t>
      </w:r>
      <w:r w:rsidR="00D94EA5" w:rsidRPr="00C45178">
        <w:rPr>
          <w:rFonts w:ascii="Arial" w:hAnsi="Arial" w:cs="Arial"/>
          <w:snapToGrid w:val="0"/>
          <w:sz w:val="24"/>
          <w:szCs w:val="24"/>
        </w:rPr>
        <w:t xml:space="preserve"> Administering Authority will ask the Fund’s A</w:t>
      </w:r>
      <w:r w:rsidRPr="00C45178">
        <w:rPr>
          <w:rFonts w:ascii="Arial" w:hAnsi="Arial" w:cs="Arial"/>
          <w:snapToGrid w:val="0"/>
          <w:sz w:val="24"/>
          <w:szCs w:val="24"/>
        </w:rPr>
        <w:t>ctuary to assess the effect of any changes on employers’ contribution rates.</w:t>
      </w:r>
    </w:p>
    <w:p w:rsidR="0072488D" w:rsidRPr="00C45178"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C45178" w:rsidRDefault="008D7A4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C45178">
        <w:rPr>
          <w:rFonts w:ascii="Arial" w:hAnsi="Arial" w:cs="Arial"/>
          <w:snapToGrid w:val="0"/>
          <w:sz w:val="24"/>
          <w:szCs w:val="24"/>
        </w:rPr>
        <w:t>The</w:t>
      </w:r>
      <w:r w:rsidR="00C45178">
        <w:rPr>
          <w:rFonts w:ascii="Arial" w:hAnsi="Arial" w:cs="Arial"/>
          <w:snapToGrid w:val="0"/>
          <w:sz w:val="24"/>
          <w:szCs w:val="24"/>
        </w:rPr>
        <w:t xml:space="preserve"> Administering Authority</w:t>
      </w:r>
      <w:r w:rsidR="0072488D" w:rsidRPr="00C45178">
        <w:rPr>
          <w:rFonts w:ascii="Arial" w:hAnsi="Arial" w:cs="Arial"/>
          <w:snapToGrid w:val="0"/>
          <w:sz w:val="24"/>
          <w:szCs w:val="24"/>
        </w:rPr>
        <w:t xml:space="preserve"> will then notify employers of how these rule changes are likely to affect their contribution rates at the next valuation, if they are significant.</w:t>
      </w:r>
    </w:p>
    <w:p w:rsidR="00C55D28" w:rsidRDefault="00C55D28">
      <w:pPr>
        <w:rPr>
          <w:rFonts w:ascii="Arial" w:hAnsi="Arial" w:cs="Arial"/>
          <w:snapToGrid w:val="0"/>
          <w:sz w:val="24"/>
          <w:szCs w:val="24"/>
        </w:rPr>
      </w:pPr>
      <w:r>
        <w:rPr>
          <w:rFonts w:ascii="Arial" w:hAnsi="Arial" w:cs="Arial"/>
          <w:snapToGrid w:val="0"/>
          <w:sz w:val="24"/>
          <w:szCs w:val="24"/>
        </w:rPr>
        <w:br w:type="page"/>
      </w:r>
    </w:p>
    <w:p w:rsidR="0072488D" w:rsidRPr="00554BA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554BA0">
        <w:rPr>
          <w:rFonts w:ascii="Arial" w:hAnsi="Arial" w:cs="Arial"/>
          <w:b/>
          <w:snapToGrid w:val="0"/>
          <w:sz w:val="24"/>
          <w:szCs w:val="24"/>
        </w:rPr>
        <w:lastRenderedPageBreak/>
        <w:t>Governance</w:t>
      </w:r>
    </w:p>
    <w:p w:rsidR="0072488D" w:rsidRPr="00554BA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554BA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554BA0">
        <w:rPr>
          <w:rFonts w:ascii="Arial" w:hAnsi="Arial" w:cs="Arial"/>
          <w:snapToGrid w:val="0"/>
          <w:sz w:val="24"/>
          <w:szCs w:val="24"/>
        </w:rPr>
        <w:t>This covers the risk of unexpected structural changes in the Fund’s membership (for example, if an employer closes their scheme to new entrants or if many members withdraw or groups of staff retire), and the related risk of an emplo</w:t>
      </w:r>
      <w:r w:rsidR="008D7A4A" w:rsidRPr="00554BA0">
        <w:rPr>
          <w:rFonts w:ascii="Arial" w:hAnsi="Arial" w:cs="Arial"/>
          <w:snapToGrid w:val="0"/>
          <w:sz w:val="24"/>
          <w:szCs w:val="24"/>
        </w:rPr>
        <w:t>yer failing to notify the</w:t>
      </w:r>
      <w:r w:rsidR="00554BA0" w:rsidRPr="00554BA0">
        <w:rPr>
          <w:rFonts w:ascii="Arial" w:hAnsi="Arial" w:cs="Arial"/>
          <w:snapToGrid w:val="0"/>
          <w:sz w:val="24"/>
          <w:szCs w:val="24"/>
        </w:rPr>
        <w:t xml:space="preserve"> Administering Authority</w:t>
      </w:r>
      <w:r w:rsidRPr="00554BA0">
        <w:rPr>
          <w:rFonts w:ascii="Arial" w:hAnsi="Arial" w:cs="Arial"/>
          <w:snapToGrid w:val="0"/>
          <w:sz w:val="24"/>
          <w:szCs w:val="24"/>
        </w:rPr>
        <w:t xml:space="preserve"> promptly.</w:t>
      </w:r>
    </w:p>
    <w:p w:rsidR="0072488D" w:rsidRPr="00554BA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554BA0" w:rsidRDefault="008D7A4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554BA0">
        <w:rPr>
          <w:rFonts w:ascii="Arial" w:hAnsi="Arial" w:cs="Arial"/>
          <w:snapToGrid w:val="0"/>
          <w:sz w:val="24"/>
          <w:szCs w:val="24"/>
        </w:rPr>
        <w:t xml:space="preserve">To limit this risk, the </w:t>
      </w:r>
      <w:r w:rsidR="00A652D0">
        <w:rPr>
          <w:rFonts w:ascii="Arial" w:hAnsi="Arial" w:cs="Arial"/>
          <w:snapToGrid w:val="0"/>
          <w:sz w:val="24"/>
          <w:szCs w:val="24"/>
        </w:rPr>
        <w:t>Administering Authority</w:t>
      </w:r>
      <w:r w:rsidR="0072488D" w:rsidRPr="00554BA0">
        <w:rPr>
          <w:rFonts w:ascii="Arial" w:hAnsi="Arial" w:cs="Arial"/>
          <w:snapToGrid w:val="0"/>
          <w:sz w:val="24"/>
          <w:szCs w:val="24"/>
        </w:rPr>
        <w:t xml:space="preserve"> requires the other participating employers to communicate regularly with it on such matters.</w:t>
      </w:r>
    </w:p>
    <w:p w:rsidR="0072488D" w:rsidRPr="00554BA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A652D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A652D0">
        <w:rPr>
          <w:rFonts w:ascii="Arial" w:hAnsi="Arial" w:cs="Arial"/>
          <w:b/>
          <w:snapToGrid w:val="0"/>
          <w:sz w:val="24"/>
          <w:szCs w:val="24"/>
        </w:rPr>
        <w:t>Statistical/financial</w:t>
      </w:r>
    </w:p>
    <w:p w:rsidR="0072488D" w:rsidRPr="00A652D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A652D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A652D0">
        <w:rPr>
          <w:rFonts w:ascii="Arial" w:hAnsi="Arial" w:cs="Arial"/>
          <w:snapToGrid w:val="0"/>
          <w:sz w:val="24"/>
          <w:szCs w:val="24"/>
        </w:rPr>
        <w:t>Risks to the Fund are posed by the performance of the various investment markets, the quality of the Fund’s managers, variations in pay and price inflation, and the budget constraints faced by the Fund’s employers.</w:t>
      </w:r>
    </w:p>
    <w:p w:rsidR="0072488D" w:rsidRPr="00A652D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A652D0" w:rsidRDefault="008D7A4A"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A652D0">
        <w:rPr>
          <w:rFonts w:ascii="Arial" w:hAnsi="Arial" w:cs="Arial"/>
          <w:snapToGrid w:val="0"/>
          <w:sz w:val="24"/>
          <w:szCs w:val="24"/>
        </w:rPr>
        <w:t>The</w:t>
      </w:r>
      <w:r w:rsidR="00A652D0" w:rsidRPr="00A652D0">
        <w:rPr>
          <w:rFonts w:ascii="Arial" w:hAnsi="Arial" w:cs="Arial"/>
          <w:snapToGrid w:val="0"/>
          <w:sz w:val="24"/>
          <w:szCs w:val="24"/>
        </w:rPr>
        <w:t xml:space="preserve"> Administering Authority</w:t>
      </w:r>
      <w:r w:rsidR="0072488D" w:rsidRPr="00A652D0">
        <w:rPr>
          <w:rFonts w:ascii="Arial" w:hAnsi="Arial" w:cs="Arial"/>
          <w:snapToGrid w:val="0"/>
          <w:sz w:val="24"/>
          <w:szCs w:val="24"/>
        </w:rPr>
        <w:t xml:space="preserve"> regularly </w:t>
      </w:r>
      <w:r w:rsidR="00A652D0" w:rsidRPr="00A652D0">
        <w:rPr>
          <w:rFonts w:ascii="Arial" w:hAnsi="Arial" w:cs="Arial"/>
          <w:snapToGrid w:val="0"/>
          <w:sz w:val="24"/>
          <w:szCs w:val="24"/>
        </w:rPr>
        <w:t>reviews these factors with the A</w:t>
      </w:r>
      <w:r w:rsidR="0072488D" w:rsidRPr="00A652D0">
        <w:rPr>
          <w:rFonts w:ascii="Arial" w:hAnsi="Arial" w:cs="Arial"/>
          <w:snapToGrid w:val="0"/>
          <w:sz w:val="24"/>
          <w:szCs w:val="24"/>
        </w:rPr>
        <w:t>ctuary to decide whether the assumptions for assessing solvency are still appropriate.</w:t>
      </w:r>
    </w:p>
    <w:p w:rsidR="0072488D" w:rsidRPr="00EE6EBE"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EE6EBE"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EE6EBE">
        <w:rPr>
          <w:rFonts w:ascii="Arial" w:hAnsi="Arial" w:cs="Arial"/>
          <w:b/>
          <w:snapToGrid w:val="0"/>
          <w:sz w:val="24"/>
          <w:szCs w:val="24"/>
        </w:rPr>
        <w:t>Smoothing</w:t>
      </w:r>
    </w:p>
    <w:p w:rsidR="0072488D" w:rsidRPr="00EE6EBE"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EE6EBE"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EE6EBE">
        <w:rPr>
          <w:rFonts w:ascii="Arial" w:hAnsi="Arial" w:cs="Arial"/>
          <w:snapToGrid w:val="0"/>
          <w:sz w:val="24"/>
          <w:szCs w:val="24"/>
        </w:rPr>
        <w:t>The use of a smoothing adjustment to the value of the Fund’s assets introduces an element of risk, in that the smoothing adjustment may not provide a correct meas</w:t>
      </w:r>
      <w:r w:rsidR="008D7A4A" w:rsidRPr="00EE6EBE">
        <w:rPr>
          <w:rFonts w:ascii="Arial" w:hAnsi="Arial" w:cs="Arial"/>
          <w:snapToGrid w:val="0"/>
          <w:sz w:val="24"/>
          <w:szCs w:val="24"/>
        </w:rPr>
        <w:t>ure of the underlying position.</w:t>
      </w:r>
      <w:r w:rsidRPr="00EE6EBE">
        <w:rPr>
          <w:rFonts w:ascii="Arial" w:hAnsi="Arial" w:cs="Arial"/>
          <w:snapToGrid w:val="0"/>
          <w:sz w:val="24"/>
          <w:szCs w:val="24"/>
        </w:rPr>
        <w:t xml:space="preserve"> Any adjustment is reviewed at the end of each valuation to ensure it remains within acceptable limits.</w:t>
      </w:r>
    </w:p>
    <w:p w:rsidR="0072488D" w:rsidRPr="00E378EB"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E378EB"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E378EB">
        <w:rPr>
          <w:rFonts w:ascii="Arial" w:hAnsi="Arial" w:cs="Arial"/>
          <w:b/>
          <w:snapToGrid w:val="0"/>
          <w:sz w:val="24"/>
          <w:szCs w:val="24"/>
        </w:rPr>
        <w:t xml:space="preserve">Recovery period </w:t>
      </w:r>
    </w:p>
    <w:p w:rsidR="0072488D" w:rsidRPr="00E378EB"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E378EB"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E378EB">
        <w:rPr>
          <w:rFonts w:ascii="Arial" w:hAnsi="Arial" w:cs="Arial"/>
          <w:snapToGrid w:val="0"/>
          <w:sz w:val="24"/>
          <w:szCs w:val="24"/>
        </w:rPr>
        <w:t>Allowing surpluses or defici</w:t>
      </w:r>
      <w:r w:rsidR="00EE6EBE" w:rsidRPr="00E378EB">
        <w:rPr>
          <w:rFonts w:ascii="Arial" w:hAnsi="Arial" w:cs="Arial"/>
          <w:snapToGrid w:val="0"/>
          <w:sz w:val="24"/>
          <w:szCs w:val="24"/>
        </w:rPr>
        <w:t>encies to be eliminated over a Recovery Period rather than immediately</w:t>
      </w:r>
      <w:r w:rsidR="00E378EB" w:rsidRPr="00E378EB">
        <w:rPr>
          <w:rFonts w:ascii="Arial" w:hAnsi="Arial" w:cs="Arial"/>
          <w:snapToGrid w:val="0"/>
          <w:sz w:val="24"/>
          <w:szCs w:val="24"/>
        </w:rPr>
        <w:t xml:space="preserve"> introduces</w:t>
      </w:r>
      <w:r w:rsidRPr="00E378EB">
        <w:rPr>
          <w:rFonts w:ascii="Arial" w:hAnsi="Arial" w:cs="Arial"/>
          <w:snapToGrid w:val="0"/>
          <w:sz w:val="24"/>
          <w:szCs w:val="24"/>
        </w:rPr>
        <w:t xml:space="preserve"> a risk that too little will be done to restore solvency between s</w:t>
      </w:r>
      <w:r w:rsidR="008D7A4A" w:rsidRPr="00E378EB">
        <w:rPr>
          <w:rFonts w:ascii="Arial" w:hAnsi="Arial" w:cs="Arial"/>
          <w:snapToGrid w:val="0"/>
          <w:sz w:val="24"/>
          <w:szCs w:val="24"/>
        </w:rPr>
        <w:t>uccessive actuarial valuations.</w:t>
      </w:r>
      <w:r w:rsidRPr="00E378EB">
        <w:rPr>
          <w:rFonts w:ascii="Arial" w:hAnsi="Arial" w:cs="Arial"/>
          <w:snapToGrid w:val="0"/>
          <w:sz w:val="24"/>
          <w:szCs w:val="24"/>
        </w:rPr>
        <w:t xml:space="preserve"> The associ</w:t>
      </w:r>
      <w:r w:rsidR="00E378EB" w:rsidRPr="00E378EB">
        <w:rPr>
          <w:rFonts w:ascii="Arial" w:hAnsi="Arial" w:cs="Arial"/>
          <w:snapToGrid w:val="0"/>
          <w:sz w:val="24"/>
          <w:szCs w:val="24"/>
        </w:rPr>
        <w:t>ated risk is reviewed with the A</w:t>
      </w:r>
      <w:r w:rsidRPr="00E378EB">
        <w:rPr>
          <w:rFonts w:ascii="Arial" w:hAnsi="Arial" w:cs="Arial"/>
          <w:snapToGrid w:val="0"/>
          <w:sz w:val="24"/>
          <w:szCs w:val="24"/>
        </w:rPr>
        <w:t>ctuary as part of the three-yearly valuation process, to ensure as far as possible that enou</w:t>
      </w:r>
      <w:r w:rsidR="008D7A4A" w:rsidRPr="00E378EB">
        <w:rPr>
          <w:rFonts w:ascii="Arial" w:hAnsi="Arial" w:cs="Arial"/>
          <w:snapToGrid w:val="0"/>
          <w:sz w:val="24"/>
          <w:szCs w:val="24"/>
        </w:rPr>
        <w:t>gh is done to restore solvency.</w:t>
      </w:r>
    </w:p>
    <w:p w:rsidR="0072488D" w:rsidRPr="00E378EB"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72488D" w:rsidRPr="00617A6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r w:rsidRPr="00617A60">
        <w:rPr>
          <w:rFonts w:ascii="Arial" w:hAnsi="Arial" w:cs="Arial"/>
          <w:b/>
          <w:snapToGrid w:val="0"/>
          <w:sz w:val="24"/>
          <w:szCs w:val="24"/>
        </w:rPr>
        <w:t>Stepping</w:t>
      </w:r>
    </w:p>
    <w:p w:rsidR="0072488D" w:rsidRPr="00617A6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4"/>
          <w:szCs w:val="24"/>
        </w:rPr>
      </w:pPr>
    </w:p>
    <w:p w:rsidR="0072488D" w:rsidRPr="00617A60" w:rsidRDefault="0072488D" w:rsidP="00724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617A60">
        <w:rPr>
          <w:rFonts w:ascii="Arial" w:hAnsi="Arial" w:cs="Arial"/>
          <w:snapToGrid w:val="0"/>
          <w:sz w:val="24"/>
          <w:szCs w:val="24"/>
        </w:rPr>
        <w:t>Increasing employers’ contribution rates in annual steps rather than immediately introduces a risk that too little will be done to restore solvency in the early ye</w:t>
      </w:r>
      <w:r w:rsidR="008D7A4A" w:rsidRPr="00617A60">
        <w:rPr>
          <w:rFonts w:ascii="Arial" w:hAnsi="Arial" w:cs="Arial"/>
          <w:snapToGrid w:val="0"/>
          <w:sz w:val="24"/>
          <w:szCs w:val="24"/>
        </w:rPr>
        <w:t xml:space="preserve">ars of the process. The </w:t>
      </w:r>
      <w:r w:rsidR="00AD7113" w:rsidRPr="00617A60">
        <w:rPr>
          <w:rFonts w:ascii="Arial" w:hAnsi="Arial" w:cs="Arial"/>
          <w:snapToGrid w:val="0"/>
          <w:sz w:val="24"/>
          <w:szCs w:val="24"/>
        </w:rPr>
        <w:t>Administering Authority</w:t>
      </w:r>
      <w:r w:rsidRPr="00617A60">
        <w:rPr>
          <w:rFonts w:ascii="Arial" w:hAnsi="Arial" w:cs="Arial"/>
          <w:snapToGrid w:val="0"/>
          <w:sz w:val="24"/>
          <w:szCs w:val="24"/>
        </w:rPr>
        <w:t xml:space="preserve">’s policy is to limit the number of permitted steps </w:t>
      </w:r>
      <w:r w:rsidR="00AD7113" w:rsidRPr="00617A60">
        <w:rPr>
          <w:rFonts w:ascii="Arial" w:hAnsi="Arial" w:cs="Arial"/>
          <w:snapToGrid w:val="0"/>
          <w:sz w:val="24"/>
          <w:szCs w:val="24"/>
        </w:rPr>
        <w:t>as appropriate</w:t>
      </w:r>
      <w:r w:rsidRPr="00617A60">
        <w:rPr>
          <w:rFonts w:ascii="Arial" w:hAnsi="Arial" w:cs="Arial"/>
          <w:snapToGrid w:val="0"/>
          <w:sz w:val="24"/>
          <w:szCs w:val="24"/>
        </w:rPr>
        <w:t>.</w:t>
      </w:r>
    </w:p>
    <w:p w:rsidR="00617A60" w:rsidRDefault="00617A60">
      <w:pPr>
        <w:rPr>
          <w:snapToGrid w:val="0"/>
          <w:color w:val="FF0000"/>
          <w:sz w:val="24"/>
        </w:rPr>
      </w:pPr>
      <w:r>
        <w:rPr>
          <w:snapToGrid w:val="0"/>
          <w:color w:val="FF0000"/>
          <w:sz w:val="24"/>
        </w:rPr>
        <w:br w:type="page"/>
      </w:r>
    </w:p>
    <w:p w:rsidR="00ED32F9" w:rsidRPr="00734D7A" w:rsidRDefault="006F15EC" w:rsidP="00712089">
      <w:pPr>
        <w:widowControl w:val="0"/>
        <w:tabs>
          <w:tab w:val="right" w:pos="7200"/>
        </w:tabs>
        <w:rPr>
          <w:rFonts w:ascii="Arial" w:hAnsi="Arial" w:cs="Arial"/>
          <w:b/>
          <w:sz w:val="28"/>
          <w:szCs w:val="28"/>
        </w:rPr>
      </w:pPr>
      <w:r w:rsidRPr="00734D7A">
        <w:rPr>
          <w:rFonts w:ascii="Arial" w:hAnsi="Arial" w:cs="Arial"/>
          <w:b/>
          <w:sz w:val="28"/>
          <w:szCs w:val="28"/>
        </w:rPr>
        <w:lastRenderedPageBreak/>
        <w:t>Statement of Investment Principles</w:t>
      </w:r>
    </w:p>
    <w:p w:rsidR="006F15EC" w:rsidRDefault="006F15EC" w:rsidP="00712089">
      <w:pPr>
        <w:rPr>
          <w:rFonts w:ascii="Arial" w:hAnsi="Arial" w:cs="Arial"/>
          <w:sz w:val="24"/>
          <w:szCs w:val="24"/>
        </w:rPr>
      </w:pPr>
    </w:p>
    <w:p w:rsidR="005E56DE" w:rsidRDefault="005E56DE" w:rsidP="00712089">
      <w:pPr>
        <w:rPr>
          <w:rFonts w:ascii="Arial" w:hAnsi="Arial" w:cs="Arial"/>
          <w:sz w:val="24"/>
          <w:szCs w:val="24"/>
        </w:rPr>
      </w:pPr>
    </w:p>
    <w:p w:rsidR="005E56DE" w:rsidRPr="005E56DE" w:rsidRDefault="005E56DE" w:rsidP="00712089">
      <w:pPr>
        <w:rPr>
          <w:rFonts w:ascii="Arial" w:hAnsi="Arial" w:cs="Arial"/>
          <w:b/>
          <w:sz w:val="24"/>
          <w:szCs w:val="24"/>
        </w:rPr>
      </w:pPr>
      <w:r w:rsidRPr="005E56DE">
        <w:rPr>
          <w:rFonts w:ascii="Arial" w:hAnsi="Arial" w:cs="Arial"/>
          <w:b/>
          <w:sz w:val="24"/>
          <w:szCs w:val="24"/>
        </w:rPr>
        <w:t>Introduction</w:t>
      </w:r>
    </w:p>
    <w:p w:rsidR="005E56DE" w:rsidRDefault="005E56DE" w:rsidP="00712089">
      <w:pPr>
        <w:rPr>
          <w:rFonts w:ascii="Arial" w:hAnsi="Arial" w:cs="Arial"/>
          <w:sz w:val="24"/>
          <w:szCs w:val="24"/>
        </w:rPr>
      </w:pPr>
    </w:p>
    <w:p w:rsidR="005E56DE" w:rsidRDefault="00391B52" w:rsidP="00712089">
      <w:pPr>
        <w:rPr>
          <w:rFonts w:ascii="Arial" w:hAnsi="Arial" w:cs="Arial"/>
          <w:sz w:val="24"/>
          <w:szCs w:val="24"/>
        </w:rPr>
      </w:pPr>
      <w:r>
        <w:rPr>
          <w:rFonts w:ascii="Arial" w:hAnsi="Arial" w:cs="Arial"/>
          <w:sz w:val="24"/>
          <w:szCs w:val="24"/>
        </w:rPr>
        <w:t>This is the Statement of Investment Principles (SIP) adopted by Brent Council (the Administering Authority of the Fund) in relation to the proper management of the investment of assets of the Brent Pension Fund.</w:t>
      </w:r>
    </w:p>
    <w:p w:rsidR="00391B52" w:rsidRDefault="00391B52" w:rsidP="00712089">
      <w:pPr>
        <w:rPr>
          <w:rFonts w:ascii="Arial" w:hAnsi="Arial" w:cs="Arial"/>
          <w:sz w:val="24"/>
          <w:szCs w:val="24"/>
        </w:rPr>
      </w:pPr>
    </w:p>
    <w:p w:rsidR="00391B52" w:rsidRDefault="00CD2006" w:rsidP="00712089">
      <w:pPr>
        <w:rPr>
          <w:rFonts w:ascii="Arial" w:hAnsi="Arial" w:cs="Arial"/>
          <w:sz w:val="24"/>
          <w:szCs w:val="24"/>
        </w:rPr>
      </w:pPr>
      <w:r>
        <w:rPr>
          <w:rFonts w:ascii="Arial" w:hAnsi="Arial" w:cs="Arial"/>
          <w:sz w:val="24"/>
          <w:szCs w:val="24"/>
        </w:rPr>
        <w:t>The SIP meets the requirements of the Local Government Pension Scheme (Management and Investment of Funds) Regulations 2009 (“The Regulation</w:t>
      </w:r>
      <w:r w:rsidR="00664DAE">
        <w:rPr>
          <w:rFonts w:ascii="Arial" w:hAnsi="Arial" w:cs="Arial"/>
          <w:sz w:val="24"/>
          <w:szCs w:val="24"/>
        </w:rPr>
        <w:t>s”).</w:t>
      </w:r>
    </w:p>
    <w:p w:rsidR="00E43599" w:rsidRDefault="00E43599" w:rsidP="00712089">
      <w:pPr>
        <w:rPr>
          <w:rFonts w:ascii="Arial" w:hAnsi="Arial" w:cs="Arial"/>
          <w:sz w:val="24"/>
          <w:szCs w:val="24"/>
        </w:rPr>
      </w:pPr>
    </w:p>
    <w:p w:rsidR="00E43599" w:rsidRDefault="00E43599" w:rsidP="00712089">
      <w:pPr>
        <w:rPr>
          <w:rFonts w:ascii="Arial" w:hAnsi="Arial" w:cs="Arial"/>
          <w:sz w:val="24"/>
          <w:szCs w:val="24"/>
        </w:rPr>
      </w:pPr>
      <w:r>
        <w:rPr>
          <w:rFonts w:ascii="Arial" w:hAnsi="Arial" w:cs="Arial"/>
          <w:sz w:val="24"/>
          <w:szCs w:val="24"/>
        </w:rPr>
        <w:t xml:space="preserve">The Council, as Administering Authority, decides on the investment policies most suitable to meet the liabilities of the Pension Fund and has ultimate responsibility for investment strategy. These powers are exercised on its behalf by the Council’s Pension Fund Sub-Committee which monitors investments, including manager performance, on a quarterly basis. Advice is received as required from </w:t>
      </w:r>
      <w:r w:rsidR="00157A9C">
        <w:rPr>
          <w:rFonts w:ascii="Arial" w:hAnsi="Arial" w:cs="Arial"/>
          <w:sz w:val="24"/>
          <w:szCs w:val="24"/>
        </w:rPr>
        <w:t xml:space="preserve">the officers and professional advisers. In addition, the Sub-Committee requires managers to periodically attend its meetings. The Sub-Committee is responsible for monitoring compliance with guidance given by the Secretary of State for Communities and Local </w:t>
      </w:r>
      <w:r w:rsidR="00CC7CC8">
        <w:rPr>
          <w:rFonts w:ascii="Arial" w:hAnsi="Arial" w:cs="Arial"/>
          <w:sz w:val="24"/>
          <w:szCs w:val="24"/>
        </w:rPr>
        <w:t>Government.</w:t>
      </w:r>
    </w:p>
    <w:p w:rsidR="00CC7CC8" w:rsidRDefault="00CC7CC8" w:rsidP="00712089">
      <w:pPr>
        <w:rPr>
          <w:rFonts w:ascii="Arial" w:hAnsi="Arial" w:cs="Arial"/>
          <w:sz w:val="24"/>
          <w:szCs w:val="24"/>
        </w:rPr>
      </w:pPr>
    </w:p>
    <w:p w:rsidR="0061345C" w:rsidRDefault="0054003D" w:rsidP="00712089">
      <w:pPr>
        <w:rPr>
          <w:rFonts w:ascii="Arial" w:hAnsi="Arial" w:cs="Arial"/>
          <w:sz w:val="24"/>
          <w:szCs w:val="24"/>
        </w:rPr>
      </w:pPr>
      <w:r>
        <w:rPr>
          <w:rFonts w:ascii="Arial" w:hAnsi="Arial" w:cs="Arial"/>
          <w:sz w:val="24"/>
          <w:szCs w:val="24"/>
        </w:rPr>
        <w:t>The Pension Fund Sub-Committee</w:t>
      </w:r>
      <w:r w:rsidR="001841A7">
        <w:rPr>
          <w:rFonts w:ascii="Arial" w:hAnsi="Arial" w:cs="Arial"/>
          <w:sz w:val="24"/>
          <w:szCs w:val="24"/>
        </w:rPr>
        <w:t xml:space="preserve"> has delegated the management of the Fund’s investments to professional investment managers, appointed in accordance with the LGPS regulations, whose activities are specified in either detailed investment management agreements or subscription agreements a</w:t>
      </w:r>
      <w:r w:rsidR="001D3218">
        <w:rPr>
          <w:rFonts w:ascii="Arial" w:hAnsi="Arial" w:cs="Arial"/>
          <w:sz w:val="24"/>
          <w:szCs w:val="24"/>
        </w:rPr>
        <w:t>nd regularly monitored.</w:t>
      </w:r>
    </w:p>
    <w:p w:rsidR="001D3218" w:rsidRDefault="001D3218" w:rsidP="00712089">
      <w:pPr>
        <w:rPr>
          <w:rFonts w:ascii="Arial" w:hAnsi="Arial" w:cs="Arial"/>
          <w:sz w:val="24"/>
          <w:szCs w:val="24"/>
        </w:rPr>
      </w:pPr>
    </w:p>
    <w:p w:rsidR="00D44DED" w:rsidRDefault="0000117B" w:rsidP="00712089">
      <w:pPr>
        <w:rPr>
          <w:rFonts w:ascii="Arial" w:hAnsi="Arial" w:cs="Arial"/>
          <w:sz w:val="24"/>
          <w:szCs w:val="24"/>
        </w:rPr>
      </w:pPr>
      <w:r>
        <w:rPr>
          <w:rFonts w:ascii="Arial" w:hAnsi="Arial" w:cs="Arial"/>
          <w:sz w:val="24"/>
          <w:szCs w:val="24"/>
        </w:rPr>
        <w:t>The Government and the pension fund industry have developed a set of high level principles that set a model for good practice in pension fund investment decision-making and governance. These six principles are as follows:</w:t>
      </w:r>
    </w:p>
    <w:p w:rsidR="0000117B" w:rsidRDefault="0000117B" w:rsidP="00712089">
      <w:pPr>
        <w:rPr>
          <w:rFonts w:ascii="Arial" w:hAnsi="Arial" w:cs="Arial"/>
          <w:sz w:val="24"/>
          <w:szCs w:val="24"/>
        </w:rPr>
      </w:pPr>
    </w:p>
    <w:p w:rsidR="0000117B" w:rsidRDefault="00187AD5" w:rsidP="00712089">
      <w:pPr>
        <w:pStyle w:val="ListParagraph"/>
        <w:numPr>
          <w:ilvl w:val="0"/>
          <w:numId w:val="7"/>
        </w:numPr>
        <w:rPr>
          <w:rFonts w:ascii="Arial" w:hAnsi="Arial" w:cs="Arial"/>
          <w:sz w:val="24"/>
          <w:szCs w:val="24"/>
        </w:rPr>
      </w:pPr>
      <w:r w:rsidRPr="002E5AED">
        <w:rPr>
          <w:rFonts w:ascii="Arial" w:hAnsi="Arial" w:cs="Arial"/>
          <w:sz w:val="24"/>
          <w:szCs w:val="24"/>
        </w:rPr>
        <w:t>effective decision-making</w:t>
      </w:r>
    </w:p>
    <w:p w:rsidR="0000117B" w:rsidRPr="00E620F3" w:rsidRDefault="0000117B" w:rsidP="00712089">
      <w:pPr>
        <w:rPr>
          <w:rFonts w:ascii="Arial" w:hAnsi="Arial" w:cs="Arial"/>
          <w:sz w:val="24"/>
          <w:szCs w:val="24"/>
        </w:rPr>
      </w:pPr>
    </w:p>
    <w:p w:rsidR="0000117B" w:rsidRDefault="00EC6489" w:rsidP="00712089">
      <w:pPr>
        <w:pStyle w:val="ListParagraph"/>
        <w:numPr>
          <w:ilvl w:val="0"/>
          <w:numId w:val="7"/>
        </w:numPr>
        <w:rPr>
          <w:rFonts w:ascii="Arial" w:hAnsi="Arial" w:cs="Arial"/>
          <w:sz w:val="24"/>
          <w:szCs w:val="24"/>
        </w:rPr>
      </w:pPr>
      <w:r>
        <w:rPr>
          <w:rFonts w:ascii="Arial" w:hAnsi="Arial" w:cs="Arial"/>
          <w:sz w:val="24"/>
          <w:szCs w:val="24"/>
        </w:rPr>
        <w:t>clear objectives</w:t>
      </w:r>
    </w:p>
    <w:p w:rsidR="0000117B" w:rsidRPr="00E620F3" w:rsidRDefault="0000117B" w:rsidP="00712089">
      <w:pPr>
        <w:pStyle w:val="ListParagraph"/>
        <w:rPr>
          <w:rFonts w:ascii="Arial" w:hAnsi="Arial" w:cs="Arial"/>
          <w:sz w:val="24"/>
          <w:szCs w:val="24"/>
        </w:rPr>
      </w:pPr>
    </w:p>
    <w:p w:rsidR="0000117B" w:rsidRDefault="00EC6489" w:rsidP="00712089">
      <w:pPr>
        <w:pStyle w:val="ListParagraph"/>
        <w:numPr>
          <w:ilvl w:val="0"/>
          <w:numId w:val="7"/>
        </w:numPr>
        <w:rPr>
          <w:rFonts w:ascii="Arial" w:hAnsi="Arial" w:cs="Arial"/>
          <w:sz w:val="24"/>
          <w:szCs w:val="24"/>
        </w:rPr>
      </w:pPr>
      <w:r>
        <w:rPr>
          <w:rFonts w:ascii="Arial" w:hAnsi="Arial" w:cs="Arial"/>
          <w:sz w:val="24"/>
          <w:szCs w:val="24"/>
        </w:rPr>
        <w:t>risk and liabilities</w:t>
      </w:r>
    </w:p>
    <w:p w:rsidR="0000117B" w:rsidRPr="00E620F3" w:rsidRDefault="0000117B" w:rsidP="00712089">
      <w:pPr>
        <w:pStyle w:val="ListParagraph"/>
        <w:rPr>
          <w:rFonts w:ascii="Arial" w:hAnsi="Arial" w:cs="Arial"/>
          <w:sz w:val="24"/>
          <w:szCs w:val="24"/>
        </w:rPr>
      </w:pPr>
    </w:p>
    <w:p w:rsidR="0000117B" w:rsidRDefault="00EC6489" w:rsidP="00712089">
      <w:pPr>
        <w:pStyle w:val="ListParagraph"/>
        <w:numPr>
          <w:ilvl w:val="0"/>
          <w:numId w:val="7"/>
        </w:numPr>
        <w:rPr>
          <w:rFonts w:ascii="Arial" w:hAnsi="Arial" w:cs="Arial"/>
          <w:sz w:val="24"/>
          <w:szCs w:val="24"/>
        </w:rPr>
      </w:pPr>
      <w:r>
        <w:rPr>
          <w:rFonts w:ascii="Arial" w:hAnsi="Arial" w:cs="Arial"/>
          <w:sz w:val="24"/>
          <w:szCs w:val="24"/>
        </w:rPr>
        <w:t>performance assessment</w:t>
      </w:r>
    </w:p>
    <w:p w:rsidR="0000117B" w:rsidRPr="00E620F3" w:rsidRDefault="0000117B" w:rsidP="00712089">
      <w:pPr>
        <w:pStyle w:val="ListParagraph"/>
        <w:rPr>
          <w:rFonts w:ascii="Arial" w:hAnsi="Arial" w:cs="Arial"/>
          <w:sz w:val="24"/>
          <w:szCs w:val="24"/>
        </w:rPr>
      </w:pPr>
    </w:p>
    <w:p w:rsidR="00EC6489" w:rsidRDefault="00EC6489" w:rsidP="00712089">
      <w:pPr>
        <w:pStyle w:val="ListParagraph"/>
        <w:numPr>
          <w:ilvl w:val="0"/>
          <w:numId w:val="7"/>
        </w:numPr>
        <w:rPr>
          <w:rFonts w:ascii="Arial" w:hAnsi="Arial" w:cs="Arial"/>
          <w:sz w:val="24"/>
          <w:szCs w:val="24"/>
        </w:rPr>
      </w:pPr>
      <w:r>
        <w:rPr>
          <w:rFonts w:ascii="Arial" w:hAnsi="Arial" w:cs="Arial"/>
          <w:sz w:val="24"/>
          <w:szCs w:val="24"/>
        </w:rPr>
        <w:t>responsible ownership</w:t>
      </w:r>
    </w:p>
    <w:p w:rsidR="00EC6489" w:rsidRPr="00EC6489" w:rsidRDefault="00EC6489" w:rsidP="00712089">
      <w:pPr>
        <w:pStyle w:val="ListParagraph"/>
        <w:rPr>
          <w:rFonts w:ascii="Arial" w:hAnsi="Arial" w:cs="Arial"/>
          <w:sz w:val="24"/>
          <w:szCs w:val="24"/>
        </w:rPr>
      </w:pPr>
    </w:p>
    <w:p w:rsidR="0000117B" w:rsidRPr="00E620F3" w:rsidRDefault="00142A9C" w:rsidP="00712089">
      <w:pPr>
        <w:pStyle w:val="ListParagraph"/>
        <w:numPr>
          <w:ilvl w:val="0"/>
          <w:numId w:val="7"/>
        </w:numPr>
        <w:rPr>
          <w:rFonts w:ascii="Arial" w:hAnsi="Arial" w:cs="Arial"/>
          <w:sz w:val="24"/>
          <w:szCs w:val="24"/>
        </w:rPr>
      </w:pPr>
      <w:r>
        <w:rPr>
          <w:rFonts w:ascii="Arial" w:hAnsi="Arial" w:cs="Arial"/>
          <w:sz w:val="24"/>
          <w:szCs w:val="24"/>
        </w:rPr>
        <w:t>transparency and reporting.</w:t>
      </w:r>
    </w:p>
    <w:p w:rsidR="0000117B" w:rsidRDefault="0000117B" w:rsidP="00712089">
      <w:pPr>
        <w:rPr>
          <w:rFonts w:ascii="Arial" w:hAnsi="Arial" w:cs="Arial"/>
          <w:sz w:val="24"/>
          <w:szCs w:val="24"/>
        </w:rPr>
      </w:pPr>
    </w:p>
    <w:p w:rsidR="00A74205" w:rsidRDefault="00A74205" w:rsidP="00712089">
      <w:pPr>
        <w:rPr>
          <w:rFonts w:ascii="Arial" w:hAnsi="Arial" w:cs="Arial"/>
          <w:b/>
          <w:sz w:val="24"/>
          <w:szCs w:val="24"/>
        </w:rPr>
      </w:pPr>
    </w:p>
    <w:p w:rsidR="00AA64FC" w:rsidRDefault="00AA64FC">
      <w:pPr>
        <w:rPr>
          <w:rFonts w:ascii="Arial" w:hAnsi="Arial"/>
          <w:b/>
          <w:sz w:val="24"/>
        </w:rPr>
      </w:pPr>
      <w:r>
        <w:rPr>
          <w:rFonts w:ascii="Arial" w:hAnsi="Arial"/>
          <w:b/>
          <w:sz w:val="24"/>
        </w:rPr>
        <w:br w:type="page"/>
      </w:r>
    </w:p>
    <w:p w:rsidR="00A74205" w:rsidRPr="00B77ED1" w:rsidRDefault="007C0160" w:rsidP="00712089">
      <w:pPr>
        <w:rPr>
          <w:rFonts w:ascii="Arial" w:hAnsi="Arial"/>
          <w:b/>
          <w:sz w:val="24"/>
        </w:rPr>
      </w:pPr>
      <w:r>
        <w:rPr>
          <w:rFonts w:ascii="Arial" w:hAnsi="Arial"/>
          <w:b/>
          <w:sz w:val="24"/>
        </w:rPr>
        <w:lastRenderedPageBreak/>
        <w:t>Effective decision-</w:t>
      </w:r>
      <w:r w:rsidR="00A74205" w:rsidRPr="00B77ED1">
        <w:rPr>
          <w:rFonts w:ascii="Arial" w:hAnsi="Arial"/>
          <w:b/>
          <w:sz w:val="24"/>
        </w:rPr>
        <w:t>making</w:t>
      </w:r>
    </w:p>
    <w:p w:rsidR="00A74205" w:rsidRDefault="00A74205" w:rsidP="00712089">
      <w:pPr>
        <w:rPr>
          <w:rFonts w:ascii="Arial" w:hAnsi="Arial"/>
          <w:sz w:val="24"/>
        </w:rPr>
      </w:pPr>
    </w:p>
    <w:p w:rsidR="00B24056" w:rsidRPr="00B24056" w:rsidRDefault="00A74205" w:rsidP="00712089">
      <w:pPr>
        <w:rPr>
          <w:rFonts w:ascii="Arial" w:hAnsi="Arial"/>
          <w:sz w:val="24"/>
        </w:rPr>
      </w:pPr>
      <w:r w:rsidRPr="00B24056">
        <w:rPr>
          <w:rFonts w:ascii="Arial" w:hAnsi="Arial"/>
          <w:sz w:val="24"/>
        </w:rPr>
        <w:t>Administering authorities should ensure that</w:t>
      </w:r>
      <w:r w:rsidR="00B24056" w:rsidRPr="00B24056">
        <w:rPr>
          <w:rFonts w:ascii="Arial" w:hAnsi="Arial"/>
          <w:sz w:val="24"/>
        </w:rPr>
        <w:t>:</w:t>
      </w:r>
    </w:p>
    <w:p w:rsidR="00B24056" w:rsidRDefault="00B24056" w:rsidP="00712089">
      <w:pPr>
        <w:rPr>
          <w:rFonts w:ascii="Arial" w:hAnsi="Arial"/>
          <w:i/>
          <w:sz w:val="24"/>
        </w:rPr>
      </w:pPr>
    </w:p>
    <w:p w:rsidR="00A74205" w:rsidRPr="0060529B" w:rsidRDefault="00B24056" w:rsidP="00712089">
      <w:pPr>
        <w:rPr>
          <w:rFonts w:ascii="Arial" w:hAnsi="Arial"/>
          <w:i/>
          <w:sz w:val="24"/>
        </w:rPr>
      </w:pPr>
      <w:r>
        <w:rPr>
          <w:rFonts w:ascii="Arial" w:hAnsi="Arial"/>
          <w:i/>
          <w:sz w:val="24"/>
        </w:rPr>
        <w:t>D</w:t>
      </w:r>
      <w:r w:rsidR="00A74205" w:rsidRPr="0060529B">
        <w:rPr>
          <w:rFonts w:ascii="Arial" w:hAnsi="Arial"/>
          <w:i/>
          <w:sz w:val="24"/>
        </w:rPr>
        <w:t>ecisions are taken by persons or organisations with the skills, knowledge, advice and resources necessary to make them effectively and monitor their implementation</w:t>
      </w:r>
      <w:r w:rsidR="0060529B" w:rsidRPr="0060529B">
        <w:rPr>
          <w:rFonts w:ascii="Arial" w:hAnsi="Arial"/>
          <w:i/>
          <w:sz w:val="24"/>
        </w:rPr>
        <w:t>; and</w:t>
      </w:r>
    </w:p>
    <w:p w:rsidR="0060529B" w:rsidRPr="0060529B" w:rsidRDefault="0060529B" w:rsidP="00712089">
      <w:pPr>
        <w:rPr>
          <w:rFonts w:ascii="Arial" w:hAnsi="Arial"/>
          <w:i/>
          <w:sz w:val="24"/>
        </w:rPr>
      </w:pPr>
    </w:p>
    <w:p w:rsidR="00A74205" w:rsidRPr="0060529B" w:rsidRDefault="00A74205" w:rsidP="00712089">
      <w:pPr>
        <w:rPr>
          <w:rFonts w:ascii="Arial" w:hAnsi="Arial" w:cs="Arial"/>
          <w:b/>
          <w:i/>
          <w:sz w:val="24"/>
          <w:szCs w:val="24"/>
        </w:rPr>
      </w:pPr>
      <w:r w:rsidRPr="0060529B">
        <w:rPr>
          <w:rFonts w:ascii="Arial" w:hAnsi="Arial"/>
          <w:i/>
          <w:sz w:val="24"/>
        </w:rPr>
        <w:t>Those persons or organisations have sufficient expertise to be able to evaluate and challenge the advice they receive, and manage conflicts of interest.</w:t>
      </w:r>
    </w:p>
    <w:p w:rsidR="003A5EF3" w:rsidRDefault="003A5EF3" w:rsidP="00712089">
      <w:pPr>
        <w:ind w:left="720" w:hanging="720"/>
        <w:rPr>
          <w:rFonts w:ascii="Arial" w:hAnsi="Arial"/>
          <w:sz w:val="24"/>
          <w:szCs w:val="24"/>
        </w:rPr>
      </w:pPr>
    </w:p>
    <w:p w:rsidR="0077797A" w:rsidRDefault="0077797A" w:rsidP="00712089">
      <w:pPr>
        <w:rPr>
          <w:rFonts w:ascii="Arial" w:hAnsi="Arial"/>
          <w:sz w:val="24"/>
          <w:szCs w:val="24"/>
        </w:rPr>
      </w:pPr>
      <w:r>
        <w:rPr>
          <w:rFonts w:ascii="Arial" w:hAnsi="Arial"/>
          <w:sz w:val="24"/>
          <w:szCs w:val="24"/>
        </w:rPr>
        <w:t xml:space="preserve">Brent Council is the </w:t>
      </w:r>
      <w:r>
        <w:rPr>
          <w:rFonts w:ascii="Arial" w:hAnsi="Arial" w:cs="Arial"/>
          <w:sz w:val="24"/>
          <w:szCs w:val="24"/>
        </w:rPr>
        <w:t>Administering A</w:t>
      </w:r>
      <w:r w:rsidRPr="00DE487C">
        <w:rPr>
          <w:rFonts w:ascii="Arial" w:hAnsi="Arial" w:cs="Arial"/>
          <w:sz w:val="24"/>
          <w:szCs w:val="24"/>
        </w:rPr>
        <w:t>uthority</w:t>
      </w:r>
      <w:r>
        <w:rPr>
          <w:rFonts w:ascii="Arial" w:hAnsi="Arial" w:cs="Arial"/>
          <w:sz w:val="24"/>
          <w:szCs w:val="24"/>
        </w:rPr>
        <w:t xml:space="preserve"> with overall responsibility for the Brent Pension Fund</w:t>
      </w:r>
      <w:r w:rsidR="008070E0">
        <w:rPr>
          <w:rFonts w:ascii="Arial" w:hAnsi="Arial" w:cs="Arial"/>
          <w:sz w:val="24"/>
          <w:szCs w:val="24"/>
        </w:rPr>
        <w:t>, which it delegates to its Pension Fund Sub-Committee.</w:t>
      </w:r>
    </w:p>
    <w:p w:rsidR="0077797A" w:rsidRDefault="0077797A" w:rsidP="00712089">
      <w:pPr>
        <w:ind w:left="720" w:hanging="720"/>
        <w:rPr>
          <w:rFonts w:ascii="Arial" w:hAnsi="Arial"/>
          <w:sz w:val="24"/>
          <w:szCs w:val="24"/>
        </w:rPr>
      </w:pPr>
    </w:p>
    <w:p w:rsidR="003A5EF3" w:rsidRPr="00DE487C" w:rsidRDefault="003A5EF3" w:rsidP="00712089">
      <w:pPr>
        <w:pStyle w:val="BodyText"/>
        <w:widowControl w:val="0"/>
        <w:rPr>
          <w:rFonts w:ascii="Arial" w:hAnsi="Arial" w:cs="Arial"/>
          <w:sz w:val="24"/>
          <w:szCs w:val="24"/>
        </w:rPr>
      </w:pPr>
      <w:r w:rsidRPr="00DE487C">
        <w:rPr>
          <w:rFonts w:ascii="Arial" w:hAnsi="Arial" w:cs="Arial"/>
          <w:sz w:val="24"/>
          <w:szCs w:val="24"/>
        </w:rPr>
        <w:t>Responsibilities are allocated to ensure that the managers are given authority to manage their portfolios, but that there is monitoring and review both at individual portfolio and at total Fund levels. The Pension Fund Sub-Committee at Brent Council is responsible for:</w:t>
      </w:r>
    </w:p>
    <w:p w:rsidR="003A5EF3" w:rsidRPr="00B4747C" w:rsidRDefault="003A5EF3" w:rsidP="00712089">
      <w:pPr>
        <w:widowControl w:val="0"/>
        <w:numPr>
          <w:ilvl w:val="0"/>
          <w:numId w:val="10"/>
        </w:numPr>
        <w:spacing w:after="120"/>
        <w:rPr>
          <w:rFonts w:ascii="Arial" w:hAnsi="Arial" w:cs="Arial"/>
          <w:sz w:val="24"/>
          <w:szCs w:val="24"/>
        </w:rPr>
      </w:pPr>
      <w:r>
        <w:rPr>
          <w:rFonts w:ascii="Arial" w:hAnsi="Arial" w:cs="Arial"/>
          <w:sz w:val="24"/>
          <w:szCs w:val="24"/>
        </w:rPr>
        <w:t>d</w:t>
      </w:r>
      <w:r w:rsidRPr="00B4747C">
        <w:rPr>
          <w:rFonts w:ascii="Arial" w:hAnsi="Arial" w:cs="Arial"/>
          <w:sz w:val="24"/>
          <w:szCs w:val="24"/>
        </w:rPr>
        <w:t>etermining the overall investment strategy and str</w:t>
      </w:r>
      <w:r>
        <w:rPr>
          <w:rFonts w:ascii="Arial" w:hAnsi="Arial" w:cs="Arial"/>
          <w:sz w:val="24"/>
          <w:szCs w:val="24"/>
        </w:rPr>
        <w:t>ategic asset allocation</w:t>
      </w:r>
    </w:p>
    <w:p w:rsidR="003A5EF3" w:rsidRPr="00B4747C" w:rsidRDefault="003A5EF3" w:rsidP="00712089">
      <w:pPr>
        <w:widowControl w:val="0"/>
        <w:numPr>
          <w:ilvl w:val="0"/>
          <w:numId w:val="10"/>
        </w:numPr>
        <w:spacing w:after="120"/>
        <w:rPr>
          <w:rFonts w:ascii="Arial" w:hAnsi="Arial" w:cs="Arial"/>
          <w:sz w:val="24"/>
          <w:szCs w:val="24"/>
        </w:rPr>
      </w:pPr>
      <w:r>
        <w:rPr>
          <w:rFonts w:ascii="Arial" w:hAnsi="Arial" w:cs="Arial"/>
          <w:sz w:val="24"/>
          <w:szCs w:val="24"/>
        </w:rPr>
        <w:t>a</w:t>
      </w:r>
      <w:r w:rsidRPr="00B4747C">
        <w:rPr>
          <w:rFonts w:ascii="Arial" w:hAnsi="Arial" w:cs="Arial"/>
          <w:sz w:val="24"/>
          <w:szCs w:val="24"/>
        </w:rPr>
        <w:t>ppointin</w:t>
      </w:r>
      <w:r>
        <w:rPr>
          <w:rFonts w:ascii="Arial" w:hAnsi="Arial" w:cs="Arial"/>
          <w:sz w:val="24"/>
          <w:szCs w:val="24"/>
        </w:rPr>
        <w:t>g the investment managers, the I</w:t>
      </w:r>
      <w:r w:rsidRPr="00B4747C">
        <w:rPr>
          <w:rFonts w:ascii="Arial" w:hAnsi="Arial" w:cs="Arial"/>
          <w:sz w:val="24"/>
          <w:szCs w:val="24"/>
        </w:rPr>
        <w:t>nde</w:t>
      </w:r>
      <w:r>
        <w:rPr>
          <w:rFonts w:ascii="Arial" w:hAnsi="Arial" w:cs="Arial"/>
          <w:sz w:val="24"/>
          <w:szCs w:val="24"/>
        </w:rPr>
        <w:t>pendent Adviser and the Actuary</w:t>
      </w:r>
    </w:p>
    <w:p w:rsidR="003A5EF3" w:rsidRPr="00B4747C" w:rsidRDefault="003A5EF3" w:rsidP="00712089">
      <w:pPr>
        <w:widowControl w:val="0"/>
        <w:numPr>
          <w:ilvl w:val="0"/>
          <w:numId w:val="10"/>
        </w:numPr>
        <w:rPr>
          <w:rFonts w:ascii="Arial" w:hAnsi="Arial" w:cs="Arial"/>
          <w:sz w:val="24"/>
          <w:szCs w:val="24"/>
        </w:rPr>
      </w:pPr>
      <w:r>
        <w:rPr>
          <w:rFonts w:ascii="Arial" w:hAnsi="Arial" w:cs="Arial"/>
          <w:sz w:val="24"/>
          <w:szCs w:val="24"/>
        </w:rPr>
        <w:t>r</w:t>
      </w:r>
      <w:r w:rsidRPr="00B4747C">
        <w:rPr>
          <w:rFonts w:ascii="Arial" w:hAnsi="Arial" w:cs="Arial"/>
          <w:sz w:val="24"/>
          <w:szCs w:val="24"/>
        </w:rPr>
        <w:t>eviewing investment manager performance and processes regularly.</w:t>
      </w:r>
    </w:p>
    <w:p w:rsidR="003A5EF3" w:rsidRDefault="003A5EF3" w:rsidP="00712089">
      <w:pPr>
        <w:ind w:left="720" w:hanging="720"/>
        <w:rPr>
          <w:rFonts w:ascii="Arial" w:hAnsi="Arial" w:cs="Arial"/>
          <w:sz w:val="24"/>
          <w:szCs w:val="24"/>
        </w:rPr>
      </w:pPr>
    </w:p>
    <w:p w:rsidR="003A5EF3" w:rsidRPr="00B4747C" w:rsidRDefault="003A5EF3" w:rsidP="00712089">
      <w:pPr>
        <w:tabs>
          <w:tab w:val="left" w:pos="-1440"/>
        </w:tabs>
        <w:rPr>
          <w:rFonts w:ascii="Arial" w:hAnsi="Arial" w:cs="Arial"/>
          <w:sz w:val="24"/>
          <w:szCs w:val="24"/>
        </w:rPr>
      </w:pPr>
      <w:r w:rsidRPr="00B4747C">
        <w:rPr>
          <w:rFonts w:ascii="Arial" w:hAnsi="Arial" w:cs="Arial"/>
          <w:sz w:val="24"/>
          <w:szCs w:val="24"/>
        </w:rPr>
        <w:t>As well as co</w:t>
      </w:r>
      <w:r>
        <w:rPr>
          <w:rFonts w:ascii="Arial" w:hAnsi="Arial" w:cs="Arial"/>
          <w:sz w:val="24"/>
          <w:szCs w:val="24"/>
        </w:rPr>
        <w:t>uncillors, the Pension Fund Sub-</w:t>
      </w:r>
      <w:r w:rsidRPr="00B4747C">
        <w:rPr>
          <w:rFonts w:ascii="Arial" w:hAnsi="Arial" w:cs="Arial"/>
          <w:sz w:val="24"/>
          <w:szCs w:val="24"/>
        </w:rPr>
        <w:t>Committee includes representatives of a large employer (the College of North West London) and of employees (the GMBU) as non-voting, but participating, observers.</w:t>
      </w:r>
    </w:p>
    <w:p w:rsidR="003A5EF3" w:rsidRPr="00B4747C" w:rsidRDefault="003A5EF3" w:rsidP="00712089">
      <w:pPr>
        <w:tabs>
          <w:tab w:val="left" w:pos="-1440"/>
        </w:tabs>
        <w:ind w:left="720" w:hanging="578"/>
        <w:rPr>
          <w:rFonts w:ascii="Arial" w:hAnsi="Arial" w:cs="Arial"/>
          <w:sz w:val="24"/>
          <w:szCs w:val="24"/>
        </w:rPr>
      </w:pPr>
    </w:p>
    <w:p w:rsidR="003A5EF3" w:rsidRPr="00DB119E" w:rsidRDefault="003A5EF3" w:rsidP="00712089">
      <w:pPr>
        <w:rPr>
          <w:rFonts w:ascii="Arial" w:hAnsi="Arial" w:cs="Arial"/>
          <w:sz w:val="24"/>
          <w:szCs w:val="24"/>
        </w:rPr>
      </w:pPr>
      <w:r>
        <w:rPr>
          <w:rFonts w:ascii="Arial" w:hAnsi="Arial" w:cs="Arial"/>
          <w:sz w:val="24"/>
          <w:szCs w:val="24"/>
        </w:rPr>
        <w:t xml:space="preserve">The </w:t>
      </w:r>
      <w:r w:rsidRPr="00DB119E">
        <w:rPr>
          <w:rFonts w:ascii="Arial" w:hAnsi="Arial" w:cs="Arial"/>
          <w:sz w:val="24"/>
          <w:szCs w:val="24"/>
        </w:rPr>
        <w:t>Chair of the Pension Fund Sub-Committee is responsible for ensuring that councillors taking investment decisions are familiar with investment issues and that the Pension Fund Sub-Committee has sufficient members for that purpose.</w:t>
      </w:r>
    </w:p>
    <w:p w:rsidR="003A5EF3" w:rsidRDefault="003A5EF3" w:rsidP="00712089">
      <w:pPr>
        <w:pStyle w:val="ListParagraph"/>
        <w:rPr>
          <w:rFonts w:ascii="Arial" w:hAnsi="Arial" w:cs="Arial"/>
          <w:sz w:val="24"/>
          <w:szCs w:val="24"/>
        </w:rPr>
      </w:pPr>
    </w:p>
    <w:p w:rsidR="003A5EF3" w:rsidRPr="009F3787" w:rsidRDefault="00B41E86" w:rsidP="00712089">
      <w:pPr>
        <w:rPr>
          <w:rFonts w:ascii="Arial" w:hAnsi="Arial" w:cs="Arial"/>
          <w:sz w:val="24"/>
          <w:szCs w:val="24"/>
        </w:rPr>
      </w:pPr>
      <w:r>
        <w:rPr>
          <w:rFonts w:ascii="Arial" w:hAnsi="Arial" w:cs="Arial"/>
          <w:sz w:val="24"/>
          <w:szCs w:val="24"/>
        </w:rPr>
        <w:t>M</w:t>
      </w:r>
      <w:r w:rsidRPr="009F3787">
        <w:rPr>
          <w:rFonts w:ascii="Arial" w:hAnsi="Arial" w:cs="Arial"/>
          <w:sz w:val="24"/>
          <w:szCs w:val="24"/>
        </w:rPr>
        <w:t>embers of the Pension Fund Sub-Committee</w:t>
      </w:r>
      <w:r>
        <w:rPr>
          <w:rFonts w:ascii="Arial" w:hAnsi="Arial" w:cs="Arial"/>
          <w:sz w:val="24"/>
          <w:szCs w:val="24"/>
        </w:rPr>
        <w:t xml:space="preserve"> </w:t>
      </w:r>
      <w:r w:rsidR="00602B6C">
        <w:rPr>
          <w:rFonts w:ascii="Arial" w:hAnsi="Arial" w:cs="Arial"/>
          <w:sz w:val="24"/>
          <w:szCs w:val="24"/>
        </w:rPr>
        <w:t xml:space="preserve">are encouraged to </w:t>
      </w:r>
      <w:r w:rsidR="00FE3685">
        <w:rPr>
          <w:rFonts w:ascii="Arial" w:hAnsi="Arial" w:cs="Arial"/>
          <w:sz w:val="24"/>
          <w:szCs w:val="24"/>
        </w:rPr>
        <w:t>u</w:t>
      </w:r>
      <w:r>
        <w:rPr>
          <w:rFonts w:ascii="Arial" w:hAnsi="Arial" w:cs="Arial"/>
          <w:sz w:val="24"/>
          <w:szCs w:val="24"/>
        </w:rPr>
        <w:t xml:space="preserve">ndertake </w:t>
      </w:r>
      <w:r w:rsidR="003A5EF3" w:rsidRPr="009F3787">
        <w:rPr>
          <w:rFonts w:ascii="Arial" w:hAnsi="Arial" w:cs="Arial"/>
          <w:sz w:val="24"/>
          <w:szCs w:val="24"/>
        </w:rPr>
        <w:t xml:space="preserve">learning and development </w:t>
      </w:r>
      <w:r>
        <w:rPr>
          <w:rFonts w:ascii="Arial" w:hAnsi="Arial" w:cs="Arial"/>
          <w:sz w:val="24"/>
          <w:szCs w:val="24"/>
        </w:rPr>
        <w:t>activities on a regular basis</w:t>
      </w:r>
      <w:r w:rsidR="00F61F80">
        <w:rPr>
          <w:rFonts w:ascii="Arial" w:hAnsi="Arial" w:cs="Arial"/>
          <w:sz w:val="24"/>
          <w:szCs w:val="24"/>
        </w:rPr>
        <w:t xml:space="preserve"> to suitably equip them to undertake</w:t>
      </w:r>
      <w:r w:rsidR="00602B6C">
        <w:rPr>
          <w:rFonts w:ascii="Arial" w:hAnsi="Arial" w:cs="Arial"/>
          <w:sz w:val="24"/>
          <w:szCs w:val="24"/>
        </w:rPr>
        <w:t xml:space="preserve"> their role</w:t>
      </w:r>
      <w:r>
        <w:rPr>
          <w:rFonts w:ascii="Arial" w:hAnsi="Arial" w:cs="Arial"/>
          <w:sz w:val="24"/>
          <w:szCs w:val="24"/>
        </w:rPr>
        <w:t>.</w:t>
      </w:r>
      <w:r w:rsidR="003A5EF3" w:rsidRPr="009F3787">
        <w:rPr>
          <w:rFonts w:ascii="Arial" w:hAnsi="Arial" w:cs="Arial"/>
          <w:sz w:val="24"/>
          <w:szCs w:val="24"/>
        </w:rPr>
        <w:t xml:space="preserve"> In particular, there will be regular training opportunities through </w:t>
      </w:r>
      <w:r w:rsidR="003A5EF3">
        <w:rPr>
          <w:rFonts w:ascii="Arial" w:hAnsi="Arial" w:cs="Arial"/>
          <w:sz w:val="24"/>
          <w:szCs w:val="24"/>
        </w:rPr>
        <w:t>attendance at conferences and seminars,</w:t>
      </w:r>
      <w:r w:rsidR="00F722AD">
        <w:rPr>
          <w:rFonts w:ascii="Arial" w:hAnsi="Arial" w:cs="Arial"/>
          <w:sz w:val="24"/>
          <w:szCs w:val="24"/>
        </w:rPr>
        <w:t xml:space="preserve"> and </w:t>
      </w:r>
      <w:r w:rsidR="003A5EF3" w:rsidRPr="009F3787">
        <w:rPr>
          <w:rFonts w:ascii="Arial" w:hAnsi="Arial" w:cs="Arial"/>
          <w:sz w:val="24"/>
          <w:szCs w:val="24"/>
        </w:rPr>
        <w:t xml:space="preserve">training sessions </w:t>
      </w:r>
      <w:r w:rsidR="00F722AD">
        <w:rPr>
          <w:rFonts w:ascii="Arial" w:hAnsi="Arial" w:cs="Arial"/>
          <w:sz w:val="24"/>
          <w:szCs w:val="24"/>
        </w:rPr>
        <w:t xml:space="preserve">provided by </w:t>
      </w:r>
      <w:r w:rsidR="00936DBD">
        <w:rPr>
          <w:rFonts w:ascii="Arial" w:hAnsi="Arial" w:cs="Arial"/>
          <w:sz w:val="24"/>
          <w:szCs w:val="24"/>
        </w:rPr>
        <w:t xml:space="preserve">the </w:t>
      </w:r>
      <w:r w:rsidR="00F722AD">
        <w:rPr>
          <w:rFonts w:ascii="Arial" w:hAnsi="Arial" w:cs="Arial"/>
          <w:sz w:val="24"/>
          <w:szCs w:val="24"/>
        </w:rPr>
        <w:t>incumbent</w:t>
      </w:r>
      <w:r w:rsidR="00936DBD">
        <w:rPr>
          <w:rFonts w:ascii="Arial" w:hAnsi="Arial" w:cs="Arial"/>
          <w:sz w:val="24"/>
          <w:szCs w:val="24"/>
        </w:rPr>
        <w:t xml:space="preserve"> investment fund managers at</w:t>
      </w:r>
      <w:r w:rsidR="00F722AD">
        <w:rPr>
          <w:rFonts w:ascii="Arial" w:hAnsi="Arial" w:cs="Arial"/>
          <w:sz w:val="24"/>
          <w:szCs w:val="24"/>
        </w:rPr>
        <w:t xml:space="preserve"> </w:t>
      </w:r>
      <w:r w:rsidR="00936DBD">
        <w:rPr>
          <w:rFonts w:ascii="Arial" w:hAnsi="Arial" w:cs="Arial"/>
          <w:sz w:val="24"/>
          <w:szCs w:val="24"/>
        </w:rPr>
        <w:t xml:space="preserve">the quarterly </w:t>
      </w:r>
      <w:r w:rsidR="00F722AD">
        <w:rPr>
          <w:rFonts w:ascii="Arial" w:hAnsi="Arial" w:cs="Arial"/>
          <w:sz w:val="24"/>
          <w:szCs w:val="24"/>
        </w:rPr>
        <w:t>Pension Fund</w:t>
      </w:r>
      <w:r w:rsidR="003D12C4">
        <w:rPr>
          <w:rFonts w:ascii="Arial" w:hAnsi="Arial" w:cs="Arial"/>
          <w:sz w:val="24"/>
          <w:szCs w:val="24"/>
        </w:rPr>
        <w:t xml:space="preserve"> Sub-Committee meetings.</w:t>
      </w:r>
    </w:p>
    <w:p w:rsidR="003A5EF3" w:rsidRDefault="003A5EF3" w:rsidP="00712089">
      <w:pPr>
        <w:pStyle w:val="ListParagraph"/>
        <w:rPr>
          <w:rFonts w:ascii="Arial" w:hAnsi="Arial" w:cs="Arial"/>
          <w:sz w:val="24"/>
          <w:szCs w:val="24"/>
        </w:rPr>
      </w:pPr>
    </w:p>
    <w:p w:rsidR="003A5EF3" w:rsidRPr="00406015" w:rsidRDefault="003A5EF3" w:rsidP="00712089">
      <w:pPr>
        <w:rPr>
          <w:rFonts w:ascii="Arial" w:hAnsi="Arial" w:cs="Arial"/>
          <w:sz w:val="24"/>
          <w:szCs w:val="24"/>
        </w:rPr>
      </w:pPr>
      <w:r w:rsidRPr="00406015">
        <w:rPr>
          <w:rFonts w:ascii="Arial" w:hAnsi="Arial" w:cs="Arial"/>
          <w:sz w:val="24"/>
          <w:szCs w:val="24"/>
        </w:rPr>
        <w:t xml:space="preserve">The Pension Fund Sub-Committee takes proper advice </w:t>
      </w:r>
      <w:r w:rsidRPr="00406015">
        <w:rPr>
          <w:rFonts w:ascii="Arial" w:hAnsi="Arial"/>
          <w:sz w:val="24"/>
        </w:rPr>
        <w:t xml:space="preserve">from persons who are reasonably believed to be qualified by their ability in and practical experience of investment matters to enable them to fulfil their </w:t>
      </w:r>
      <w:r w:rsidRPr="00406015">
        <w:rPr>
          <w:rFonts w:ascii="Arial" w:hAnsi="Arial" w:cs="Arial"/>
          <w:sz w:val="24"/>
          <w:szCs w:val="24"/>
        </w:rPr>
        <w:t>overall responsibility for the management of the Fund and its investment strategy, and individual decisions about investments.</w:t>
      </w:r>
    </w:p>
    <w:p w:rsidR="003A5EF3" w:rsidRDefault="003A5EF3" w:rsidP="00712089">
      <w:pPr>
        <w:rPr>
          <w:rFonts w:ascii="Arial" w:hAnsi="Arial" w:cs="Arial"/>
          <w:sz w:val="24"/>
          <w:szCs w:val="24"/>
        </w:rPr>
      </w:pPr>
    </w:p>
    <w:p w:rsidR="00F61F80" w:rsidRDefault="00F61F80">
      <w:pPr>
        <w:rPr>
          <w:rFonts w:ascii="Arial" w:hAnsi="Arial" w:cs="Arial"/>
          <w:sz w:val="24"/>
          <w:szCs w:val="24"/>
        </w:rPr>
      </w:pPr>
      <w:r>
        <w:rPr>
          <w:rFonts w:ascii="Arial" w:hAnsi="Arial" w:cs="Arial"/>
          <w:sz w:val="24"/>
          <w:szCs w:val="24"/>
        </w:rPr>
        <w:br w:type="page"/>
      </w:r>
    </w:p>
    <w:p w:rsidR="003A5EF3" w:rsidRDefault="00CC7CC8" w:rsidP="00712089">
      <w:pPr>
        <w:rPr>
          <w:rFonts w:ascii="Arial" w:hAnsi="Arial" w:cs="Arial"/>
          <w:sz w:val="24"/>
          <w:szCs w:val="24"/>
        </w:rPr>
      </w:pPr>
      <w:r>
        <w:rPr>
          <w:rFonts w:ascii="Arial" w:hAnsi="Arial" w:cs="Arial"/>
          <w:sz w:val="24"/>
          <w:szCs w:val="24"/>
        </w:rPr>
        <w:lastRenderedPageBreak/>
        <w:t>The Chief Finance</w:t>
      </w:r>
      <w:r w:rsidR="00316A55">
        <w:rPr>
          <w:rFonts w:ascii="Arial" w:hAnsi="Arial" w:cs="Arial"/>
          <w:sz w:val="24"/>
          <w:szCs w:val="24"/>
        </w:rPr>
        <w:t xml:space="preserve"> Officer</w:t>
      </w:r>
      <w:r w:rsidR="003A5EF3" w:rsidRPr="005C7B7F">
        <w:rPr>
          <w:rFonts w:ascii="Arial" w:hAnsi="Arial" w:cs="Arial"/>
          <w:sz w:val="24"/>
          <w:szCs w:val="24"/>
        </w:rPr>
        <w:t xml:space="preserve"> at Brent Council is responsible for:</w:t>
      </w:r>
    </w:p>
    <w:p w:rsidR="003A5EF3" w:rsidRPr="005C7B7F" w:rsidRDefault="003A5EF3" w:rsidP="00712089">
      <w:pPr>
        <w:rPr>
          <w:rFonts w:ascii="Arial" w:hAnsi="Arial" w:cs="Arial"/>
          <w:sz w:val="24"/>
          <w:szCs w:val="24"/>
        </w:rPr>
      </w:pPr>
    </w:p>
    <w:p w:rsidR="003A5EF3" w:rsidRPr="00B4747C" w:rsidRDefault="003A5EF3" w:rsidP="00712089">
      <w:pPr>
        <w:widowControl w:val="0"/>
        <w:numPr>
          <w:ilvl w:val="1"/>
          <w:numId w:val="20"/>
        </w:numPr>
        <w:tabs>
          <w:tab w:val="clear" w:pos="1440"/>
          <w:tab w:val="num" w:pos="709"/>
        </w:tabs>
        <w:spacing w:after="120"/>
        <w:ind w:left="709" w:firstLine="0"/>
        <w:rPr>
          <w:rFonts w:ascii="Arial" w:hAnsi="Arial" w:cs="Arial"/>
          <w:sz w:val="24"/>
          <w:szCs w:val="24"/>
        </w:rPr>
      </w:pPr>
      <w:r>
        <w:rPr>
          <w:rFonts w:ascii="Arial" w:hAnsi="Arial" w:cs="Arial"/>
          <w:sz w:val="24"/>
          <w:szCs w:val="24"/>
        </w:rPr>
        <w:t>a</w:t>
      </w:r>
      <w:r w:rsidRPr="00B4747C">
        <w:rPr>
          <w:rFonts w:ascii="Arial" w:hAnsi="Arial" w:cs="Arial"/>
          <w:sz w:val="24"/>
          <w:szCs w:val="24"/>
        </w:rPr>
        <w:t xml:space="preserve">dvising and reporting to the Pension Fund </w:t>
      </w:r>
      <w:r>
        <w:rPr>
          <w:rFonts w:ascii="Arial" w:hAnsi="Arial" w:cs="Arial"/>
          <w:sz w:val="24"/>
          <w:szCs w:val="24"/>
        </w:rPr>
        <w:t>Sub-</w:t>
      </w:r>
      <w:r w:rsidRPr="00B4747C">
        <w:rPr>
          <w:rFonts w:ascii="Arial" w:hAnsi="Arial" w:cs="Arial"/>
          <w:sz w:val="24"/>
          <w:szCs w:val="24"/>
        </w:rPr>
        <w:t>Comm</w:t>
      </w:r>
      <w:r>
        <w:rPr>
          <w:rFonts w:ascii="Arial" w:hAnsi="Arial" w:cs="Arial"/>
          <w:sz w:val="24"/>
          <w:szCs w:val="24"/>
        </w:rPr>
        <w:t>ittee</w:t>
      </w:r>
    </w:p>
    <w:p w:rsidR="003A5EF3" w:rsidRPr="00A13D66" w:rsidRDefault="003A5EF3" w:rsidP="00712089">
      <w:pPr>
        <w:widowControl w:val="0"/>
        <w:numPr>
          <w:ilvl w:val="1"/>
          <w:numId w:val="20"/>
        </w:numPr>
        <w:tabs>
          <w:tab w:val="clear" w:pos="1440"/>
          <w:tab w:val="num" w:pos="709"/>
        </w:tabs>
        <w:spacing w:after="120"/>
        <w:ind w:hanging="731"/>
        <w:rPr>
          <w:rFonts w:ascii="Arial" w:hAnsi="Arial" w:cs="Arial"/>
          <w:sz w:val="24"/>
          <w:szCs w:val="24"/>
        </w:rPr>
      </w:pPr>
      <w:r>
        <w:rPr>
          <w:rFonts w:ascii="Arial" w:hAnsi="Arial" w:cs="Arial"/>
          <w:sz w:val="24"/>
          <w:szCs w:val="24"/>
        </w:rPr>
        <w:t>r</w:t>
      </w:r>
      <w:r w:rsidRPr="00B4747C">
        <w:rPr>
          <w:rFonts w:ascii="Arial" w:hAnsi="Arial" w:cs="Arial"/>
          <w:sz w:val="24"/>
          <w:szCs w:val="24"/>
        </w:rPr>
        <w:t>eviewing the activities of the investm</w:t>
      </w:r>
      <w:r>
        <w:rPr>
          <w:rFonts w:ascii="Arial" w:hAnsi="Arial" w:cs="Arial"/>
          <w:sz w:val="24"/>
          <w:szCs w:val="24"/>
        </w:rPr>
        <w:t>ent managers on a regular basis</w:t>
      </w:r>
    </w:p>
    <w:p w:rsidR="003A5EF3" w:rsidRPr="00AF39F1" w:rsidRDefault="003A5EF3" w:rsidP="00712089">
      <w:pPr>
        <w:widowControl w:val="0"/>
        <w:numPr>
          <w:ilvl w:val="1"/>
          <w:numId w:val="20"/>
        </w:numPr>
        <w:tabs>
          <w:tab w:val="clear" w:pos="1440"/>
          <w:tab w:val="num" w:pos="709"/>
        </w:tabs>
        <w:spacing w:after="120"/>
        <w:ind w:hanging="731"/>
        <w:rPr>
          <w:rFonts w:ascii="Arial" w:hAnsi="Arial" w:cs="Arial"/>
          <w:sz w:val="24"/>
          <w:szCs w:val="24"/>
        </w:rPr>
      </w:pPr>
      <w:r>
        <w:rPr>
          <w:rFonts w:ascii="Arial" w:hAnsi="Arial" w:cs="Arial"/>
          <w:sz w:val="24"/>
          <w:szCs w:val="24"/>
        </w:rPr>
        <w:t>k</w:t>
      </w:r>
      <w:r w:rsidRPr="00B4747C">
        <w:rPr>
          <w:rFonts w:ascii="Arial" w:hAnsi="Arial" w:cs="Arial"/>
          <w:sz w:val="24"/>
          <w:szCs w:val="24"/>
        </w:rPr>
        <w:t>eeping the accounts for the Fund and manag</w:t>
      </w:r>
      <w:r>
        <w:rPr>
          <w:rFonts w:ascii="Arial" w:hAnsi="Arial" w:cs="Arial"/>
          <w:sz w:val="24"/>
          <w:szCs w:val="24"/>
        </w:rPr>
        <w:t xml:space="preserve">ing cash flow to distribute </w:t>
      </w:r>
      <w:r w:rsidRPr="00B4747C">
        <w:rPr>
          <w:rFonts w:ascii="Arial" w:hAnsi="Arial" w:cs="Arial"/>
          <w:sz w:val="24"/>
          <w:szCs w:val="24"/>
        </w:rPr>
        <w:t>new money to managers.</w:t>
      </w:r>
    </w:p>
    <w:p w:rsidR="003A5EF3" w:rsidRPr="000F14EA" w:rsidRDefault="003A5EF3" w:rsidP="00712089">
      <w:pPr>
        <w:widowControl w:val="0"/>
        <w:spacing w:after="120"/>
        <w:rPr>
          <w:rFonts w:ascii="Arial" w:hAnsi="Arial" w:cs="Arial"/>
          <w:sz w:val="24"/>
          <w:szCs w:val="24"/>
        </w:rPr>
      </w:pPr>
      <w:r>
        <w:rPr>
          <w:rFonts w:ascii="Arial" w:hAnsi="Arial" w:cs="Arial"/>
          <w:sz w:val="24"/>
          <w:szCs w:val="24"/>
        </w:rPr>
        <w:t xml:space="preserve">The </w:t>
      </w:r>
      <w:r w:rsidRPr="000F14EA">
        <w:rPr>
          <w:rFonts w:ascii="Arial" w:hAnsi="Arial" w:cs="Arial"/>
          <w:sz w:val="24"/>
          <w:szCs w:val="24"/>
        </w:rPr>
        <w:t>investment managers are responsible for:</w:t>
      </w:r>
    </w:p>
    <w:p w:rsidR="003A5EF3" w:rsidRPr="00B4747C" w:rsidRDefault="003A5EF3" w:rsidP="00712089">
      <w:pPr>
        <w:widowControl w:val="0"/>
        <w:numPr>
          <w:ilvl w:val="0"/>
          <w:numId w:val="11"/>
        </w:numPr>
        <w:spacing w:after="120"/>
        <w:rPr>
          <w:rFonts w:ascii="Arial" w:hAnsi="Arial" w:cs="Arial"/>
          <w:sz w:val="24"/>
          <w:szCs w:val="24"/>
        </w:rPr>
      </w:pPr>
      <w:r>
        <w:rPr>
          <w:rFonts w:ascii="Arial" w:hAnsi="Arial" w:cs="Arial"/>
          <w:sz w:val="24"/>
          <w:szCs w:val="24"/>
        </w:rPr>
        <w:t>the investment of Pension F</w:t>
      </w:r>
      <w:r w:rsidRPr="00B4747C">
        <w:rPr>
          <w:rFonts w:ascii="Arial" w:hAnsi="Arial" w:cs="Arial"/>
          <w:sz w:val="24"/>
          <w:szCs w:val="24"/>
        </w:rPr>
        <w:t xml:space="preserve">und assets in accordance with legislation, the Statement of Investment Principles </w:t>
      </w:r>
      <w:r>
        <w:rPr>
          <w:rFonts w:ascii="Arial" w:hAnsi="Arial" w:cs="Arial"/>
          <w:sz w:val="24"/>
          <w:szCs w:val="24"/>
        </w:rPr>
        <w:t xml:space="preserve">(SIP) </w:t>
      </w:r>
      <w:r w:rsidRPr="00B4747C">
        <w:rPr>
          <w:rFonts w:ascii="Arial" w:hAnsi="Arial" w:cs="Arial"/>
          <w:sz w:val="24"/>
          <w:szCs w:val="24"/>
        </w:rPr>
        <w:t>and the individual i</w:t>
      </w:r>
      <w:r>
        <w:rPr>
          <w:rFonts w:ascii="Arial" w:hAnsi="Arial" w:cs="Arial"/>
          <w:sz w:val="24"/>
          <w:szCs w:val="24"/>
        </w:rPr>
        <w:t>nvestment management agreements</w:t>
      </w:r>
    </w:p>
    <w:p w:rsidR="003A5EF3" w:rsidRPr="00B4747C" w:rsidRDefault="003A5EF3" w:rsidP="00712089">
      <w:pPr>
        <w:widowControl w:val="0"/>
        <w:numPr>
          <w:ilvl w:val="0"/>
          <w:numId w:val="11"/>
        </w:numPr>
        <w:rPr>
          <w:rFonts w:ascii="Arial" w:hAnsi="Arial" w:cs="Arial"/>
          <w:sz w:val="24"/>
          <w:szCs w:val="24"/>
        </w:rPr>
      </w:pPr>
      <w:r>
        <w:rPr>
          <w:rFonts w:ascii="Arial" w:hAnsi="Arial" w:cs="Arial"/>
          <w:sz w:val="24"/>
          <w:szCs w:val="24"/>
        </w:rPr>
        <w:t>p</w:t>
      </w:r>
      <w:r w:rsidRPr="00B4747C">
        <w:rPr>
          <w:rFonts w:ascii="Arial" w:hAnsi="Arial" w:cs="Arial"/>
          <w:sz w:val="24"/>
          <w:szCs w:val="24"/>
        </w:rPr>
        <w:t>reparation of monthly and quarterly reports detailing activity, investment performance and future strategy, and attendance at th</w:t>
      </w:r>
      <w:r>
        <w:rPr>
          <w:rFonts w:ascii="Arial" w:hAnsi="Arial" w:cs="Arial"/>
          <w:sz w:val="24"/>
          <w:szCs w:val="24"/>
        </w:rPr>
        <w:t>e Pension Fund Sub-</w:t>
      </w:r>
      <w:r w:rsidRPr="00B4747C">
        <w:rPr>
          <w:rFonts w:ascii="Arial" w:hAnsi="Arial" w:cs="Arial"/>
          <w:sz w:val="24"/>
          <w:szCs w:val="24"/>
        </w:rPr>
        <w:t>Committee.</w:t>
      </w:r>
    </w:p>
    <w:p w:rsidR="003A5EF3" w:rsidRDefault="003A5EF3" w:rsidP="00712089">
      <w:pPr>
        <w:rPr>
          <w:rFonts w:ascii="Arial" w:hAnsi="Arial" w:cs="Arial"/>
          <w:sz w:val="24"/>
          <w:szCs w:val="24"/>
        </w:rPr>
      </w:pPr>
    </w:p>
    <w:p w:rsidR="003A5EF3" w:rsidRPr="00B4747C" w:rsidRDefault="003A5EF3" w:rsidP="00712089">
      <w:pPr>
        <w:widowControl w:val="0"/>
        <w:spacing w:after="120"/>
        <w:rPr>
          <w:rFonts w:ascii="Arial" w:hAnsi="Arial" w:cs="Arial"/>
          <w:sz w:val="24"/>
          <w:szCs w:val="24"/>
        </w:rPr>
      </w:pPr>
      <w:r>
        <w:rPr>
          <w:rFonts w:ascii="Arial" w:hAnsi="Arial" w:cs="Arial"/>
          <w:sz w:val="24"/>
          <w:szCs w:val="24"/>
        </w:rPr>
        <w:t>The A</w:t>
      </w:r>
      <w:r w:rsidRPr="00B4747C">
        <w:rPr>
          <w:rFonts w:ascii="Arial" w:hAnsi="Arial" w:cs="Arial"/>
          <w:sz w:val="24"/>
          <w:szCs w:val="24"/>
        </w:rPr>
        <w:t>ctuary is responsible for:</w:t>
      </w:r>
    </w:p>
    <w:p w:rsidR="003A5EF3" w:rsidRDefault="003A5EF3" w:rsidP="00712089">
      <w:pPr>
        <w:widowControl w:val="0"/>
        <w:numPr>
          <w:ilvl w:val="0"/>
          <w:numId w:val="12"/>
        </w:numPr>
        <w:spacing w:after="120"/>
        <w:rPr>
          <w:rFonts w:ascii="Arial" w:hAnsi="Arial" w:cs="Arial"/>
          <w:sz w:val="24"/>
          <w:szCs w:val="24"/>
        </w:rPr>
      </w:pPr>
      <w:r>
        <w:rPr>
          <w:rFonts w:ascii="Arial" w:hAnsi="Arial" w:cs="Arial"/>
          <w:sz w:val="24"/>
          <w:szCs w:val="24"/>
        </w:rPr>
        <w:t>u</w:t>
      </w:r>
      <w:r w:rsidRPr="00B4747C">
        <w:rPr>
          <w:rFonts w:ascii="Arial" w:hAnsi="Arial" w:cs="Arial"/>
          <w:sz w:val="24"/>
          <w:szCs w:val="24"/>
        </w:rPr>
        <w:t>ndertaking a triennial revaluation of the ass</w:t>
      </w:r>
      <w:r>
        <w:rPr>
          <w:rFonts w:ascii="Arial" w:hAnsi="Arial" w:cs="Arial"/>
          <w:sz w:val="24"/>
          <w:szCs w:val="24"/>
        </w:rPr>
        <w:t>ets and liabilities of the Fund</w:t>
      </w:r>
    </w:p>
    <w:p w:rsidR="003A5EF3" w:rsidRPr="00B4747C" w:rsidRDefault="003A5EF3" w:rsidP="00712089">
      <w:pPr>
        <w:widowControl w:val="0"/>
        <w:numPr>
          <w:ilvl w:val="0"/>
          <w:numId w:val="12"/>
        </w:numPr>
        <w:spacing w:after="120"/>
        <w:rPr>
          <w:rFonts w:ascii="Arial" w:hAnsi="Arial" w:cs="Arial"/>
          <w:sz w:val="24"/>
          <w:szCs w:val="24"/>
        </w:rPr>
      </w:pPr>
      <w:r>
        <w:rPr>
          <w:rFonts w:ascii="Arial" w:hAnsi="Arial" w:cs="Arial"/>
          <w:sz w:val="24"/>
          <w:szCs w:val="24"/>
        </w:rPr>
        <w:t>providing annual FRS17 / IAS19 valuations</w:t>
      </w:r>
    </w:p>
    <w:p w:rsidR="003A5EF3" w:rsidRPr="00B4747C" w:rsidRDefault="003A5EF3" w:rsidP="00712089">
      <w:pPr>
        <w:widowControl w:val="0"/>
        <w:numPr>
          <w:ilvl w:val="0"/>
          <w:numId w:val="12"/>
        </w:numPr>
        <w:rPr>
          <w:rFonts w:ascii="Arial" w:hAnsi="Arial" w:cs="Arial"/>
          <w:sz w:val="24"/>
          <w:szCs w:val="24"/>
        </w:rPr>
      </w:pPr>
      <w:r>
        <w:rPr>
          <w:rFonts w:ascii="Arial" w:hAnsi="Arial" w:cs="Arial"/>
          <w:sz w:val="24"/>
          <w:szCs w:val="24"/>
        </w:rPr>
        <w:t>p</w:t>
      </w:r>
      <w:r w:rsidRPr="00B4747C">
        <w:rPr>
          <w:rFonts w:ascii="Arial" w:hAnsi="Arial" w:cs="Arial"/>
          <w:sz w:val="24"/>
          <w:szCs w:val="24"/>
        </w:rPr>
        <w:t>roviding</w:t>
      </w:r>
      <w:r>
        <w:rPr>
          <w:rFonts w:ascii="Arial" w:hAnsi="Arial" w:cs="Arial"/>
          <w:sz w:val="24"/>
          <w:szCs w:val="24"/>
        </w:rPr>
        <w:t xml:space="preserve"> advice on the maturity of the F</w:t>
      </w:r>
      <w:r w:rsidRPr="00B4747C">
        <w:rPr>
          <w:rFonts w:ascii="Arial" w:hAnsi="Arial" w:cs="Arial"/>
          <w:sz w:val="24"/>
          <w:szCs w:val="24"/>
        </w:rPr>
        <w:t>und.</w:t>
      </w:r>
    </w:p>
    <w:p w:rsidR="003A5EF3" w:rsidRDefault="003A5EF3" w:rsidP="00712089">
      <w:pPr>
        <w:rPr>
          <w:rFonts w:ascii="Arial" w:hAnsi="Arial" w:cs="Arial"/>
          <w:sz w:val="24"/>
          <w:szCs w:val="24"/>
        </w:rPr>
      </w:pPr>
    </w:p>
    <w:p w:rsidR="003A5EF3" w:rsidRPr="00337724" w:rsidRDefault="003A5EF3" w:rsidP="00712089">
      <w:pPr>
        <w:widowControl w:val="0"/>
        <w:rPr>
          <w:rFonts w:ascii="Arial" w:hAnsi="Arial" w:cs="Arial"/>
          <w:sz w:val="24"/>
          <w:szCs w:val="24"/>
        </w:rPr>
      </w:pPr>
      <w:r w:rsidRPr="00337724">
        <w:rPr>
          <w:rFonts w:ascii="Arial" w:hAnsi="Arial" w:cs="Arial"/>
          <w:sz w:val="24"/>
          <w:szCs w:val="24"/>
        </w:rPr>
        <w:t xml:space="preserve">The Independent Adviser is responsible for the provision of advice to the Pension Fund Sub-Committee and the </w:t>
      </w:r>
      <w:r w:rsidR="00EB2995">
        <w:rPr>
          <w:rFonts w:ascii="Arial" w:hAnsi="Arial" w:cs="Arial"/>
          <w:sz w:val="24"/>
          <w:szCs w:val="24"/>
        </w:rPr>
        <w:t>Chief Finance</w:t>
      </w:r>
      <w:r w:rsidR="004754FB">
        <w:rPr>
          <w:rFonts w:ascii="Arial" w:hAnsi="Arial" w:cs="Arial"/>
          <w:sz w:val="24"/>
          <w:szCs w:val="24"/>
        </w:rPr>
        <w:t xml:space="preserve"> Officer</w:t>
      </w:r>
      <w:r w:rsidRPr="00337724">
        <w:rPr>
          <w:rFonts w:ascii="Arial" w:hAnsi="Arial" w:cs="Arial"/>
          <w:sz w:val="24"/>
          <w:szCs w:val="24"/>
        </w:rPr>
        <w:t xml:space="preserve"> on all investment issues, in particular asset allocation, new developments and the monitoring of manager performance against the agreed benchmarks.</w:t>
      </w:r>
    </w:p>
    <w:p w:rsidR="006910F3" w:rsidRDefault="006910F3" w:rsidP="00712089">
      <w:pPr>
        <w:rPr>
          <w:rFonts w:ascii="Arial" w:hAnsi="Arial" w:cs="Arial"/>
          <w:b/>
          <w:sz w:val="24"/>
          <w:szCs w:val="24"/>
        </w:rPr>
      </w:pPr>
    </w:p>
    <w:p w:rsidR="006910F3" w:rsidRDefault="006910F3" w:rsidP="00712089">
      <w:pPr>
        <w:rPr>
          <w:rFonts w:ascii="Arial" w:hAnsi="Arial" w:cs="Arial"/>
          <w:b/>
          <w:sz w:val="24"/>
          <w:szCs w:val="24"/>
        </w:rPr>
      </w:pPr>
    </w:p>
    <w:p w:rsidR="003A5EF3" w:rsidRDefault="0049396E" w:rsidP="00712089">
      <w:pPr>
        <w:rPr>
          <w:rFonts w:ascii="Arial" w:hAnsi="Arial" w:cs="Arial"/>
          <w:b/>
          <w:sz w:val="24"/>
          <w:szCs w:val="24"/>
        </w:rPr>
      </w:pPr>
      <w:r>
        <w:rPr>
          <w:rFonts w:ascii="Arial" w:hAnsi="Arial" w:cs="Arial"/>
          <w:b/>
          <w:sz w:val="24"/>
          <w:szCs w:val="24"/>
        </w:rPr>
        <w:t>Clear</w:t>
      </w:r>
      <w:r w:rsidR="003A5EF3">
        <w:rPr>
          <w:rFonts w:ascii="Arial" w:hAnsi="Arial" w:cs="Arial"/>
          <w:b/>
          <w:sz w:val="24"/>
          <w:szCs w:val="24"/>
        </w:rPr>
        <w:t xml:space="preserve"> o</w:t>
      </w:r>
      <w:r w:rsidR="003A5EF3" w:rsidRPr="00B4747C">
        <w:rPr>
          <w:rFonts w:ascii="Arial" w:hAnsi="Arial" w:cs="Arial"/>
          <w:b/>
          <w:sz w:val="24"/>
          <w:szCs w:val="24"/>
        </w:rPr>
        <w:t>bjectives</w:t>
      </w:r>
    </w:p>
    <w:p w:rsidR="0049396E" w:rsidRDefault="0049396E" w:rsidP="00712089">
      <w:pPr>
        <w:rPr>
          <w:rFonts w:ascii="Arial" w:hAnsi="Arial" w:cs="Arial"/>
          <w:b/>
          <w:sz w:val="24"/>
          <w:szCs w:val="24"/>
        </w:rPr>
      </w:pPr>
    </w:p>
    <w:p w:rsidR="00520271" w:rsidRDefault="0049396E" w:rsidP="00712089">
      <w:pPr>
        <w:rPr>
          <w:rFonts w:ascii="Arial" w:hAnsi="Arial"/>
          <w:sz w:val="24"/>
        </w:rPr>
      </w:pPr>
      <w:r>
        <w:rPr>
          <w:rFonts w:ascii="Arial" w:hAnsi="Arial"/>
          <w:sz w:val="24"/>
        </w:rPr>
        <w:t>An overall investment objective should be set out for the Fund that</w:t>
      </w:r>
      <w:r w:rsidR="00520271">
        <w:rPr>
          <w:rFonts w:ascii="Arial" w:hAnsi="Arial"/>
          <w:sz w:val="24"/>
        </w:rPr>
        <w:t>:</w:t>
      </w:r>
    </w:p>
    <w:p w:rsidR="00520271" w:rsidRDefault="00520271" w:rsidP="00712089">
      <w:pPr>
        <w:rPr>
          <w:rFonts w:ascii="Arial" w:hAnsi="Arial"/>
          <w:sz w:val="24"/>
        </w:rPr>
      </w:pPr>
    </w:p>
    <w:p w:rsidR="00520271" w:rsidRPr="002101AD" w:rsidRDefault="00520271" w:rsidP="00712089">
      <w:pPr>
        <w:rPr>
          <w:rFonts w:ascii="Arial" w:hAnsi="Arial"/>
          <w:i/>
          <w:sz w:val="24"/>
        </w:rPr>
      </w:pPr>
      <w:r w:rsidRPr="002101AD">
        <w:rPr>
          <w:rFonts w:ascii="Arial" w:hAnsi="Arial"/>
          <w:i/>
          <w:sz w:val="24"/>
        </w:rPr>
        <w:t>T</w:t>
      </w:r>
      <w:r w:rsidR="0049396E" w:rsidRPr="002101AD">
        <w:rPr>
          <w:rFonts w:ascii="Arial" w:hAnsi="Arial"/>
          <w:i/>
          <w:sz w:val="24"/>
        </w:rPr>
        <w:t>akes account of the scheme’s liabilities, the potential impact on local tax payers, the strength of the covenant fo</w:t>
      </w:r>
      <w:r w:rsidRPr="002101AD">
        <w:rPr>
          <w:rFonts w:ascii="Arial" w:hAnsi="Arial"/>
          <w:i/>
          <w:sz w:val="24"/>
        </w:rPr>
        <w:t>r non-local authority employers;</w:t>
      </w:r>
      <w:r w:rsidR="0049396E" w:rsidRPr="002101AD">
        <w:rPr>
          <w:rFonts w:ascii="Arial" w:hAnsi="Arial"/>
          <w:i/>
          <w:sz w:val="24"/>
        </w:rPr>
        <w:t xml:space="preserve"> and</w:t>
      </w:r>
    </w:p>
    <w:p w:rsidR="00520271" w:rsidRPr="002101AD" w:rsidRDefault="00520271" w:rsidP="00712089">
      <w:pPr>
        <w:rPr>
          <w:rFonts w:ascii="Arial" w:hAnsi="Arial"/>
          <w:i/>
          <w:sz w:val="24"/>
        </w:rPr>
      </w:pPr>
    </w:p>
    <w:p w:rsidR="0049396E" w:rsidRPr="002101AD" w:rsidRDefault="00520271" w:rsidP="00712089">
      <w:pPr>
        <w:rPr>
          <w:rFonts w:ascii="Arial" w:hAnsi="Arial" w:cs="Arial"/>
          <w:b/>
          <w:i/>
          <w:sz w:val="24"/>
          <w:szCs w:val="24"/>
        </w:rPr>
      </w:pPr>
      <w:r w:rsidRPr="002101AD">
        <w:rPr>
          <w:rFonts w:ascii="Arial" w:hAnsi="Arial"/>
          <w:i/>
          <w:sz w:val="24"/>
        </w:rPr>
        <w:t>T</w:t>
      </w:r>
      <w:r w:rsidR="0049396E" w:rsidRPr="002101AD">
        <w:rPr>
          <w:rFonts w:ascii="Arial" w:hAnsi="Arial"/>
          <w:i/>
          <w:sz w:val="24"/>
        </w:rPr>
        <w:t>he attitude to risk of both the administering authority and scheme employers, and these should be clearly communicated to advisers and investment managers</w:t>
      </w:r>
      <w:r w:rsidR="003765F4" w:rsidRPr="002101AD">
        <w:rPr>
          <w:rFonts w:ascii="Arial" w:hAnsi="Arial"/>
          <w:i/>
          <w:sz w:val="24"/>
        </w:rPr>
        <w:t>.</w:t>
      </w:r>
    </w:p>
    <w:p w:rsidR="0049396E" w:rsidRDefault="0049396E" w:rsidP="00712089">
      <w:pPr>
        <w:rPr>
          <w:rFonts w:ascii="Arial" w:hAnsi="Arial" w:cs="Arial"/>
          <w:b/>
          <w:sz w:val="24"/>
          <w:szCs w:val="24"/>
        </w:rPr>
      </w:pPr>
    </w:p>
    <w:p w:rsidR="0053055F" w:rsidRPr="0053055F" w:rsidRDefault="0053055F" w:rsidP="00712089">
      <w:pPr>
        <w:rPr>
          <w:rFonts w:ascii="Arial" w:hAnsi="Arial" w:cs="Arial"/>
          <w:sz w:val="24"/>
          <w:szCs w:val="24"/>
        </w:rPr>
      </w:pPr>
      <w:r w:rsidRPr="0053055F">
        <w:rPr>
          <w:rFonts w:ascii="Arial" w:hAnsi="Arial" w:cs="Arial"/>
          <w:sz w:val="24"/>
          <w:szCs w:val="24"/>
        </w:rPr>
        <w:t xml:space="preserve">The </w:t>
      </w:r>
      <w:r>
        <w:rPr>
          <w:rFonts w:ascii="Arial" w:hAnsi="Arial" w:cs="Arial"/>
          <w:sz w:val="24"/>
          <w:szCs w:val="24"/>
        </w:rPr>
        <w:t>Fund’s objective is to achieve a funding level position of 100% whilst minimising the level and volatility of employer contributions.</w:t>
      </w:r>
    </w:p>
    <w:p w:rsidR="0053055F" w:rsidRPr="00B4747C" w:rsidRDefault="0053055F" w:rsidP="00712089">
      <w:pPr>
        <w:rPr>
          <w:rFonts w:ascii="Arial" w:hAnsi="Arial" w:cs="Arial"/>
          <w:b/>
          <w:sz w:val="24"/>
          <w:szCs w:val="24"/>
        </w:rPr>
      </w:pPr>
    </w:p>
    <w:p w:rsidR="003D518E" w:rsidRDefault="003A5EF3" w:rsidP="00712089">
      <w:pPr>
        <w:pStyle w:val="BodyTextIndent3"/>
        <w:ind w:left="0" w:firstLine="0"/>
        <w:jc w:val="left"/>
        <w:rPr>
          <w:rFonts w:cs="Arial"/>
          <w:szCs w:val="24"/>
        </w:rPr>
      </w:pPr>
      <w:r>
        <w:rPr>
          <w:rFonts w:cs="Arial"/>
          <w:szCs w:val="24"/>
        </w:rPr>
        <w:t>The key</w:t>
      </w:r>
      <w:r w:rsidRPr="00B4747C">
        <w:rPr>
          <w:rFonts w:cs="Arial"/>
          <w:szCs w:val="24"/>
        </w:rPr>
        <w:t xml:space="preserve"> investment objective </w:t>
      </w:r>
      <w:r w:rsidR="001F10C8">
        <w:rPr>
          <w:rFonts w:cs="Arial"/>
          <w:szCs w:val="24"/>
        </w:rPr>
        <w:t>of</w:t>
      </w:r>
      <w:r>
        <w:rPr>
          <w:rFonts w:cs="Arial"/>
          <w:szCs w:val="24"/>
        </w:rPr>
        <w:t xml:space="preserve"> the Fund </w:t>
      </w:r>
      <w:r w:rsidRPr="00B4747C">
        <w:rPr>
          <w:rFonts w:cs="Arial"/>
          <w:szCs w:val="24"/>
        </w:rPr>
        <w:t xml:space="preserve">is to maximise </w:t>
      </w:r>
      <w:r w:rsidR="003D518E">
        <w:rPr>
          <w:rFonts w:cs="Arial"/>
          <w:szCs w:val="24"/>
        </w:rPr>
        <w:t>performance</w:t>
      </w:r>
      <w:r w:rsidRPr="00B4747C">
        <w:rPr>
          <w:rFonts w:cs="Arial"/>
          <w:szCs w:val="24"/>
        </w:rPr>
        <w:t xml:space="preserve"> </w:t>
      </w:r>
      <w:r w:rsidR="001F10C8">
        <w:rPr>
          <w:rFonts w:cs="Arial"/>
          <w:szCs w:val="24"/>
        </w:rPr>
        <w:t xml:space="preserve">and so minimise the level of employer contributions required to meet the cost of pension benefits, </w:t>
      </w:r>
      <w:r w:rsidRPr="00B4747C">
        <w:rPr>
          <w:rFonts w:cs="Arial"/>
          <w:szCs w:val="24"/>
        </w:rPr>
        <w:t xml:space="preserve">subject to an appropriate level of risk </w:t>
      </w:r>
      <w:r w:rsidR="003D518E">
        <w:rPr>
          <w:rFonts w:cs="Arial"/>
          <w:szCs w:val="24"/>
        </w:rPr>
        <w:t>and liquidity</w:t>
      </w:r>
      <w:r w:rsidRPr="00B4747C">
        <w:rPr>
          <w:rFonts w:cs="Arial"/>
          <w:szCs w:val="24"/>
        </w:rPr>
        <w:t>.</w:t>
      </w:r>
      <w:r w:rsidR="003D518E">
        <w:rPr>
          <w:rFonts w:cs="Arial"/>
          <w:szCs w:val="24"/>
        </w:rPr>
        <w:t xml:space="preserve"> Over the long term, it is expected that the Fund’s investment returns will be at least in line with the assumptions underlying the actuarial valuation.</w:t>
      </w:r>
    </w:p>
    <w:p w:rsidR="003D518E" w:rsidRDefault="003D518E" w:rsidP="00712089">
      <w:pPr>
        <w:pStyle w:val="BodyTextIndent3"/>
        <w:ind w:left="0" w:firstLine="0"/>
        <w:jc w:val="left"/>
        <w:rPr>
          <w:rFonts w:cs="Arial"/>
          <w:szCs w:val="24"/>
        </w:rPr>
      </w:pPr>
    </w:p>
    <w:p w:rsidR="003D518E" w:rsidRDefault="00FE274F" w:rsidP="00712089">
      <w:pPr>
        <w:pStyle w:val="BodyTextIndent3"/>
        <w:ind w:left="0" w:firstLine="0"/>
        <w:jc w:val="left"/>
        <w:rPr>
          <w:rFonts w:cs="Arial"/>
          <w:szCs w:val="24"/>
        </w:rPr>
      </w:pPr>
      <w:r>
        <w:rPr>
          <w:rFonts w:cs="Arial"/>
          <w:szCs w:val="24"/>
        </w:rPr>
        <w:lastRenderedPageBreak/>
        <w:t xml:space="preserve">It is the Council’s current policy that external fund managers are employed to administer the Fund’s assets. The current structure as set out in the table below was implemented following the actuarial valuation results as at 31 March 2010. The assets of the Fund are mostly in “growth assets”, i.e., those expected </w:t>
      </w:r>
      <w:r w:rsidR="00D6697C">
        <w:rPr>
          <w:rFonts w:cs="Arial"/>
          <w:szCs w:val="24"/>
        </w:rPr>
        <w:t>to generate additional (‘excess’) returns over the long term. These include publicly quoted equity, private equity and infrastructure. The asset allocation also has a small allocation to “cash flow matching” assets in the form of bonds.</w:t>
      </w:r>
    </w:p>
    <w:p w:rsidR="00D6697C" w:rsidRDefault="00D6697C" w:rsidP="00712089">
      <w:pPr>
        <w:pStyle w:val="BodyTextIndent3"/>
        <w:ind w:left="0" w:firstLine="0"/>
        <w:jc w:val="left"/>
        <w:rPr>
          <w:rFonts w:cs="Arial"/>
          <w:szCs w:val="24"/>
        </w:rPr>
      </w:pPr>
    </w:p>
    <w:p w:rsidR="00F837F2" w:rsidRDefault="00D6697C" w:rsidP="00712089">
      <w:pPr>
        <w:pStyle w:val="BodyTextIndent3"/>
        <w:ind w:left="0" w:firstLine="0"/>
        <w:jc w:val="left"/>
        <w:rPr>
          <w:rFonts w:cs="Arial"/>
          <w:szCs w:val="24"/>
        </w:rPr>
      </w:pPr>
      <w:r>
        <w:rPr>
          <w:rFonts w:cs="Arial"/>
          <w:szCs w:val="24"/>
        </w:rPr>
        <w:t xml:space="preserve">The table below shows the asset </w:t>
      </w:r>
      <w:r w:rsidR="00F837F2">
        <w:rPr>
          <w:rFonts w:cs="Arial"/>
          <w:szCs w:val="24"/>
        </w:rPr>
        <w:t xml:space="preserve">allocation </w:t>
      </w:r>
      <w:r>
        <w:rPr>
          <w:rFonts w:cs="Arial"/>
          <w:szCs w:val="24"/>
        </w:rPr>
        <w:t>structure</w:t>
      </w:r>
      <w:r w:rsidR="00F837F2">
        <w:rPr>
          <w:rFonts w:cs="Arial"/>
          <w:szCs w:val="24"/>
        </w:rPr>
        <w:t>:</w:t>
      </w:r>
    </w:p>
    <w:p w:rsidR="00F837F2" w:rsidRDefault="00F837F2" w:rsidP="00712089">
      <w:pPr>
        <w:pStyle w:val="BodyTextIndent3"/>
        <w:ind w:left="0" w:firstLine="0"/>
        <w:jc w:val="left"/>
        <w:rPr>
          <w:rFonts w:cs="Arial"/>
          <w:szCs w:val="24"/>
        </w:rPr>
      </w:pPr>
    </w:p>
    <w:tbl>
      <w:tblPr>
        <w:tblStyle w:val="TableGrid"/>
        <w:tblW w:w="8789" w:type="dxa"/>
        <w:tblInd w:w="108" w:type="dxa"/>
        <w:tblLayout w:type="fixed"/>
        <w:tblLook w:val="04A0" w:firstRow="1" w:lastRow="0" w:firstColumn="1" w:lastColumn="0" w:noHBand="0" w:noVBand="1"/>
      </w:tblPr>
      <w:tblGrid>
        <w:gridCol w:w="3686"/>
        <w:gridCol w:w="1417"/>
        <w:gridCol w:w="2268"/>
        <w:gridCol w:w="1418"/>
      </w:tblGrid>
      <w:tr w:rsidR="00CB618D" w:rsidRPr="00F76B67" w:rsidTr="00AD7747">
        <w:tc>
          <w:tcPr>
            <w:tcW w:w="3686" w:type="dxa"/>
          </w:tcPr>
          <w:p w:rsidR="00CB618D" w:rsidRPr="00F76B67" w:rsidRDefault="00CB618D" w:rsidP="00712089">
            <w:pPr>
              <w:pStyle w:val="BodyTextIndent3"/>
              <w:ind w:left="0" w:firstLine="0"/>
              <w:jc w:val="left"/>
              <w:rPr>
                <w:rFonts w:cs="Arial"/>
                <w:b/>
                <w:szCs w:val="24"/>
              </w:rPr>
            </w:pPr>
            <w:r w:rsidRPr="00F76B67">
              <w:rPr>
                <w:rFonts w:cs="Arial"/>
                <w:b/>
                <w:szCs w:val="24"/>
              </w:rPr>
              <w:t>Asset Class</w:t>
            </w:r>
          </w:p>
        </w:tc>
        <w:tc>
          <w:tcPr>
            <w:tcW w:w="1417" w:type="dxa"/>
          </w:tcPr>
          <w:p w:rsidR="00CB618D" w:rsidRPr="00F76B67" w:rsidRDefault="00CB618D" w:rsidP="00A51D10">
            <w:pPr>
              <w:pStyle w:val="BodyTextIndent3"/>
              <w:ind w:left="0" w:firstLine="0"/>
              <w:jc w:val="center"/>
              <w:rPr>
                <w:rFonts w:cs="Arial"/>
                <w:b/>
                <w:szCs w:val="24"/>
              </w:rPr>
            </w:pPr>
            <w:r w:rsidRPr="00F76B67">
              <w:rPr>
                <w:rFonts w:cs="Arial"/>
                <w:b/>
                <w:szCs w:val="24"/>
              </w:rPr>
              <w:t>Allocation</w:t>
            </w:r>
          </w:p>
        </w:tc>
        <w:tc>
          <w:tcPr>
            <w:tcW w:w="2268" w:type="dxa"/>
          </w:tcPr>
          <w:p w:rsidR="00CB618D" w:rsidRPr="00F76B67" w:rsidRDefault="00CB618D" w:rsidP="00A51D10">
            <w:pPr>
              <w:pStyle w:val="BodyTextIndent3"/>
              <w:ind w:left="0" w:firstLine="0"/>
              <w:jc w:val="center"/>
              <w:rPr>
                <w:rFonts w:cs="Arial"/>
                <w:b/>
                <w:szCs w:val="24"/>
              </w:rPr>
            </w:pPr>
            <w:r w:rsidRPr="00F76B67">
              <w:rPr>
                <w:rFonts w:cs="Arial"/>
                <w:b/>
                <w:szCs w:val="24"/>
              </w:rPr>
              <w:t>Benchmar</w:t>
            </w:r>
            <w:r w:rsidR="00F76B67" w:rsidRPr="00F76B67">
              <w:rPr>
                <w:rFonts w:cs="Arial"/>
                <w:b/>
                <w:szCs w:val="24"/>
              </w:rPr>
              <w:t>k</w:t>
            </w:r>
          </w:p>
        </w:tc>
        <w:tc>
          <w:tcPr>
            <w:tcW w:w="1418" w:type="dxa"/>
          </w:tcPr>
          <w:p w:rsidR="00CB618D" w:rsidRPr="00F76B67" w:rsidRDefault="00F76B67" w:rsidP="00A51D10">
            <w:pPr>
              <w:pStyle w:val="BodyTextIndent3"/>
              <w:ind w:left="0" w:firstLine="0"/>
              <w:jc w:val="center"/>
              <w:rPr>
                <w:rFonts w:cs="Arial"/>
                <w:b/>
                <w:szCs w:val="24"/>
              </w:rPr>
            </w:pPr>
            <w:r w:rsidRPr="00F76B67">
              <w:rPr>
                <w:rFonts w:cs="Arial"/>
                <w:b/>
                <w:szCs w:val="24"/>
              </w:rPr>
              <w:t>Approach</w:t>
            </w:r>
          </w:p>
        </w:tc>
      </w:tr>
      <w:tr w:rsidR="00A51D10" w:rsidTr="00AD7747">
        <w:tc>
          <w:tcPr>
            <w:tcW w:w="3686" w:type="dxa"/>
          </w:tcPr>
          <w:p w:rsidR="00A51D10" w:rsidRPr="00B04F4B" w:rsidRDefault="00A51D10" w:rsidP="00712089">
            <w:pPr>
              <w:pStyle w:val="BodyTextIndent3"/>
              <w:ind w:left="0" w:firstLine="0"/>
              <w:jc w:val="left"/>
              <w:rPr>
                <w:rFonts w:cs="Arial"/>
                <w:b/>
                <w:szCs w:val="24"/>
              </w:rPr>
            </w:pPr>
          </w:p>
        </w:tc>
        <w:tc>
          <w:tcPr>
            <w:tcW w:w="1417" w:type="dxa"/>
          </w:tcPr>
          <w:p w:rsidR="00A51D10" w:rsidRDefault="00A51D10" w:rsidP="00A51D10">
            <w:pPr>
              <w:pStyle w:val="BodyTextIndent3"/>
              <w:ind w:left="0" w:firstLine="0"/>
              <w:jc w:val="center"/>
              <w:rPr>
                <w:rFonts w:cs="Arial"/>
                <w:szCs w:val="24"/>
              </w:rPr>
            </w:pPr>
          </w:p>
        </w:tc>
        <w:tc>
          <w:tcPr>
            <w:tcW w:w="2268" w:type="dxa"/>
          </w:tcPr>
          <w:p w:rsidR="00A51D10" w:rsidRDefault="00A51D10" w:rsidP="00A51D10">
            <w:pPr>
              <w:pStyle w:val="BodyTextIndent3"/>
              <w:ind w:left="0" w:firstLine="0"/>
              <w:jc w:val="center"/>
              <w:rPr>
                <w:rFonts w:cs="Arial"/>
                <w:szCs w:val="24"/>
              </w:rPr>
            </w:pPr>
          </w:p>
        </w:tc>
        <w:tc>
          <w:tcPr>
            <w:tcW w:w="1418" w:type="dxa"/>
          </w:tcPr>
          <w:p w:rsidR="00A51D10" w:rsidRDefault="00A51D10" w:rsidP="00A51D10">
            <w:pPr>
              <w:pStyle w:val="BodyTextIndent3"/>
              <w:ind w:left="0" w:firstLine="0"/>
              <w:jc w:val="center"/>
              <w:rPr>
                <w:rFonts w:cs="Arial"/>
                <w:szCs w:val="24"/>
              </w:rPr>
            </w:pPr>
          </w:p>
        </w:tc>
      </w:tr>
      <w:tr w:rsidR="00CB618D" w:rsidTr="00AD7747">
        <w:tc>
          <w:tcPr>
            <w:tcW w:w="3686" w:type="dxa"/>
          </w:tcPr>
          <w:p w:rsidR="00CB618D" w:rsidRPr="00B04F4B" w:rsidRDefault="00F76B67" w:rsidP="00712089">
            <w:pPr>
              <w:pStyle w:val="BodyTextIndent3"/>
              <w:ind w:left="0" w:firstLine="0"/>
              <w:jc w:val="left"/>
              <w:rPr>
                <w:rFonts w:cs="Arial"/>
                <w:b/>
                <w:szCs w:val="24"/>
              </w:rPr>
            </w:pPr>
            <w:r w:rsidRPr="00B04F4B">
              <w:rPr>
                <w:rFonts w:cs="Arial"/>
                <w:b/>
                <w:szCs w:val="24"/>
              </w:rPr>
              <w:t>Fixed income</w:t>
            </w:r>
          </w:p>
        </w:tc>
        <w:tc>
          <w:tcPr>
            <w:tcW w:w="1417" w:type="dxa"/>
          </w:tcPr>
          <w:p w:rsidR="00CB618D" w:rsidRDefault="00F76B67" w:rsidP="00A51D10">
            <w:pPr>
              <w:pStyle w:val="BodyTextIndent3"/>
              <w:ind w:left="0" w:firstLine="0"/>
              <w:jc w:val="center"/>
              <w:rPr>
                <w:rFonts w:cs="Arial"/>
                <w:szCs w:val="24"/>
              </w:rPr>
            </w:pPr>
            <w:r>
              <w:rPr>
                <w:rFonts w:cs="Arial"/>
                <w:szCs w:val="24"/>
              </w:rPr>
              <w:t>15</w:t>
            </w:r>
            <w:r w:rsidR="00166FD6">
              <w:rPr>
                <w:rFonts w:cs="Arial"/>
                <w:szCs w:val="24"/>
              </w:rPr>
              <w:t>%</w:t>
            </w:r>
          </w:p>
        </w:tc>
        <w:tc>
          <w:tcPr>
            <w:tcW w:w="2268" w:type="dxa"/>
          </w:tcPr>
          <w:p w:rsidR="00CB618D" w:rsidRDefault="00166FD6" w:rsidP="00A51D10">
            <w:pPr>
              <w:pStyle w:val="BodyTextIndent3"/>
              <w:ind w:left="0" w:firstLine="0"/>
              <w:jc w:val="center"/>
              <w:rPr>
                <w:rFonts w:cs="Arial"/>
                <w:szCs w:val="24"/>
              </w:rPr>
            </w:pPr>
            <w:r>
              <w:rPr>
                <w:rFonts w:cs="Arial"/>
                <w:szCs w:val="24"/>
              </w:rPr>
              <w:t>6% absolute return</w:t>
            </w:r>
          </w:p>
        </w:tc>
        <w:tc>
          <w:tcPr>
            <w:tcW w:w="1418" w:type="dxa"/>
          </w:tcPr>
          <w:p w:rsidR="00CB618D" w:rsidRDefault="00F76B67" w:rsidP="00A51D10">
            <w:pPr>
              <w:pStyle w:val="BodyTextIndent3"/>
              <w:ind w:left="0" w:firstLine="0"/>
              <w:jc w:val="center"/>
              <w:rPr>
                <w:rFonts w:cs="Arial"/>
                <w:szCs w:val="24"/>
              </w:rPr>
            </w:pPr>
            <w:r>
              <w:rPr>
                <w:rFonts w:cs="Arial"/>
                <w:szCs w:val="24"/>
              </w:rPr>
              <w:t>Active</w:t>
            </w:r>
          </w:p>
        </w:tc>
      </w:tr>
      <w:tr w:rsidR="00CB618D" w:rsidTr="00AD7747">
        <w:tc>
          <w:tcPr>
            <w:tcW w:w="3686" w:type="dxa"/>
          </w:tcPr>
          <w:p w:rsidR="00CB618D" w:rsidRPr="00B04F4B" w:rsidRDefault="00166FD6" w:rsidP="00712089">
            <w:pPr>
              <w:pStyle w:val="BodyTextIndent3"/>
              <w:ind w:left="0" w:firstLine="0"/>
              <w:jc w:val="left"/>
              <w:rPr>
                <w:rFonts w:cs="Arial"/>
                <w:b/>
                <w:szCs w:val="24"/>
              </w:rPr>
            </w:pPr>
            <w:r w:rsidRPr="00B04F4B">
              <w:rPr>
                <w:rFonts w:cs="Arial"/>
                <w:b/>
                <w:szCs w:val="24"/>
              </w:rPr>
              <w:t>UK equities</w:t>
            </w:r>
          </w:p>
        </w:tc>
        <w:tc>
          <w:tcPr>
            <w:tcW w:w="1417" w:type="dxa"/>
          </w:tcPr>
          <w:p w:rsidR="00CB618D" w:rsidRDefault="00166FD6" w:rsidP="00A51D10">
            <w:pPr>
              <w:pStyle w:val="BodyTextIndent3"/>
              <w:ind w:left="0" w:firstLine="0"/>
              <w:jc w:val="center"/>
              <w:rPr>
                <w:rFonts w:cs="Arial"/>
                <w:szCs w:val="24"/>
              </w:rPr>
            </w:pPr>
            <w:r>
              <w:rPr>
                <w:rFonts w:cs="Arial"/>
                <w:szCs w:val="24"/>
              </w:rPr>
              <w:t>13%</w:t>
            </w:r>
          </w:p>
        </w:tc>
        <w:tc>
          <w:tcPr>
            <w:tcW w:w="2268" w:type="dxa"/>
          </w:tcPr>
          <w:p w:rsidR="00CB618D" w:rsidRDefault="00EF7949" w:rsidP="00A51D10">
            <w:pPr>
              <w:pStyle w:val="BodyTextIndent3"/>
              <w:ind w:left="0" w:firstLine="0"/>
              <w:jc w:val="center"/>
              <w:rPr>
                <w:rFonts w:cs="Arial"/>
                <w:szCs w:val="24"/>
              </w:rPr>
            </w:pPr>
            <w:r w:rsidRPr="00B4747C">
              <w:rPr>
                <w:rFonts w:cs="Arial"/>
                <w:szCs w:val="24"/>
              </w:rPr>
              <w:t>FTS</w:t>
            </w:r>
            <w:r>
              <w:rPr>
                <w:rFonts w:cs="Arial"/>
                <w:szCs w:val="24"/>
              </w:rPr>
              <w:t>E All Share</w:t>
            </w:r>
          </w:p>
        </w:tc>
        <w:tc>
          <w:tcPr>
            <w:tcW w:w="1418" w:type="dxa"/>
          </w:tcPr>
          <w:p w:rsidR="00CB618D" w:rsidRDefault="00EF7949" w:rsidP="00A51D10">
            <w:pPr>
              <w:pStyle w:val="BodyTextIndent3"/>
              <w:ind w:left="0" w:firstLine="0"/>
              <w:jc w:val="center"/>
              <w:rPr>
                <w:rFonts w:cs="Arial"/>
                <w:szCs w:val="24"/>
              </w:rPr>
            </w:pPr>
            <w:r>
              <w:rPr>
                <w:rFonts w:cs="Arial"/>
                <w:szCs w:val="24"/>
              </w:rPr>
              <w:t>Passive</w:t>
            </w:r>
          </w:p>
        </w:tc>
      </w:tr>
      <w:tr w:rsidR="00CB618D" w:rsidTr="00AD7747">
        <w:tc>
          <w:tcPr>
            <w:tcW w:w="3686" w:type="dxa"/>
          </w:tcPr>
          <w:p w:rsidR="00CB618D" w:rsidRPr="00B04F4B" w:rsidRDefault="00CC456C" w:rsidP="00712089">
            <w:pPr>
              <w:pStyle w:val="BodyTextIndent3"/>
              <w:ind w:left="0" w:firstLine="0"/>
              <w:jc w:val="left"/>
              <w:rPr>
                <w:rFonts w:cs="Arial"/>
                <w:b/>
                <w:szCs w:val="24"/>
              </w:rPr>
            </w:pPr>
            <w:r w:rsidRPr="00B04F4B">
              <w:rPr>
                <w:rFonts w:cs="Arial"/>
                <w:b/>
                <w:szCs w:val="24"/>
              </w:rPr>
              <w:t>UK</w:t>
            </w:r>
            <w:r w:rsidR="00AD7747">
              <w:rPr>
                <w:rFonts w:cs="Arial"/>
                <w:b/>
                <w:szCs w:val="24"/>
              </w:rPr>
              <w:t xml:space="preserve"> &amp; Irish</w:t>
            </w:r>
            <w:r w:rsidRPr="00B04F4B">
              <w:rPr>
                <w:rFonts w:cs="Arial"/>
                <w:b/>
                <w:szCs w:val="24"/>
              </w:rPr>
              <w:t xml:space="preserve"> smaller companies</w:t>
            </w:r>
          </w:p>
        </w:tc>
        <w:tc>
          <w:tcPr>
            <w:tcW w:w="1417" w:type="dxa"/>
          </w:tcPr>
          <w:p w:rsidR="00CB618D" w:rsidRDefault="00CC456C" w:rsidP="00A51D10">
            <w:pPr>
              <w:pStyle w:val="BodyTextIndent3"/>
              <w:ind w:left="0" w:firstLine="0"/>
              <w:jc w:val="center"/>
              <w:rPr>
                <w:rFonts w:cs="Arial"/>
                <w:szCs w:val="24"/>
              </w:rPr>
            </w:pPr>
            <w:r>
              <w:rPr>
                <w:rFonts w:cs="Arial"/>
                <w:szCs w:val="24"/>
              </w:rPr>
              <w:t>4%</w:t>
            </w:r>
          </w:p>
        </w:tc>
        <w:tc>
          <w:tcPr>
            <w:tcW w:w="2268" w:type="dxa"/>
          </w:tcPr>
          <w:p w:rsidR="00CB618D" w:rsidRDefault="00614213" w:rsidP="00A51D10">
            <w:pPr>
              <w:pStyle w:val="BodyTextIndent3"/>
              <w:ind w:left="0" w:firstLine="0"/>
              <w:jc w:val="center"/>
              <w:rPr>
                <w:rFonts w:cs="Arial"/>
                <w:szCs w:val="24"/>
              </w:rPr>
            </w:pPr>
            <w:r>
              <w:rPr>
                <w:rFonts w:cs="Arial"/>
                <w:szCs w:val="24"/>
              </w:rPr>
              <w:t>FTSE Small Cap</w:t>
            </w:r>
          </w:p>
        </w:tc>
        <w:tc>
          <w:tcPr>
            <w:tcW w:w="1418" w:type="dxa"/>
          </w:tcPr>
          <w:p w:rsidR="00CB618D" w:rsidRDefault="00CC456C" w:rsidP="00A51D10">
            <w:pPr>
              <w:pStyle w:val="BodyTextIndent3"/>
              <w:ind w:left="0" w:firstLine="0"/>
              <w:jc w:val="center"/>
              <w:rPr>
                <w:rFonts w:cs="Arial"/>
                <w:szCs w:val="24"/>
              </w:rPr>
            </w:pPr>
            <w:r>
              <w:rPr>
                <w:rFonts w:cs="Arial"/>
                <w:szCs w:val="24"/>
              </w:rPr>
              <w:t>Active</w:t>
            </w:r>
          </w:p>
        </w:tc>
      </w:tr>
      <w:tr w:rsidR="00CB618D" w:rsidTr="00AD7747">
        <w:tc>
          <w:tcPr>
            <w:tcW w:w="3686" w:type="dxa"/>
          </w:tcPr>
          <w:p w:rsidR="00CB618D" w:rsidRPr="00B04F4B" w:rsidRDefault="00A861D4" w:rsidP="002A3F9D">
            <w:pPr>
              <w:pStyle w:val="BodyTextIndent3"/>
              <w:ind w:left="0" w:firstLine="0"/>
              <w:jc w:val="left"/>
              <w:rPr>
                <w:rFonts w:cs="Arial"/>
                <w:b/>
                <w:szCs w:val="24"/>
              </w:rPr>
            </w:pPr>
            <w:r w:rsidRPr="00B04F4B">
              <w:rPr>
                <w:rFonts w:cs="Arial"/>
                <w:b/>
                <w:szCs w:val="24"/>
              </w:rPr>
              <w:t>O/seas equities – dev</w:t>
            </w:r>
            <w:r w:rsidR="00ED0685">
              <w:rPr>
                <w:rFonts w:cs="Arial"/>
                <w:b/>
                <w:szCs w:val="24"/>
              </w:rPr>
              <w:t>eloped</w:t>
            </w:r>
          </w:p>
        </w:tc>
        <w:tc>
          <w:tcPr>
            <w:tcW w:w="1417" w:type="dxa"/>
          </w:tcPr>
          <w:p w:rsidR="00CB618D" w:rsidRDefault="00A861D4" w:rsidP="00A51D10">
            <w:pPr>
              <w:pStyle w:val="BodyTextIndent3"/>
              <w:ind w:left="0" w:firstLine="0"/>
              <w:jc w:val="center"/>
              <w:rPr>
                <w:rFonts w:cs="Arial"/>
                <w:szCs w:val="24"/>
              </w:rPr>
            </w:pPr>
            <w:r>
              <w:rPr>
                <w:rFonts w:cs="Arial"/>
                <w:szCs w:val="24"/>
              </w:rPr>
              <w:t>22%</w:t>
            </w:r>
          </w:p>
        </w:tc>
        <w:tc>
          <w:tcPr>
            <w:tcW w:w="2268" w:type="dxa"/>
          </w:tcPr>
          <w:p w:rsidR="00CB618D" w:rsidRDefault="00A861D4" w:rsidP="00A51D10">
            <w:pPr>
              <w:pStyle w:val="BodyTextIndent3"/>
              <w:ind w:left="0" w:firstLine="0"/>
              <w:jc w:val="center"/>
              <w:rPr>
                <w:rFonts w:cs="Arial"/>
                <w:szCs w:val="24"/>
              </w:rPr>
            </w:pPr>
            <w:r>
              <w:rPr>
                <w:rFonts w:cs="Arial"/>
                <w:szCs w:val="24"/>
              </w:rPr>
              <w:t>FTSE AW ex UK</w:t>
            </w:r>
          </w:p>
        </w:tc>
        <w:tc>
          <w:tcPr>
            <w:tcW w:w="1418" w:type="dxa"/>
          </w:tcPr>
          <w:p w:rsidR="00CB618D" w:rsidRDefault="00A861D4" w:rsidP="00A51D10">
            <w:pPr>
              <w:pStyle w:val="BodyTextIndent3"/>
              <w:ind w:left="0" w:firstLine="0"/>
              <w:jc w:val="center"/>
              <w:rPr>
                <w:rFonts w:cs="Arial"/>
                <w:szCs w:val="24"/>
              </w:rPr>
            </w:pPr>
            <w:r>
              <w:rPr>
                <w:rFonts w:cs="Arial"/>
                <w:szCs w:val="24"/>
              </w:rPr>
              <w:t>Passive</w:t>
            </w:r>
          </w:p>
        </w:tc>
      </w:tr>
      <w:tr w:rsidR="00CB618D" w:rsidTr="00AD7747">
        <w:tc>
          <w:tcPr>
            <w:tcW w:w="3686" w:type="dxa"/>
          </w:tcPr>
          <w:p w:rsidR="00CB618D" w:rsidRPr="00B04F4B" w:rsidRDefault="00CC7215" w:rsidP="002A3F9D">
            <w:pPr>
              <w:pStyle w:val="BodyTextIndent3"/>
              <w:ind w:left="0" w:firstLine="0"/>
              <w:jc w:val="left"/>
              <w:rPr>
                <w:rFonts w:cs="Arial"/>
                <w:b/>
                <w:szCs w:val="24"/>
              </w:rPr>
            </w:pPr>
            <w:r w:rsidRPr="00B04F4B">
              <w:rPr>
                <w:rFonts w:cs="Arial"/>
                <w:b/>
                <w:szCs w:val="24"/>
              </w:rPr>
              <w:t>O/seas equities – EM</w:t>
            </w:r>
          </w:p>
        </w:tc>
        <w:tc>
          <w:tcPr>
            <w:tcW w:w="1417" w:type="dxa"/>
          </w:tcPr>
          <w:p w:rsidR="00CB618D" w:rsidRDefault="00CC7215" w:rsidP="00A51D10">
            <w:pPr>
              <w:pStyle w:val="BodyTextIndent3"/>
              <w:ind w:left="0" w:firstLine="0"/>
              <w:jc w:val="center"/>
              <w:rPr>
                <w:rFonts w:cs="Arial"/>
                <w:szCs w:val="24"/>
              </w:rPr>
            </w:pPr>
            <w:r>
              <w:rPr>
                <w:rFonts w:cs="Arial"/>
                <w:szCs w:val="24"/>
              </w:rPr>
              <w:t>8%</w:t>
            </w:r>
          </w:p>
        </w:tc>
        <w:tc>
          <w:tcPr>
            <w:tcW w:w="2268" w:type="dxa"/>
          </w:tcPr>
          <w:p w:rsidR="00CB618D" w:rsidRDefault="00CC7215" w:rsidP="00A51D10">
            <w:pPr>
              <w:pStyle w:val="BodyTextIndent3"/>
              <w:ind w:left="0" w:firstLine="0"/>
              <w:jc w:val="center"/>
              <w:rPr>
                <w:rFonts w:cs="Arial"/>
                <w:szCs w:val="24"/>
              </w:rPr>
            </w:pPr>
            <w:r>
              <w:rPr>
                <w:rFonts w:cs="Arial"/>
                <w:szCs w:val="24"/>
              </w:rPr>
              <w:t>MSCI EM</w:t>
            </w:r>
          </w:p>
        </w:tc>
        <w:tc>
          <w:tcPr>
            <w:tcW w:w="1418" w:type="dxa"/>
          </w:tcPr>
          <w:p w:rsidR="00CB618D" w:rsidRDefault="00CC7215" w:rsidP="00A51D10">
            <w:pPr>
              <w:pStyle w:val="BodyTextIndent3"/>
              <w:ind w:left="0" w:firstLine="0"/>
              <w:jc w:val="center"/>
              <w:rPr>
                <w:rFonts w:cs="Arial"/>
                <w:szCs w:val="24"/>
              </w:rPr>
            </w:pPr>
            <w:r>
              <w:rPr>
                <w:rFonts w:cs="Arial"/>
                <w:szCs w:val="24"/>
              </w:rPr>
              <w:t>Active</w:t>
            </w:r>
          </w:p>
        </w:tc>
      </w:tr>
      <w:tr w:rsidR="00CB618D" w:rsidTr="00AD7747">
        <w:tc>
          <w:tcPr>
            <w:tcW w:w="3686" w:type="dxa"/>
          </w:tcPr>
          <w:p w:rsidR="00CB618D" w:rsidRPr="00B04F4B" w:rsidRDefault="00514117" w:rsidP="00712089">
            <w:pPr>
              <w:pStyle w:val="BodyTextIndent3"/>
              <w:ind w:left="0" w:firstLine="0"/>
              <w:jc w:val="left"/>
              <w:rPr>
                <w:rFonts w:cs="Arial"/>
                <w:b/>
                <w:szCs w:val="24"/>
              </w:rPr>
            </w:pPr>
            <w:r w:rsidRPr="00B04F4B">
              <w:rPr>
                <w:rFonts w:cs="Arial"/>
                <w:b/>
                <w:szCs w:val="24"/>
              </w:rPr>
              <w:t>Property</w:t>
            </w:r>
          </w:p>
        </w:tc>
        <w:tc>
          <w:tcPr>
            <w:tcW w:w="1417" w:type="dxa"/>
          </w:tcPr>
          <w:p w:rsidR="00CB618D" w:rsidRDefault="00514117" w:rsidP="00A51D10">
            <w:pPr>
              <w:pStyle w:val="BodyTextIndent3"/>
              <w:ind w:left="0" w:firstLine="0"/>
              <w:jc w:val="center"/>
              <w:rPr>
                <w:rFonts w:cs="Arial"/>
                <w:szCs w:val="24"/>
              </w:rPr>
            </w:pPr>
            <w:r>
              <w:rPr>
                <w:rFonts w:cs="Arial"/>
                <w:szCs w:val="24"/>
              </w:rPr>
              <w:t>8%</w:t>
            </w:r>
          </w:p>
        </w:tc>
        <w:tc>
          <w:tcPr>
            <w:tcW w:w="2268" w:type="dxa"/>
          </w:tcPr>
          <w:p w:rsidR="00CB618D" w:rsidRDefault="00514117" w:rsidP="00A51D10">
            <w:pPr>
              <w:pStyle w:val="BodyTextIndent3"/>
              <w:ind w:left="0" w:firstLine="0"/>
              <w:jc w:val="center"/>
              <w:rPr>
                <w:rFonts w:cs="Arial"/>
                <w:szCs w:val="24"/>
              </w:rPr>
            </w:pPr>
            <w:r>
              <w:rPr>
                <w:rFonts w:cs="Arial"/>
                <w:szCs w:val="24"/>
              </w:rPr>
              <w:t>IPD</w:t>
            </w:r>
          </w:p>
        </w:tc>
        <w:tc>
          <w:tcPr>
            <w:tcW w:w="1418" w:type="dxa"/>
          </w:tcPr>
          <w:p w:rsidR="00CB618D" w:rsidRDefault="00506889" w:rsidP="00A51D10">
            <w:pPr>
              <w:pStyle w:val="BodyTextIndent3"/>
              <w:ind w:left="0" w:firstLine="0"/>
              <w:jc w:val="center"/>
              <w:rPr>
                <w:rFonts w:cs="Arial"/>
                <w:szCs w:val="24"/>
              </w:rPr>
            </w:pPr>
            <w:r>
              <w:rPr>
                <w:rFonts w:cs="Arial"/>
                <w:szCs w:val="24"/>
              </w:rPr>
              <w:t>A</w:t>
            </w:r>
            <w:r w:rsidR="00514117">
              <w:rPr>
                <w:rFonts w:cs="Arial"/>
                <w:szCs w:val="24"/>
              </w:rPr>
              <w:t>ctive</w:t>
            </w:r>
          </w:p>
        </w:tc>
      </w:tr>
      <w:tr w:rsidR="00CB618D" w:rsidTr="00AD7747">
        <w:tc>
          <w:tcPr>
            <w:tcW w:w="3686" w:type="dxa"/>
          </w:tcPr>
          <w:p w:rsidR="00CB618D" w:rsidRPr="00B04F4B" w:rsidRDefault="00514117" w:rsidP="00712089">
            <w:pPr>
              <w:pStyle w:val="BodyTextIndent3"/>
              <w:ind w:left="0" w:firstLine="0"/>
              <w:jc w:val="left"/>
              <w:rPr>
                <w:rFonts w:cs="Arial"/>
                <w:b/>
                <w:szCs w:val="24"/>
              </w:rPr>
            </w:pPr>
            <w:r w:rsidRPr="00B04F4B">
              <w:rPr>
                <w:rFonts w:cs="Arial"/>
                <w:b/>
                <w:szCs w:val="24"/>
              </w:rPr>
              <w:t>Private equity</w:t>
            </w:r>
          </w:p>
        </w:tc>
        <w:tc>
          <w:tcPr>
            <w:tcW w:w="1417" w:type="dxa"/>
          </w:tcPr>
          <w:p w:rsidR="00CB618D" w:rsidRDefault="00514117" w:rsidP="00A51D10">
            <w:pPr>
              <w:pStyle w:val="BodyTextIndent3"/>
              <w:ind w:left="0" w:firstLine="0"/>
              <w:jc w:val="center"/>
              <w:rPr>
                <w:rFonts w:cs="Arial"/>
                <w:szCs w:val="24"/>
              </w:rPr>
            </w:pPr>
            <w:r>
              <w:rPr>
                <w:rFonts w:cs="Arial"/>
                <w:szCs w:val="24"/>
              </w:rPr>
              <w:t>10%</w:t>
            </w:r>
          </w:p>
        </w:tc>
        <w:tc>
          <w:tcPr>
            <w:tcW w:w="2268" w:type="dxa"/>
          </w:tcPr>
          <w:p w:rsidR="00CB618D" w:rsidRDefault="003717E9" w:rsidP="00A51D10">
            <w:pPr>
              <w:pStyle w:val="BodyTextIndent3"/>
              <w:ind w:left="0" w:firstLine="0"/>
              <w:jc w:val="center"/>
              <w:rPr>
                <w:rFonts w:cs="Arial"/>
                <w:szCs w:val="24"/>
              </w:rPr>
            </w:pPr>
            <w:r>
              <w:rPr>
                <w:rFonts w:cs="Arial"/>
                <w:szCs w:val="24"/>
              </w:rPr>
              <w:t>8% a</w:t>
            </w:r>
            <w:r w:rsidRPr="00B4747C">
              <w:rPr>
                <w:rFonts w:cs="Arial"/>
                <w:szCs w:val="24"/>
              </w:rPr>
              <w:t>bsolute return</w:t>
            </w:r>
          </w:p>
        </w:tc>
        <w:tc>
          <w:tcPr>
            <w:tcW w:w="1418" w:type="dxa"/>
          </w:tcPr>
          <w:p w:rsidR="00CB618D" w:rsidRDefault="003717E9" w:rsidP="00A51D10">
            <w:pPr>
              <w:pStyle w:val="BodyTextIndent3"/>
              <w:ind w:left="0" w:firstLine="0"/>
              <w:jc w:val="center"/>
              <w:rPr>
                <w:rFonts w:cs="Arial"/>
                <w:szCs w:val="24"/>
              </w:rPr>
            </w:pPr>
            <w:r>
              <w:rPr>
                <w:rFonts w:cs="Arial"/>
                <w:szCs w:val="24"/>
              </w:rPr>
              <w:t>Active</w:t>
            </w:r>
          </w:p>
        </w:tc>
      </w:tr>
      <w:tr w:rsidR="00CB618D" w:rsidTr="00AD7747">
        <w:tc>
          <w:tcPr>
            <w:tcW w:w="3686" w:type="dxa"/>
          </w:tcPr>
          <w:p w:rsidR="00CB618D" w:rsidRPr="00B04F4B" w:rsidRDefault="00D32822" w:rsidP="00712089">
            <w:pPr>
              <w:pStyle w:val="BodyTextIndent3"/>
              <w:ind w:left="0" w:firstLine="0"/>
              <w:jc w:val="left"/>
              <w:rPr>
                <w:rFonts w:cs="Arial"/>
                <w:b/>
                <w:szCs w:val="24"/>
              </w:rPr>
            </w:pPr>
            <w:r w:rsidRPr="00B04F4B">
              <w:rPr>
                <w:rFonts w:cs="Arial"/>
                <w:b/>
                <w:szCs w:val="24"/>
              </w:rPr>
              <w:t>Hedge funds</w:t>
            </w:r>
          </w:p>
        </w:tc>
        <w:tc>
          <w:tcPr>
            <w:tcW w:w="1417" w:type="dxa"/>
          </w:tcPr>
          <w:p w:rsidR="00CB618D" w:rsidRDefault="009B3825" w:rsidP="00A51D10">
            <w:pPr>
              <w:pStyle w:val="BodyTextIndent3"/>
              <w:ind w:left="0" w:firstLine="0"/>
              <w:jc w:val="center"/>
              <w:rPr>
                <w:rFonts w:cs="Arial"/>
                <w:szCs w:val="24"/>
              </w:rPr>
            </w:pPr>
            <w:r>
              <w:rPr>
                <w:rFonts w:cs="Arial"/>
                <w:szCs w:val="24"/>
              </w:rPr>
              <w:t>5%</w:t>
            </w:r>
          </w:p>
        </w:tc>
        <w:tc>
          <w:tcPr>
            <w:tcW w:w="2268" w:type="dxa"/>
          </w:tcPr>
          <w:p w:rsidR="00CB618D" w:rsidRDefault="009B3825" w:rsidP="00A51D10">
            <w:pPr>
              <w:pStyle w:val="BodyTextIndent3"/>
              <w:ind w:left="0" w:firstLine="0"/>
              <w:jc w:val="center"/>
              <w:rPr>
                <w:rFonts w:cs="Arial"/>
                <w:szCs w:val="24"/>
              </w:rPr>
            </w:pPr>
            <w:r>
              <w:rPr>
                <w:rFonts w:cs="Arial"/>
                <w:szCs w:val="24"/>
              </w:rPr>
              <w:t>LIBOR + 5</w:t>
            </w:r>
            <w:r w:rsidRPr="00B4747C">
              <w:rPr>
                <w:rFonts w:cs="Arial"/>
                <w:szCs w:val="24"/>
              </w:rPr>
              <w:t>%</w:t>
            </w:r>
          </w:p>
        </w:tc>
        <w:tc>
          <w:tcPr>
            <w:tcW w:w="1418" w:type="dxa"/>
          </w:tcPr>
          <w:p w:rsidR="00CB618D" w:rsidRDefault="00506889" w:rsidP="00A51D10">
            <w:pPr>
              <w:pStyle w:val="BodyTextIndent3"/>
              <w:ind w:left="0" w:firstLine="0"/>
              <w:jc w:val="center"/>
              <w:rPr>
                <w:rFonts w:cs="Arial"/>
                <w:szCs w:val="24"/>
              </w:rPr>
            </w:pPr>
            <w:r>
              <w:rPr>
                <w:rFonts w:cs="Arial"/>
                <w:szCs w:val="24"/>
              </w:rPr>
              <w:t>A</w:t>
            </w:r>
            <w:r w:rsidR="009B3825">
              <w:rPr>
                <w:rFonts w:cs="Arial"/>
                <w:szCs w:val="24"/>
              </w:rPr>
              <w:t>ctive</w:t>
            </w:r>
          </w:p>
        </w:tc>
      </w:tr>
      <w:tr w:rsidR="00CB618D" w:rsidTr="00AD7747">
        <w:tc>
          <w:tcPr>
            <w:tcW w:w="3686" w:type="dxa"/>
          </w:tcPr>
          <w:p w:rsidR="00CB618D" w:rsidRPr="00B04F4B" w:rsidRDefault="00433F3F" w:rsidP="00712089">
            <w:pPr>
              <w:pStyle w:val="BodyTextIndent3"/>
              <w:ind w:left="0" w:firstLine="0"/>
              <w:jc w:val="left"/>
              <w:rPr>
                <w:rFonts w:cs="Arial"/>
                <w:b/>
                <w:szCs w:val="24"/>
              </w:rPr>
            </w:pPr>
            <w:r w:rsidRPr="00B04F4B">
              <w:rPr>
                <w:rFonts w:cs="Arial"/>
                <w:b/>
                <w:szCs w:val="24"/>
              </w:rPr>
              <w:t>Infrastructure</w:t>
            </w:r>
          </w:p>
        </w:tc>
        <w:tc>
          <w:tcPr>
            <w:tcW w:w="1417" w:type="dxa"/>
          </w:tcPr>
          <w:p w:rsidR="00CB618D" w:rsidRDefault="00433F3F" w:rsidP="00A51D10">
            <w:pPr>
              <w:pStyle w:val="BodyTextIndent3"/>
              <w:ind w:left="0" w:firstLine="0"/>
              <w:jc w:val="center"/>
              <w:rPr>
                <w:rFonts w:cs="Arial"/>
                <w:szCs w:val="24"/>
              </w:rPr>
            </w:pPr>
            <w:r>
              <w:rPr>
                <w:rFonts w:cs="Arial"/>
                <w:szCs w:val="24"/>
              </w:rPr>
              <w:t>6%</w:t>
            </w:r>
          </w:p>
        </w:tc>
        <w:tc>
          <w:tcPr>
            <w:tcW w:w="2268" w:type="dxa"/>
          </w:tcPr>
          <w:p w:rsidR="00CB618D" w:rsidRDefault="00433F3F" w:rsidP="00A51D10">
            <w:pPr>
              <w:pStyle w:val="BodyTextIndent3"/>
              <w:ind w:left="0" w:firstLine="0"/>
              <w:jc w:val="center"/>
              <w:rPr>
                <w:rFonts w:cs="Arial"/>
                <w:szCs w:val="24"/>
              </w:rPr>
            </w:pPr>
            <w:r>
              <w:rPr>
                <w:rFonts w:cs="Arial"/>
                <w:szCs w:val="24"/>
              </w:rPr>
              <w:t>8% a</w:t>
            </w:r>
            <w:r w:rsidRPr="00B4747C">
              <w:rPr>
                <w:rFonts w:cs="Arial"/>
                <w:szCs w:val="24"/>
              </w:rPr>
              <w:t>bsolute return</w:t>
            </w:r>
          </w:p>
        </w:tc>
        <w:tc>
          <w:tcPr>
            <w:tcW w:w="1418" w:type="dxa"/>
          </w:tcPr>
          <w:p w:rsidR="00CB618D" w:rsidRDefault="00335AB6" w:rsidP="00A51D10">
            <w:pPr>
              <w:pStyle w:val="BodyTextIndent3"/>
              <w:ind w:left="0" w:firstLine="0"/>
              <w:jc w:val="center"/>
              <w:rPr>
                <w:rFonts w:cs="Arial"/>
                <w:szCs w:val="24"/>
              </w:rPr>
            </w:pPr>
            <w:r>
              <w:rPr>
                <w:rFonts w:cs="Arial"/>
                <w:szCs w:val="24"/>
              </w:rPr>
              <w:t>A</w:t>
            </w:r>
            <w:r w:rsidR="003D68E0">
              <w:rPr>
                <w:rFonts w:cs="Arial"/>
                <w:szCs w:val="24"/>
              </w:rPr>
              <w:t>ctive</w:t>
            </w:r>
          </w:p>
        </w:tc>
      </w:tr>
      <w:tr w:rsidR="00CB618D" w:rsidTr="00AD7747">
        <w:tc>
          <w:tcPr>
            <w:tcW w:w="3686" w:type="dxa"/>
          </w:tcPr>
          <w:p w:rsidR="00CB618D" w:rsidRPr="00B04F4B" w:rsidRDefault="003D68E0" w:rsidP="00712089">
            <w:pPr>
              <w:pStyle w:val="BodyTextIndent3"/>
              <w:ind w:left="0" w:firstLine="0"/>
              <w:jc w:val="left"/>
              <w:rPr>
                <w:rFonts w:cs="Arial"/>
                <w:b/>
                <w:szCs w:val="24"/>
              </w:rPr>
            </w:pPr>
            <w:r w:rsidRPr="00B04F4B">
              <w:rPr>
                <w:rFonts w:cs="Arial"/>
                <w:b/>
                <w:szCs w:val="24"/>
              </w:rPr>
              <w:t>Diversified growth</w:t>
            </w:r>
          </w:p>
        </w:tc>
        <w:tc>
          <w:tcPr>
            <w:tcW w:w="1417" w:type="dxa"/>
          </w:tcPr>
          <w:p w:rsidR="00CB618D" w:rsidRDefault="003D68E0" w:rsidP="00A51D10">
            <w:pPr>
              <w:pStyle w:val="BodyTextIndent3"/>
              <w:ind w:left="0" w:firstLine="0"/>
              <w:jc w:val="center"/>
              <w:rPr>
                <w:rFonts w:cs="Arial"/>
                <w:szCs w:val="24"/>
              </w:rPr>
            </w:pPr>
            <w:r>
              <w:rPr>
                <w:rFonts w:cs="Arial"/>
                <w:szCs w:val="24"/>
              </w:rPr>
              <w:t>8%</w:t>
            </w:r>
          </w:p>
        </w:tc>
        <w:tc>
          <w:tcPr>
            <w:tcW w:w="2268" w:type="dxa"/>
          </w:tcPr>
          <w:p w:rsidR="00CB618D" w:rsidRDefault="003D68E0" w:rsidP="00A51D10">
            <w:pPr>
              <w:pStyle w:val="BodyTextIndent3"/>
              <w:ind w:left="0" w:firstLine="0"/>
              <w:jc w:val="center"/>
              <w:rPr>
                <w:rFonts w:cs="Arial"/>
                <w:szCs w:val="24"/>
              </w:rPr>
            </w:pPr>
            <w:r>
              <w:rPr>
                <w:rFonts w:cs="Arial"/>
                <w:szCs w:val="24"/>
              </w:rPr>
              <w:t>Base Rate + 3.5%</w:t>
            </w:r>
          </w:p>
        </w:tc>
        <w:tc>
          <w:tcPr>
            <w:tcW w:w="1418" w:type="dxa"/>
          </w:tcPr>
          <w:p w:rsidR="00CB618D" w:rsidRDefault="00335AB6" w:rsidP="00A51D10">
            <w:pPr>
              <w:pStyle w:val="BodyTextIndent3"/>
              <w:ind w:left="0" w:firstLine="0"/>
              <w:jc w:val="center"/>
              <w:rPr>
                <w:rFonts w:cs="Arial"/>
                <w:szCs w:val="24"/>
              </w:rPr>
            </w:pPr>
            <w:r>
              <w:rPr>
                <w:rFonts w:cs="Arial"/>
                <w:szCs w:val="24"/>
              </w:rPr>
              <w:t>A</w:t>
            </w:r>
            <w:r w:rsidR="003D68E0">
              <w:rPr>
                <w:rFonts w:cs="Arial"/>
                <w:szCs w:val="24"/>
              </w:rPr>
              <w:t>ctive</w:t>
            </w:r>
          </w:p>
        </w:tc>
      </w:tr>
      <w:tr w:rsidR="00335AB6" w:rsidTr="00AD7747">
        <w:tc>
          <w:tcPr>
            <w:tcW w:w="3686" w:type="dxa"/>
          </w:tcPr>
          <w:p w:rsidR="00335AB6" w:rsidRPr="00B04F4B" w:rsidRDefault="0052087F" w:rsidP="00712089">
            <w:pPr>
              <w:pStyle w:val="BodyTextIndent3"/>
              <w:ind w:left="0" w:firstLine="0"/>
              <w:jc w:val="left"/>
              <w:rPr>
                <w:rFonts w:cs="Arial"/>
                <w:b/>
                <w:szCs w:val="24"/>
              </w:rPr>
            </w:pPr>
            <w:r w:rsidRPr="00B04F4B">
              <w:rPr>
                <w:rFonts w:cs="Arial"/>
                <w:b/>
                <w:szCs w:val="24"/>
              </w:rPr>
              <w:t>Cash</w:t>
            </w:r>
          </w:p>
        </w:tc>
        <w:tc>
          <w:tcPr>
            <w:tcW w:w="1417" w:type="dxa"/>
          </w:tcPr>
          <w:p w:rsidR="00335AB6" w:rsidRDefault="0052087F" w:rsidP="00A51D10">
            <w:pPr>
              <w:pStyle w:val="BodyTextIndent3"/>
              <w:ind w:left="0" w:firstLine="0"/>
              <w:jc w:val="center"/>
              <w:rPr>
                <w:rFonts w:cs="Arial"/>
                <w:szCs w:val="24"/>
              </w:rPr>
            </w:pPr>
            <w:r>
              <w:rPr>
                <w:rFonts w:cs="Arial"/>
                <w:szCs w:val="24"/>
              </w:rPr>
              <w:t>1%</w:t>
            </w:r>
          </w:p>
        </w:tc>
        <w:tc>
          <w:tcPr>
            <w:tcW w:w="2268" w:type="dxa"/>
          </w:tcPr>
          <w:p w:rsidR="00335AB6" w:rsidRDefault="0052087F" w:rsidP="00A51D10">
            <w:pPr>
              <w:pStyle w:val="BodyTextIndent3"/>
              <w:ind w:left="0" w:firstLine="0"/>
              <w:jc w:val="center"/>
              <w:rPr>
                <w:rFonts w:cs="Arial"/>
                <w:szCs w:val="24"/>
              </w:rPr>
            </w:pPr>
            <w:r>
              <w:rPr>
                <w:rFonts w:cs="Arial"/>
                <w:szCs w:val="24"/>
              </w:rPr>
              <w:t>Base Rate</w:t>
            </w:r>
          </w:p>
        </w:tc>
        <w:tc>
          <w:tcPr>
            <w:tcW w:w="1418" w:type="dxa"/>
          </w:tcPr>
          <w:p w:rsidR="00335AB6" w:rsidRDefault="0052087F" w:rsidP="00A51D10">
            <w:pPr>
              <w:pStyle w:val="BodyTextIndent3"/>
              <w:ind w:left="0" w:firstLine="0"/>
              <w:jc w:val="center"/>
              <w:rPr>
                <w:rFonts w:cs="Arial"/>
                <w:szCs w:val="24"/>
              </w:rPr>
            </w:pPr>
            <w:r>
              <w:rPr>
                <w:rFonts w:cs="Arial"/>
                <w:szCs w:val="24"/>
              </w:rPr>
              <w:t>Active</w:t>
            </w:r>
          </w:p>
        </w:tc>
      </w:tr>
      <w:tr w:rsidR="00A51D10" w:rsidRPr="00B04F4B" w:rsidTr="00AD7747">
        <w:tc>
          <w:tcPr>
            <w:tcW w:w="3686" w:type="dxa"/>
          </w:tcPr>
          <w:p w:rsidR="00A51D10" w:rsidRPr="00B04F4B" w:rsidRDefault="00A51D10" w:rsidP="00712089">
            <w:pPr>
              <w:pStyle w:val="BodyTextIndent3"/>
              <w:ind w:left="0" w:firstLine="0"/>
              <w:jc w:val="left"/>
              <w:rPr>
                <w:rFonts w:cs="Arial"/>
                <w:b/>
                <w:szCs w:val="24"/>
              </w:rPr>
            </w:pPr>
          </w:p>
        </w:tc>
        <w:tc>
          <w:tcPr>
            <w:tcW w:w="1417" w:type="dxa"/>
          </w:tcPr>
          <w:p w:rsidR="00A51D10" w:rsidRPr="00B04F4B" w:rsidRDefault="00A51D10" w:rsidP="00A51D10">
            <w:pPr>
              <w:pStyle w:val="BodyTextIndent3"/>
              <w:ind w:left="0" w:firstLine="0"/>
              <w:jc w:val="center"/>
              <w:rPr>
                <w:rFonts w:cs="Arial"/>
                <w:b/>
                <w:szCs w:val="24"/>
              </w:rPr>
            </w:pPr>
          </w:p>
        </w:tc>
        <w:tc>
          <w:tcPr>
            <w:tcW w:w="2268" w:type="dxa"/>
          </w:tcPr>
          <w:p w:rsidR="00A51D10" w:rsidRPr="00B04F4B" w:rsidRDefault="00A51D10" w:rsidP="00A51D10">
            <w:pPr>
              <w:pStyle w:val="BodyTextIndent3"/>
              <w:ind w:left="0" w:firstLine="0"/>
              <w:jc w:val="center"/>
              <w:rPr>
                <w:rFonts w:cs="Arial"/>
                <w:b/>
                <w:szCs w:val="24"/>
              </w:rPr>
            </w:pPr>
          </w:p>
        </w:tc>
        <w:tc>
          <w:tcPr>
            <w:tcW w:w="1418" w:type="dxa"/>
          </w:tcPr>
          <w:p w:rsidR="00A51D10" w:rsidRPr="00B04F4B" w:rsidRDefault="00A51D10" w:rsidP="00A51D10">
            <w:pPr>
              <w:pStyle w:val="BodyTextIndent3"/>
              <w:ind w:left="0" w:firstLine="0"/>
              <w:jc w:val="center"/>
              <w:rPr>
                <w:rFonts w:cs="Arial"/>
                <w:b/>
                <w:szCs w:val="24"/>
              </w:rPr>
            </w:pPr>
          </w:p>
        </w:tc>
      </w:tr>
      <w:tr w:rsidR="00335AB6" w:rsidRPr="00B04F4B" w:rsidTr="00AD7747">
        <w:tc>
          <w:tcPr>
            <w:tcW w:w="3686" w:type="dxa"/>
          </w:tcPr>
          <w:p w:rsidR="00335AB6" w:rsidRPr="00B04F4B" w:rsidRDefault="00B04F4B" w:rsidP="00712089">
            <w:pPr>
              <w:pStyle w:val="BodyTextIndent3"/>
              <w:ind w:left="0" w:firstLine="0"/>
              <w:jc w:val="left"/>
              <w:rPr>
                <w:rFonts w:cs="Arial"/>
                <w:b/>
                <w:szCs w:val="24"/>
              </w:rPr>
            </w:pPr>
            <w:r w:rsidRPr="00B04F4B">
              <w:rPr>
                <w:rFonts w:cs="Arial"/>
                <w:b/>
                <w:szCs w:val="24"/>
              </w:rPr>
              <w:t>Total</w:t>
            </w:r>
          </w:p>
        </w:tc>
        <w:tc>
          <w:tcPr>
            <w:tcW w:w="1417" w:type="dxa"/>
          </w:tcPr>
          <w:p w:rsidR="00335AB6" w:rsidRPr="00B04F4B" w:rsidRDefault="00B04F4B" w:rsidP="00A51D10">
            <w:pPr>
              <w:pStyle w:val="BodyTextIndent3"/>
              <w:ind w:left="0" w:firstLine="0"/>
              <w:jc w:val="center"/>
              <w:rPr>
                <w:rFonts w:cs="Arial"/>
                <w:b/>
                <w:szCs w:val="24"/>
              </w:rPr>
            </w:pPr>
            <w:r w:rsidRPr="00B04F4B">
              <w:rPr>
                <w:rFonts w:cs="Arial"/>
                <w:b/>
                <w:szCs w:val="24"/>
              </w:rPr>
              <w:t>100%</w:t>
            </w:r>
          </w:p>
        </w:tc>
        <w:tc>
          <w:tcPr>
            <w:tcW w:w="2268" w:type="dxa"/>
          </w:tcPr>
          <w:p w:rsidR="00335AB6" w:rsidRPr="00B04F4B" w:rsidRDefault="00335AB6" w:rsidP="00A51D10">
            <w:pPr>
              <w:pStyle w:val="BodyTextIndent3"/>
              <w:ind w:left="0" w:firstLine="0"/>
              <w:jc w:val="center"/>
              <w:rPr>
                <w:rFonts w:cs="Arial"/>
                <w:b/>
                <w:szCs w:val="24"/>
              </w:rPr>
            </w:pPr>
          </w:p>
        </w:tc>
        <w:tc>
          <w:tcPr>
            <w:tcW w:w="1418" w:type="dxa"/>
          </w:tcPr>
          <w:p w:rsidR="00335AB6" w:rsidRPr="00B04F4B" w:rsidRDefault="00335AB6" w:rsidP="00A51D10">
            <w:pPr>
              <w:pStyle w:val="BodyTextIndent3"/>
              <w:ind w:left="0" w:firstLine="0"/>
              <w:jc w:val="center"/>
              <w:rPr>
                <w:rFonts w:cs="Arial"/>
                <w:b/>
                <w:szCs w:val="24"/>
              </w:rPr>
            </w:pPr>
          </w:p>
        </w:tc>
      </w:tr>
    </w:tbl>
    <w:p w:rsidR="00F837F2" w:rsidRDefault="00F837F2" w:rsidP="00712089">
      <w:pPr>
        <w:pStyle w:val="BodyTextIndent3"/>
        <w:ind w:left="0" w:firstLine="0"/>
        <w:jc w:val="left"/>
        <w:rPr>
          <w:rFonts w:cs="Arial"/>
          <w:szCs w:val="24"/>
        </w:rPr>
      </w:pPr>
    </w:p>
    <w:p w:rsidR="003A5EF3" w:rsidRDefault="00290AD1" w:rsidP="003617D9">
      <w:pPr>
        <w:rPr>
          <w:rFonts w:ascii="Arial" w:hAnsi="Arial" w:cs="Arial"/>
          <w:sz w:val="24"/>
          <w:szCs w:val="24"/>
        </w:rPr>
      </w:pPr>
      <w:r>
        <w:rPr>
          <w:rFonts w:ascii="Arial" w:hAnsi="Arial" w:cs="Arial"/>
          <w:sz w:val="24"/>
          <w:szCs w:val="24"/>
        </w:rPr>
        <w:t>The above allocations, ranges and management structure comply with the limits set out in Schedule 1 of the Regulations.</w:t>
      </w:r>
      <w:r w:rsidR="00E8259C" w:rsidRPr="00E8259C">
        <w:rPr>
          <w:rFonts w:ascii="Arial" w:hAnsi="Arial" w:cs="Arial"/>
          <w:sz w:val="24"/>
          <w:szCs w:val="24"/>
        </w:rPr>
        <w:t xml:space="preserve"> </w:t>
      </w:r>
      <w:r w:rsidR="00E8259C">
        <w:rPr>
          <w:rFonts w:ascii="Arial" w:hAnsi="Arial" w:cs="Arial"/>
          <w:sz w:val="24"/>
          <w:szCs w:val="24"/>
        </w:rPr>
        <w:t>The achievement of these benchmark returns</w:t>
      </w:r>
      <w:r w:rsidR="00E8259C" w:rsidRPr="00B4747C">
        <w:rPr>
          <w:rFonts w:ascii="Arial" w:hAnsi="Arial" w:cs="Arial"/>
          <w:sz w:val="24"/>
          <w:szCs w:val="24"/>
        </w:rPr>
        <w:t xml:space="preserve"> should atta</w:t>
      </w:r>
      <w:r w:rsidR="00E8259C">
        <w:rPr>
          <w:rFonts w:ascii="Arial" w:hAnsi="Arial" w:cs="Arial"/>
          <w:sz w:val="24"/>
          <w:szCs w:val="24"/>
        </w:rPr>
        <w:t xml:space="preserve">in a </w:t>
      </w:r>
      <w:r w:rsidR="00E8259C" w:rsidRPr="00B4747C">
        <w:rPr>
          <w:rFonts w:ascii="Arial" w:hAnsi="Arial" w:cs="Arial"/>
          <w:sz w:val="24"/>
          <w:szCs w:val="24"/>
        </w:rPr>
        <w:t xml:space="preserve">real rate of return of 4% - 5% </w:t>
      </w:r>
      <w:r w:rsidR="00E8259C">
        <w:rPr>
          <w:rFonts w:ascii="Arial" w:hAnsi="Arial" w:cs="Arial"/>
          <w:sz w:val="24"/>
          <w:szCs w:val="24"/>
        </w:rPr>
        <w:t xml:space="preserve">above inflation </w:t>
      </w:r>
      <w:r w:rsidR="00E8259C" w:rsidRPr="00B4747C">
        <w:rPr>
          <w:rFonts w:ascii="Arial" w:hAnsi="Arial" w:cs="Arial"/>
          <w:sz w:val="24"/>
          <w:szCs w:val="24"/>
        </w:rPr>
        <w:t>per annum over rolling three-year periods</w:t>
      </w:r>
      <w:r w:rsidR="00E8259C">
        <w:rPr>
          <w:rFonts w:ascii="Arial" w:hAnsi="Arial" w:cs="Arial"/>
          <w:sz w:val="24"/>
          <w:szCs w:val="24"/>
        </w:rPr>
        <w:t>. The 2010</w:t>
      </w:r>
      <w:r w:rsidR="00E8259C" w:rsidRPr="00B4747C">
        <w:rPr>
          <w:rFonts w:ascii="Arial" w:hAnsi="Arial" w:cs="Arial"/>
          <w:sz w:val="24"/>
          <w:szCs w:val="24"/>
        </w:rPr>
        <w:t xml:space="preserve"> Actuarial Valuation </w:t>
      </w:r>
      <w:r w:rsidR="00E8259C">
        <w:rPr>
          <w:rFonts w:ascii="Arial" w:hAnsi="Arial" w:cs="Arial"/>
          <w:sz w:val="24"/>
          <w:szCs w:val="24"/>
        </w:rPr>
        <w:t>assumed a return of gilts plus 3</w:t>
      </w:r>
      <w:r w:rsidR="00E8259C" w:rsidRPr="00B4747C">
        <w:rPr>
          <w:rFonts w:ascii="Arial" w:hAnsi="Arial" w:cs="Arial"/>
          <w:sz w:val="24"/>
          <w:szCs w:val="24"/>
        </w:rPr>
        <w:t>% per ann</w:t>
      </w:r>
      <w:r w:rsidR="00E8259C">
        <w:rPr>
          <w:rFonts w:ascii="Arial" w:hAnsi="Arial" w:cs="Arial"/>
          <w:sz w:val="24"/>
          <w:szCs w:val="24"/>
        </w:rPr>
        <w:t>um, giving a total return of 7.5</w:t>
      </w:r>
      <w:r w:rsidR="00E8259C" w:rsidRPr="00B4747C">
        <w:rPr>
          <w:rFonts w:ascii="Arial" w:hAnsi="Arial" w:cs="Arial"/>
          <w:sz w:val="24"/>
          <w:szCs w:val="24"/>
        </w:rPr>
        <w:t>% per annum.</w:t>
      </w:r>
    </w:p>
    <w:p w:rsidR="00290AD1" w:rsidRDefault="00290AD1" w:rsidP="003617D9">
      <w:pPr>
        <w:rPr>
          <w:rFonts w:ascii="Arial" w:hAnsi="Arial" w:cs="Arial"/>
          <w:sz w:val="24"/>
          <w:szCs w:val="24"/>
        </w:rPr>
      </w:pPr>
    </w:p>
    <w:p w:rsidR="009A3C68" w:rsidRDefault="008B5D36" w:rsidP="003617D9">
      <w:pPr>
        <w:rPr>
          <w:rFonts w:ascii="Arial" w:hAnsi="Arial" w:cs="Arial"/>
          <w:sz w:val="24"/>
          <w:szCs w:val="24"/>
        </w:rPr>
      </w:pPr>
      <w:r>
        <w:rPr>
          <w:rFonts w:ascii="Arial" w:hAnsi="Arial" w:cs="Arial"/>
          <w:sz w:val="24"/>
          <w:szCs w:val="24"/>
        </w:rPr>
        <w:t>The investment style is to appoint fund managers with clear performance benchmarks and place maximum accountability for performance against the benchmark with the investment manager. A number of fund managers are appointed to give diversification of investment style and spread of risk.</w:t>
      </w:r>
    </w:p>
    <w:p w:rsidR="009A3C68" w:rsidRDefault="009A3C68" w:rsidP="003617D9">
      <w:pPr>
        <w:rPr>
          <w:rFonts w:ascii="Arial" w:hAnsi="Arial" w:cs="Arial"/>
          <w:sz w:val="24"/>
          <w:szCs w:val="24"/>
        </w:rPr>
      </w:pPr>
    </w:p>
    <w:p w:rsidR="00290AD1" w:rsidRDefault="00DC4F63" w:rsidP="003617D9">
      <w:pPr>
        <w:rPr>
          <w:rFonts w:ascii="Arial" w:hAnsi="Arial" w:cs="Arial"/>
          <w:sz w:val="24"/>
          <w:szCs w:val="24"/>
        </w:rPr>
      </w:pPr>
      <w:r>
        <w:rPr>
          <w:rFonts w:ascii="Arial" w:hAnsi="Arial" w:cs="Arial"/>
          <w:sz w:val="24"/>
          <w:szCs w:val="24"/>
        </w:rPr>
        <w:t>The fund managers appointed are mainly remunerated through fees based on the value of assets under management. Private equity and infrastructure managers are remunerated through fees based on commitments and also performance related fees.</w:t>
      </w:r>
    </w:p>
    <w:p w:rsidR="00116A2D" w:rsidRDefault="00116A2D" w:rsidP="003617D9">
      <w:pPr>
        <w:rPr>
          <w:rFonts w:ascii="Arial" w:hAnsi="Arial" w:cs="Arial"/>
          <w:sz w:val="24"/>
          <w:szCs w:val="24"/>
        </w:rPr>
      </w:pPr>
    </w:p>
    <w:p w:rsidR="005B480D" w:rsidRDefault="00180571" w:rsidP="003617D9">
      <w:pPr>
        <w:rPr>
          <w:rFonts w:ascii="Arial" w:hAnsi="Arial" w:cs="Arial"/>
          <w:sz w:val="24"/>
          <w:szCs w:val="24"/>
        </w:rPr>
      </w:pPr>
      <w:r>
        <w:rPr>
          <w:rFonts w:ascii="Arial" w:hAnsi="Arial" w:cs="Arial"/>
          <w:sz w:val="24"/>
          <w:szCs w:val="24"/>
        </w:rPr>
        <w:t xml:space="preserve">The investment strategy is </w:t>
      </w:r>
      <w:r w:rsidR="00B04706" w:rsidRPr="00B4747C">
        <w:rPr>
          <w:rFonts w:ascii="Arial" w:hAnsi="Arial" w:cs="Arial"/>
          <w:sz w:val="24"/>
          <w:szCs w:val="24"/>
        </w:rPr>
        <w:t>considered at least annually</w:t>
      </w:r>
      <w:r>
        <w:rPr>
          <w:rFonts w:ascii="Arial" w:hAnsi="Arial" w:cs="Arial"/>
          <w:sz w:val="24"/>
          <w:szCs w:val="24"/>
        </w:rPr>
        <w:t xml:space="preserve">, with </w:t>
      </w:r>
      <w:r w:rsidR="00B04706">
        <w:rPr>
          <w:rFonts w:ascii="Arial" w:hAnsi="Arial" w:cs="Arial"/>
          <w:sz w:val="24"/>
          <w:szCs w:val="24"/>
        </w:rPr>
        <w:t>the</w:t>
      </w:r>
      <w:r>
        <w:rPr>
          <w:rFonts w:ascii="Arial" w:hAnsi="Arial" w:cs="Arial"/>
          <w:sz w:val="24"/>
          <w:szCs w:val="24"/>
        </w:rPr>
        <w:t xml:space="preserve"> </w:t>
      </w:r>
      <w:r w:rsidR="00B04706">
        <w:rPr>
          <w:rFonts w:ascii="Arial" w:hAnsi="Arial" w:cs="Arial"/>
          <w:sz w:val="24"/>
          <w:szCs w:val="24"/>
        </w:rPr>
        <w:t xml:space="preserve">next </w:t>
      </w:r>
      <w:r>
        <w:rPr>
          <w:rFonts w:ascii="Arial" w:hAnsi="Arial" w:cs="Arial"/>
          <w:sz w:val="24"/>
          <w:szCs w:val="24"/>
        </w:rPr>
        <w:t xml:space="preserve">major review </w:t>
      </w:r>
      <w:r w:rsidR="00B04706">
        <w:rPr>
          <w:rFonts w:ascii="Arial" w:hAnsi="Arial" w:cs="Arial"/>
          <w:sz w:val="24"/>
          <w:szCs w:val="24"/>
        </w:rPr>
        <w:t>of asset allocation</w:t>
      </w:r>
      <w:r w:rsidR="00444D29" w:rsidRPr="00444D29">
        <w:rPr>
          <w:rFonts w:ascii="Arial" w:hAnsi="Arial" w:cs="Arial"/>
          <w:sz w:val="24"/>
          <w:szCs w:val="24"/>
        </w:rPr>
        <w:t xml:space="preserve"> </w:t>
      </w:r>
      <w:r w:rsidR="00444D29">
        <w:rPr>
          <w:rFonts w:ascii="Arial" w:hAnsi="Arial" w:cs="Arial"/>
          <w:sz w:val="24"/>
          <w:szCs w:val="24"/>
        </w:rPr>
        <w:t>expected to be in 2014</w:t>
      </w:r>
      <w:r>
        <w:rPr>
          <w:rFonts w:ascii="Arial" w:hAnsi="Arial" w:cs="Arial"/>
          <w:sz w:val="24"/>
          <w:szCs w:val="24"/>
        </w:rPr>
        <w:t xml:space="preserve"> following </w:t>
      </w:r>
      <w:r w:rsidR="00444D29">
        <w:rPr>
          <w:rFonts w:ascii="Arial" w:hAnsi="Arial" w:cs="Arial"/>
          <w:sz w:val="24"/>
          <w:szCs w:val="24"/>
        </w:rPr>
        <w:t>the</w:t>
      </w:r>
      <w:r>
        <w:rPr>
          <w:rFonts w:ascii="Arial" w:hAnsi="Arial" w:cs="Arial"/>
          <w:sz w:val="24"/>
          <w:szCs w:val="24"/>
        </w:rPr>
        <w:t xml:space="preserve"> triennial actuarial valuation.</w:t>
      </w:r>
    </w:p>
    <w:p w:rsidR="005B480D" w:rsidRDefault="005B480D">
      <w:pPr>
        <w:rPr>
          <w:rFonts w:ascii="Arial" w:hAnsi="Arial" w:cs="Arial"/>
          <w:sz w:val="24"/>
          <w:szCs w:val="24"/>
        </w:rPr>
      </w:pPr>
      <w:r>
        <w:rPr>
          <w:rFonts w:ascii="Arial" w:hAnsi="Arial" w:cs="Arial"/>
          <w:sz w:val="24"/>
          <w:szCs w:val="24"/>
        </w:rPr>
        <w:br w:type="page"/>
      </w:r>
    </w:p>
    <w:p w:rsidR="00267884" w:rsidRDefault="00267884" w:rsidP="003617D9">
      <w:pPr>
        <w:rPr>
          <w:rFonts w:ascii="Arial" w:hAnsi="Arial" w:cs="Arial"/>
          <w:sz w:val="24"/>
          <w:szCs w:val="24"/>
        </w:rPr>
      </w:pPr>
      <w:r>
        <w:rPr>
          <w:rFonts w:ascii="Arial" w:hAnsi="Arial" w:cs="Arial"/>
          <w:sz w:val="24"/>
          <w:szCs w:val="24"/>
        </w:rPr>
        <w:lastRenderedPageBreak/>
        <w:t>Actual asset allocations are monit</w:t>
      </w:r>
      <w:r w:rsidR="00D1458A">
        <w:rPr>
          <w:rFonts w:ascii="Arial" w:hAnsi="Arial" w:cs="Arial"/>
          <w:sz w:val="24"/>
          <w:szCs w:val="24"/>
        </w:rPr>
        <w:t>ored against the above structure and rebalanced as appropriate. The Chief Finance Officer has delegated authority to undertake a quarterly rebalancing of the asset classes should they materially diverge from their target allocations.</w:t>
      </w:r>
    </w:p>
    <w:p w:rsidR="00B05332" w:rsidRDefault="00B05332" w:rsidP="003617D9">
      <w:pPr>
        <w:rPr>
          <w:rFonts w:ascii="Arial" w:hAnsi="Arial" w:cs="Arial"/>
          <w:sz w:val="24"/>
          <w:szCs w:val="24"/>
        </w:rPr>
      </w:pPr>
    </w:p>
    <w:p w:rsidR="00C32383" w:rsidRDefault="003A5EF3" w:rsidP="00712089">
      <w:pPr>
        <w:tabs>
          <w:tab w:val="left" w:pos="-1440"/>
        </w:tabs>
        <w:rPr>
          <w:rFonts w:ascii="Arial" w:hAnsi="Arial" w:cs="Arial"/>
          <w:sz w:val="24"/>
          <w:szCs w:val="24"/>
        </w:rPr>
      </w:pPr>
      <w:r w:rsidRPr="00B4747C">
        <w:rPr>
          <w:rFonts w:ascii="Arial" w:hAnsi="Arial" w:cs="Arial"/>
          <w:sz w:val="24"/>
          <w:szCs w:val="24"/>
        </w:rPr>
        <w:t>For UK</w:t>
      </w:r>
      <w:r>
        <w:rPr>
          <w:rFonts w:ascii="Arial" w:hAnsi="Arial" w:cs="Arial"/>
          <w:sz w:val="24"/>
          <w:szCs w:val="24"/>
        </w:rPr>
        <w:t xml:space="preserve"> equities, the</w:t>
      </w:r>
      <w:r w:rsidRPr="00B4747C">
        <w:rPr>
          <w:rFonts w:ascii="Arial" w:hAnsi="Arial" w:cs="Arial"/>
          <w:sz w:val="24"/>
          <w:szCs w:val="24"/>
        </w:rPr>
        <w:t xml:space="preserve"> manager holds stocks in proportion to th</w:t>
      </w:r>
      <w:r w:rsidR="0081022A">
        <w:rPr>
          <w:rFonts w:ascii="Arial" w:hAnsi="Arial" w:cs="Arial"/>
          <w:sz w:val="24"/>
          <w:szCs w:val="24"/>
        </w:rPr>
        <w:t>eir weighting in the FTSE All S</w:t>
      </w:r>
      <w:r>
        <w:rPr>
          <w:rFonts w:ascii="Arial" w:hAnsi="Arial" w:cs="Arial"/>
          <w:sz w:val="24"/>
          <w:szCs w:val="24"/>
        </w:rPr>
        <w:t>hare</w:t>
      </w:r>
      <w:r w:rsidR="002E787D">
        <w:rPr>
          <w:rFonts w:ascii="Arial" w:hAnsi="Arial" w:cs="Arial"/>
          <w:sz w:val="24"/>
          <w:szCs w:val="24"/>
        </w:rPr>
        <w:t xml:space="preserve"> i</w:t>
      </w:r>
      <w:r w:rsidRPr="00B4747C">
        <w:rPr>
          <w:rFonts w:ascii="Arial" w:hAnsi="Arial" w:cs="Arial"/>
          <w:sz w:val="24"/>
          <w:szCs w:val="24"/>
        </w:rPr>
        <w:t>ndex (known as index tra</w:t>
      </w:r>
      <w:r w:rsidR="00006B06">
        <w:rPr>
          <w:rFonts w:ascii="Arial" w:hAnsi="Arial" w:cs="Arial"/>
          <w:sz w:val="24"/>
          <w:szCs w:val="24"/>
        </w:rPr>
        <w:t>cking, or passive, management).</w:t>
      </w:r>
      <w:r w:rsidR="00006B06" w:rsidRPr="00006B06">
        <w:rPr>
          <w:rFonts w:ascii="Arial" w:hAnsi="Arial" w:cs="Arial"/>
          <w:sz w:val="24"/>
          <w:szCs w:val="24"/>
        </w:rPr>
        <w:t xml:space="preserve"> </w:t>
      </w:r>
      <w:r w:rsidR="00006B06" w:rsidRPr="00B4747C">
        <w:rPr>
          <w:rFonts w:ascii="Arial" w:hAnsi="Arial" w:cs="Arial"/>
          <w:sz w:val="24"/>
          <w:szCs w:val="24"/>
        </w:rPr>
        <w:t>For overseas equities</w:t>
      </w:r>
      <w:r w:rsidR="00006B06">
        <w:rPr>
          <w:rFonts w:ascii="Arial" w:hAnsi="Arial" w:cs="Arial"/>
          <w:sz w:val="24"/>
          <w:szCs w:val="24"/>
        </w:rPr>
        <w:t xml:space="preserve"> (developed markets)</w:t>
      </w:r>
      <w:r w:rsidR="00006B06" w:rsidRPr="00B4747C">
        <w:rPr>
          <w:rFonts w:ascii="Arial" w:hAnsi="Arial" w:cs="Arial"/>
          <w:sz w:val="24"/>
          <w:szCs w:val="24"/>
        </w:rPr>
        <w:t xml:space="preserve">, </w:t>
      </w:r>
      <w:r w:rsidR="00006B06">
        <w:rPr>
          <w:rFonts w:ascii="Arial" w:hAnsi="Arial" w:cs="Arial"/>
          <w:sz w:val="24"/>
          <w:szCs w:val="24"/>
        </w:rPr>
        <w:t>th</w:t>
      </w:r>
      <w:r w:rsidR="004556A5">
        <w:rPr>
          <w:rFonts w:ascii="Arial" w:hAnsi="Arial" w:cs="Arial"/>
          <w:sz w:val="24"/>
          <w:szCs w:val="24"/>
        </w:rPr>
        <w:t>e manager tracks the</w:t>
      </w:r>
      <w:r w:rsidR="00006B06">
        <w:rPr>
          <w:rFonts w:ascii="Arial" w:hAnsi="Arial" w:cs="Arial"/>
          <w:sz w:val="24"/>
          <w:szCs w:val="24"/>
        </w:rPr>
        <w:t xml:space="preserve"> </w:t>
      </w:r>
      <w:r w:rsidR="004556A5">
        <w:rPr>
          <w:rFonts w:ascii="Arial" w:hAnsi="Arial" w:cs="Arial"/>
          <w:sz w:val="24"/>
          <w:szCs w:val="24"/>
        </w:rPr>
        <w:t>FTSE A</w:t>
      </w:r>
      <w:r w:rsidR="00452C00">
        <w:rPr>
          <w:rFonts w:ascii="Arial" w:hAnsi="Arial" w:cs="Arial"/>
          <w:sz w:val="24"/>
          <w:szCs w:val="24"/>
        </w:rPr>
        <w:t>W Developed</w:t>
      </w:r>
      <w:r w:rsidR="004556A5">
        <w:rPr>
          <w:rFonts w:ascii="Arial" w:hAnsi="Arial" w:cs="Arial"/>
          <w:sz w:val="24"/>
          <w:szCs w:val="24"/>
        </w:rPr>
        <w:t xml:space="preserve"> World (excl.UK) </w:t>
      </w:r>
      <w:r w:rsidR="00006B06">
        <w:rPr>
          <w:rFonts w:ascii="Arial" w:hAnsi="Arial" w:cs="Arial"/>
          <w:sz w:val="24"/>
          <w:szCs w:val="24"/>
        </w:rPr>
        <w:t>index.</w:t>
      </w:r>
      <w:r w:rsidR="002E787D">
        <w:rPr>
          <w:rFonts w:ascii="Arial" w:hAnsi="Arial" w:cs="Arial"/>
          <w:sz w:val="24"/>
          <w:szCs w:val="24"/>
        </w:rPr>
        <w:t xml:space="preserve"> </w:t>
      </w:r>
      <w:r w:rsidRPr="00B4747C">
        <w:rPr>
          <w:rFonts w:ascii="Arial" w:hAnsi="Arial" w:cs="Arial"/>
          <w:sz w:val="24"/>
          <w:szCs w:val="24"/>
        </w:rPr>
        <w:t xml:space="preserve">Index tracking has been chosen because </w:t>
      </w:r>
      <w:r>
        <w:rPr>
          <w:rFonts w:ascii="Arial" w:hAnsi="Arial" w:cs="Arial"/>
          <w:sz w:val="24"/>
          <w:szCs w:val="24"/>
        </w:rPr>
        <w:t>passive</w:t>
      </w:r>
      <w:r w:rsidRPr="00B4747C">
        <w:rPr>
          <w:rFonts w:ascii="Arial" w:hAnsi="Arial" w:cs="Arial"/>
          <w:sz w:val="24"/>
          <w:szCs w:val="24"/>
        </w:rPr>
        <w:t xml:space="preserve"> management </w:t>
      </w:r>
      <w:r>
        <w:rPr>
          <w:rFonts w:ascii="Arial" w:hAnsi="Arial" w:cs="Arial"/>
          <w:sz w:val="24"/>
          <w:szCs w:val="24"/>
        </w:rPr>
        <w:t xml:space="preserve">is less expensive than </w:t>
      </w:r>
      <w:r w:rsidR="00C32383">
        <w:rPr>
          <w:rFonts w:ascii="Arial" w:hAnsi="Arial" w:cs="Arial"/>
          <w:sz w:val="24"/>
          <w:szCs w:val="24"/>
        </w:rPr>
        <w:t>acti</w:t>
      </w:r>
      <w:r w:rsidR="00871DE5">
        <w:rPr>
          <w:rFonts w:ascii="Arial" w:hAnsi="Arial" w:cs="Arial"/>
          <w:sz w:val="24"/>
          <w:szCs w:val="24"/>
        </w:rPr>
        <w:t xml:space="preserve">ve management and the extent to which active management outperforms passive management is </w:t>
      </w:r>
      <w:r w:rsidR="00006B06">
        <w:rPr>
          <w:rFonts w:ascii="Arial" w:hAnsi="Arial" w:cs="Arial"/>
          <w:sz w:val="24"/>
          <w:szCs w:val="24"/>
        </w:rPr>
        <w:t>unclear</w:t>
      </w:r>
      <w:r w:rsidR="009F65C1">
        <w:rPr>
          <w:rFonts w:ascii="Arial" w:hAnsi="Arial" w:cs="Arial"/>
          <w:sz w:val="24"/>
          <w:szCs w:val="24"/>
        </w:rPr>
        <w:t>, particularly in developed markets</w:t>
      </w:r>
      <w:r w:rsidR="00871DE5">
        <w:rPr>
          <w:rFonts w:ascii="Arial" w:hAnsi="Arial" w:cs="Arial"/>
          <w:sz w:val="24"/>
          <w:szCs w:val="24"/>
        </w:rPr>
        <w:t>.</w:t>
      </w:r>
    </w:p>
    <w:p w:rsidR="00C32383" w:rsidRDefault="00C32383" w:rsidP="00712089">
      <w:pPr>
        <w:tabs>
          <w:tab w:val="left" w:pos="-1440"/>
        </w:tabs>
        <w:rPr>
          <w:rFonts w:ascii="Arial" w:hAnsi="Arial" w:cs="Arial"/>
          <w:sz w:val="24"/>
          <w:szCs w:val="24"/>
        </w:rPr>
      </w:pPr>
    </w:p>
    <w:p w:rsidR="000E6B6F" w:rsidRDefault="003A5EF3" w:rsidP="00712089">
      <w:pPr>
        <w:tabs>
          <w:tab w:val="left" w:pos="-1440"/>
        </w:tabs>
        <w:rPr>
          <w:rFonts w:ascii="Arial" w:hAnsi="Arial" w:cs="Arial"/>
          <w:sz w:val="24"/>
          <w:szCs w:val="24"/>
        </w:rPr>
      </w:pPr>
      <w:r w:rsidRPr="00B4747C">
        <w:rPr>
          <w:rFonts w:ascii="Arial" w:hAnsi="Arial" w:cs="Arial"/>
          <w:sz w:val="24"/>
          <w:szCs w:val="24"/>
        </w:rPr>
        <w:t>Active management has been chosen</w:t>
      </w:r>
      <w:r>
        <w:rPr>
          <w:rFonts w:ascii="Arial" w:hAnsi="Arial" w:cs="Arial"/>
          <w:sz w:val="24"/>
          <w:szCs w:val="24"/>
        </w:rPr>
        <w:t xml:space="preserve"> for exposure to overseas</w:t>
      </w:r>
      <w:r w:rsidR="009A3C68">
        <w:rPr>
          <w:rFonts w:ascii="Arial" w:hAnsi="Arial" w:cs="Arial"/>
          <w:sz w:val="24"/>
          <w:szCs w:val="24"/>
        </w:rPr>
        <w:t xml:space="preserve"> equities (emerging markets),</w:t>
      </w:r>
      <w:r>
        <w:rPr>
          <w:rFonts w:ascii="Arial" w:hAnsi="Arial" w:cs="Arial"/>
          <w:sz w:val="24"/>
          <w:szCs w:val="24"/>
        </w:rPr>
        <w:t xml:space="preserve"> UK</w:t>
      </w:r>
      <w:r w:rsidR="002D373F">
        <w:rPr>
          <w:rFonts w:ascii="Arial" w:hAnsi="Arial" w:cs="Arial"/>
          <w:sz w:val="24"/>
          <w:szCs w:val="24"/>
        </w:rPr>
        <w:t xml:space="preserve"> &amp; Irish</w:t>
      </w:r>
      <w:r>
        <w:rPr>
          <w:rFonts w:ascii="Arial" w:hAnsi="Arial" w:cs="Arial"/>
          <w:sz w:val="24"/>
          <w:szCs w:val="24"/>
        </w:rPr>
        <w:t xml:space="preserve"> small</w:t>
      </w:r>
      <w:r w:rsidR="00AD7747">
        <w:rPr>
          <w:rFonts w:ascii="Arial" w:hAnsi="Arial" w:cs="Arial"/>
          <w:sz w:val="24"/>
          <w:szCs w:val="24"/>
        </w:rPr>
        <w:t>er</w:t>
      </w:r>
      <w:r w:rsidR="00202B17">
        <w:rPr>
          <w:rFonts w:ascii="Arial" w:hAnsi="Arial" w:cs="Arial"/>
          <w:sz w:val="24"/>
          <w:szCs w:val="24"/>
        </w:rPr>
        <w:t xml:space="preserve"> companies,</w:t>
      </w:r>
      <w:r>
        <w:rPr>
          <w:rFonts w:ascii="Arial" w:hAnsi="Arial" w:cs="Arial"/>
          <w:sz w:val="24"/>
          <w:szCs w:val="24"/>
        </w:rPr>
        <w:t xml:space="preserve"> </w:t>
      </w:r>
      <w:r w:rsidRPr="00B4747C">
        <w:rPr>
          <w:rFonts w:ascii="Arial" w:hAnsi="Arial" w:cs="Arial"/>
          <w:sz w:val="24"/>
          <w:szCs w:val="24"/>
        </w:rPr>
        <w:t xml:space="preserve">because </w:t>
      </w:r>
      <w:r w:rsidR="009A0D9E">
        <w:rPr>
          <w:rFonts w:ascii="Arial" w:hAnsi="Arial" w:cs="Arial"/>
          <w:sz w:val="24"/>
          <w:szCs w:val="24"/>
        </w:rPr>
        <w:t xml:space="preserve">it is considered that </w:t>
      </w:r>
      <w:r w:rsidRPr="00B4747C">
        <w:rPr>
          <w:rFonts w:ascii="Arial" w:hAnsi="Arial" w:cs="Arial"/>
          <w:sz w:val="24"/>
          <w:szCs w:val="24"/>
        </w:rPr>
        <w:t>there are opportunities for the manager</w:t>
      </w:r>
      <w:r w:rsidR="002D373F">
        <w:rPr>
          <w:rFonts w:ascii="Arial" w:hAnsi="Arial" w:cs="Arial"/>
          <w:sz w:val="24"/>
          <w:szCs w:val="24"/>
        </w:rPr>
        <w:t>s</w:t>
      </w:r>
      <w:r w:rsidRPr="00B4747C">
        <w:rPr>
          <w:rFonts w:ascii="Arial" w:hAnsi="Arial" w:cs="Arial"/>
          <w:sz w:val="24"/>
          <w:szCs w:val="24"/>
        </w:rPr>
        <w:t xml:space="preserve"> to outperform thro</w:t>
      </w:r>
      <w:r w:rsidR="00C32383">
        <w:rPr>
          <w:rFonts w:ascii="Arial" w:hAnsi="Arial" w:cs="Arial"/>
          <w:sz w:val="24"/>
          <w:szCs w:val="24"/>
        </w:rPr>
        <w:t>ugh stock and sector selection.</w:t>
      </w:r>
      <w:r w:rsidR="00202B17" w:rsidRPr="00202B17">
        <w:rPr>
          <w:rFonts w:ascii="Arial" w:hAnsi="Arial" w:cs="Arial"/>
          <w:sz w:val="24"/>
          <w:szCs w:val="24"/>
        </w:rPr>
        <w:t xml:space="preserve"> </w:t>
      </w:r>
      <w:r w:rsidR="00202B17" w:rsidRPr="00B4747C">
        <w:rPr>
          <w:rFonts w:ascii="Arial" w:hAnsi="Arial" w:cs="Arial"/>
          <w:sz w:val="24"/>
          <w:szCs w:val="24"/>
        </w:rPr>
        <w:t xml:space="preserve">Active management has </w:t>
      </w:r>
      <w:r w:rsidR="004E4023">
        <w:rPr>
          <w:rFonts w:ascii="Arial" w:hAnsi="Arial" w:cs="Arial"/>
          <w:sz w:val="24"/>
          <w:szCs w:val="24"/>
        </w:rPr>
        <w:t xml:space="preserve">also </w:t>
      </w:r>
      <w:r w:rsidR="00202B17" w:rsidRPr="00B4747C">
        <w:rPr>
          <w:rFonts w:ascii="Arial" w:hAnsi="Arial" w:cs="Arial"/>
          <w:sz w:val="24"/>
          <w:szCs w:val="24"/>
        </w:rPr>
        <w:t>been chosen</w:t>
      </w:r>
      <w:r w:rsidR="004E4023">
        <w:rPr>
          <w:rFonts w:ascii="Arial" w:hAnsi="Arial" w:cs="Arial"/>
          <w:sz w:val="24"/>
          <w:szCs w:val="24"/>
        </w:rPr>
        <w:t xml:space="preserve"> for f</w:t>
      </w:r>
      <w:r>
        <w:rPr>
          <w:rFonts w:ascii="Arial" w:hAnsi="Arial" w:cs="Arial"/>
          <w:sz w:val="24"/>
          <w:szCs w:val="24"/>
        </w:rPr>
        <w:t>ixed income</w:t>
      </w:r>
      <w:r w:rsidRPr="00B4747C">
        <w:rPr>
          <w:rFonts w:ascii="Arial" w:hAnsi="Arial" w:cs="Arial"/>
          <w:sz w:val="24"/>
          <w:szCs w:val="24"/>
        </w:rPr>
        <w:t xml:space="preserve">, </w:t>
      </w:r>
      <w:r w:rsidR="00ED5C9D">
        <w:rPr>
          <w:rFonts w:ascii="Arial" w:hAnsi="Arial" w:cs="Arial"/>
          <w:sz w:val="24"/>
          <w:szCs w:val="24"/>
        </w:rPr>
        <w:t>affording</w:t>
      </w:r>
      <w:r w:rsidR="004E4023">
        <w:rPr>
          <w:rFonts w:ascii="Arial" w:hAnsi="Arial" w:cs="Arial"/>
          <w:sz w:val="24"/>
          <w:szCs w:val="24"/>
        </w:rPr>
        <w:t xml:space="preserve"> </w:t>
      </w:r>
      <w:r w:rsidR="00ED5C9D">
        <w:rPr>
          <w:rFonts w:ascii="Arial" w:hAnsi="Arial" w:cs="Arial"/>
          <w:sz w:val="24"/>
          <w:szCs w:val="24"/>
        </w:rPr>
        <w:t>the manager d</w:t>
      </w:r>
      <w:r w:rsidRPr="00B4747C">
        <w:rPr>
          <w:rFonts w:ascii="Arial" w:hAnsi="Arial" w:cs="Arial"/>
          <w:sz w:val="24"/>
          <w:szCs w:val="24"/>
        </w:rPr>
        <w:t>iscretion to change th</w:t>
      </w:r>
      <w:r>
        <w:rPr>
          <w:rFonts w:ascii="Arial" w:hAnsi="Arial" w:cs="Arial"/>
          <w:sz w:val="24"/>
          <w:szCs w:val="24"/>
        </w:rPr>
        <w:t>e asset allocation</w:t>
      </w:r>
      <w:r w:rsidR="00746E94">
        <w:rPr>
          <w:rFonts w:ascii="Arial" w:hAnsi="Arial" w:cs="Arial"/>
          <w:sz w:val="24"/>
          <w:szCs w:val="24"/>
        </w:rPr>
        <w:t xml:space="preserve"> using a range of</w:t>
      </w:r>
      <w:r w:rsidRPr="00B4747C">
        <w:rPr>
          <w:rFonts w:ascii="Arial" w:hAnsi="Arial" w:cs="Arial"/>
          <w:sz w:val="24"/>
          <w:szCs w:val="24"/>
        </w:rPr>
        <w:t xml:space="preserve"> bon</w:t>
      </w:r>
      <w:r w:rsidR="00746E94">
        <w:rPr>
          <w:rFonts w:ascii="Arial" w:hAnsi="Arial" w:cs="Arial"/>
          <w:sz w:val="24"/>
          <w:szCs w:val="24"/>
        </w:rPr>
        <w:t xml:space="preserve">d-like instruments as permitted to </w:t>
      </w:r>
      <w:r w:rsidRPr="00B4747C">
        <w:rPr>
          <w:rFonts w:ascii="Arial" w:hAnsi="Arial" w:cs="Arial"/>
          <w:sz w:val="24"/>
          <w:szCs w:val="24"/>
        </w:rPr>
        <w:t>improve performance</w:t>
      </w:r>
      <w:r w:rsidR="000E6B6F">
        <w:rPr>
          <w:rFonts w:ascii="Arial" w:hAnsi="Arial" w:cs="Arial"/>
          <w:sz w:val="24"/>
          <w:szCs w:val="24"/>
        </w:rPr>
        <w:t>.</w:t>
      </w:r>
    </w:p>
    <w:p w:rsidR="000E6B6F" w:rsidRDefault="000E6B6F" w:rsidP="00712089">
      <w:pPr>
        <w:tabs>
          <w:tab w:val="left" w:pos="-1440"/>
        </w:tabs>
        <w:rPr>
          <w:rFonts w:ascii="Arial" w:hAnsi="Arial" w:cs="Arial"/>
          <w:sz w:val="24"/>
          <w:szCs w:val="24"/>
        </w:rPr>
      </w:pPr>
    </w:p>
    <w:p w:rsidR="003A5EF3" w:rsidRDefault="003A5EF3" w:rsidP="00712089">
      <w:pPr>
        <w:tabs>
          <w:tab w:val="left" w:pos="-1440"/>
        </w:tabs>
        <w:rPr>
          <w:rFonts w:ascii="Arial" w:hAnsi="Arial" w:cs="Arial"/>
          <w:sz w:val="24"/>
          <w:szCs w:val="24"/>
        </w:rPr>
      </w:pPr>
      <w:r w:rsidRPr="00B4747C">
        <w:rPr>
          <w:rFonts w:ascii="Arial" w:hAnsi="Arial" w:cs="Arial"/>
          <w:sz w:val="24"/>
          <w:szCs w:val="24"/>
        </w:rPr>
        <w:t xml:space="preserve">For </w:t>
      </w:r>
      <w:r>
        <w:rPr>
          <w:rFonts w:ascii="Arial" w:hAnsi="Arial" w:cs="Arial"/>
          <w:sz w:val="24"/>
          <w:szCs w:val="24"/>
        </w:rPr>
        <w:t xml:space="preserve">fixed income, </w:t>
      </w:r>
      <w:r w:rsidRPr="00B4747C">
        <w:rPr>
          <w:rFonts w:ascii="Arial" w:hAnsi="Arial" w:cs="Arial"/>
          <w:sz w:val="24"/>
          <w:szCs w:val="24"/>
        </w:rPr>
        <w:t xml:space="preserve">property, </w:t>
      </w:r>
      <w:r>
        <w:rPr>
          <w:rFonts w:ascii="Arial" w:hAnsi="Arial" w:cs="Arial"/>
          <w:sz w:val="24"/>
          <w:szCs w:val="24"/>
        </w:rPr>
        <w:t>UK equities, overseas equities, emerging market equities, hedge funds, infrastructure, diversified growth and private equity, the F</w:t>
      </w:r>
      <w:r w:rsidRPr="00B4747C">
        <w:rPr>
          <w:rFonts w:ascii="Arial" w:hAnsi="Arial" w:cs="Arial"/>
          <w:sz w:val="24"/>
          <w:szCs w:val="24"/>
        </w:rPr>
        <w:t>und has invested in pooled funds that will allow diversified investment whilst offering the opportunity for additional returns.</w:t>
      </w:r>
    </w:p>
    <w:p w:rsidR="003A5EF3" w:rsidRPr="00B4747C" w:rsidRDefault="003A5EF3" w:rsidP="00712089">
      <w:pPr>
        <w:rPr>
          <w:rFonts w:ascii="Arial" w:hAnsi="Arial" w:cs="Arial"/>
          <w:b/>
          <w:sz w:val="24"/>
          <w:szCs w:val="24"/>
        </w:rPr>
      </w:pPr>
    </w:p>
    <w:p w:rsidR="003A5EF3" w:rsidRPr="00DD0804" w:rsidRDefault="003A5EF3" w:rsidP="00712089">
      <w:pPr>
        <w:widowControl w:val="0"/>
        <w:tabs>
          <w:tab w:val="left" w:pos="-1440"/>
        </w:tabs>
        <w:rPr>
          <w:rFonts w:ascii="Arial" w:hAnsi="Arial" w:cs="Arial"/>
          <w:sz w:val="24"/>
          <w:szCs w:val="24"/>
        </w:rPr>
      </w:pPr>
      <w:r w:rsidRPr="00DD0804">
        <w:rPr>
          <w:rFonts w:ascii="Arial" w:hAnsi="Arial" w:cs="Arial"/>
          <w:sz w:val="24"/>
          <w:szCs w:val="24"/>
        </w:rPr>
        <w:t xml:space="preserve">The current </w:t>
      </w:r>
      <w:r>
        <w:rPr>
          <w:rFonts w:ascii="Arial" w:hAnsi="Arial" w:cs="Arial"/>
          <w:sz w:val="24"/>
          <w:szCs w:val="24"/>
        </w:rPr>
        <w:t xml:space="preserve">fund </w:t>
      </w:r>
      <w:r w:rsidRPr="00DD0804">
        <w:rPr>
          <w:rFonts w:ascii="Arial" w:hAnsi="Arial" w:cs="Arial"/>
          <w:sz w:val="24"/>
          <w:szCs w:val="24"/>
        </w:rPr>
        <w:t>managers are:</w:t>
      </w:r>
    </w:p>
    <w:p w:rsidR="003A5EF3" w:rsidRPr="00B4747C" w:rsidRDefault="003A5EF3" w:rsidP="00712089">
      <w:pPr>
        <w:tabs>
          <w:tab w:val="left" w:pos="-1440"/>
        </w:tabs>
        <w:rPr>
          <w:rFonts w:ascii="Arial" w:hAnsi="Arial" w:cs="Arial"/>
          <w:sz w:val="24"/>
          <w:szCs w:val="24"/>
        </w:rPr>
      </w:pPr>
    </w:p>
    <w:tbl>
      <w:tblPr>
        <w:tblW w:w="8502" w:type="dxa"/>
        <w:tblLayout w:type="fixed"/>
        <w:tblLook w:val="0000" w:firstRow="0" w:lastRow="0" w:firstColumn="0" w:lastColumn="0" w:noHBand="0" w:noVBand="0"/>
      </w:tblPr>
      <w:tblGrid>
        <w:gridCol w:w="2880"/>
        <w:gridCol w:w="5622"/>
      </w:tblGrid>
      <w:tr w:rsidR="003A5EF3" w:rsidRPr="00B4747C" w:rsidTr="003A5C94">
        <w:tc>
          <w:tcPr>
            <w:tcW w:w="2880"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UK e</w:t>
            </w:r>
            <w:r w:rsidRPr="00B4747C">
              <w:rPr>
                <w:rFonts w:ascii="Arial" w:hAnsi="Arial" w:cs="Arial"/>
                <w:sz w:val="24"/>
                <w:szCs w:val="24"/>
              </w:rPr>
              <w:t>quities</w:t>
            </w:r>
          </w:p>
        </w:tc>
        <w:tc>
          <w:tcPr>
            <w:tcW w:w="5622"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Legal &amp; General</w:t>
            </w:r>
          </w:p>
        </w:tc>
      </w:tr>
      <w:tr w:rsidR="003A5EF3" w:rsidRPr="00B4747C" w:rsidTr="003A5C94">
        <w:tc>
          <w:tcPr>
            <w:tcW w:w="2880"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Overseas e</w:t>
            </w:r>
            <w:r w:rsidRPr="00B4747C">
              <w:rPr>
                <w:rFonts w:ascii="Arial" w:hAnsi="Arial" w:cs="Arial"/>
                <w:sz w:val="24"/>
                <w:szCs w:val="24"/>
              </w:rPr>
              <w:t>quities</w:t>
            </w:r>
          </w:p>
        </w:tc>
        <w:tc>
          <w:tcPr>
            <w:tcW w:w="5622"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Lega</w:t>
            </w:r>
            <w:r w:rsidR="009B7A8D">
              <w:rPr>
                <w:rFonts w:ascii="Arial" w:hAnsi="Arial" w:cs="Arial"/>
                <w:sz w:val="24"/>
                <w:szCs w:val="24"/>
              </w:rPr>
              <w:t xml:space="preserve">l &amp; General (developed markets) </w:t>
            </w:r>
            <w:r>
              <w:rPr>
                <w:rFonts w:ascii="Arial" w:hAnsi="Arial" w:cs="Arial"/>
                <w:sz w:val="24"/>
                <w:szCs w:val="24"/>
              </w:rPr>
              <w:t xml:space="preserve"> Dimensional (emerging markets)</w:t>
            </w:r>
          </w:p>
        </w:tc>
      </w:tr>
      <w:tr w:rsidR="003A5EF3" w:rsidRPr="00B4747C" w:rsidTr="003A5C94">
        <w:tc>
          <w:tcPr>
            <w:tcW w:w="2880"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Fixed income</w:t>
            </w:r>
          </w:p>
        </w:tc>
        <w:tc>
          <w:tcPr>
            <w:tcW w:w="5622"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Henderson</w:t>
            </w:r>
          </w:p>
        </w:tc>
      </w:tr>
      <w:tr w:rsidR="003A5EF3" w:rsidRPr="00B4747C" w:rsidTr="003A5C94">
        <w:tc>
          <w:tcPr>
            <w:tcW w:w="2880" w:type="dxa"/>
          </w:tcPr>
          <w:p w:rsidR="003A5EF3" w:rsidRPr="00B4747C" w:rsidRDefault="003A5EF3" w:rsidP="00712089">
            <w:pPr>
              <w:tabs>
                <w:tab w:val="left" w:pos="-1440"/>
              </w:tabs>
              <w:spacing w:after="40"/>
              <w:rPr>
                <w:rFonts w:ascii="Arial" w:hAnsi="Arial" w:cs="Arial"/>
                <w:sz w:val="24"/>
                <w:szCs w:val="24"/>
              </w:rPr>
            </w:pPr>
            <w:r w:rsidRPr="00B4747C">
              <w:rPr>
                <w:rFonts w:ascii="Arial" w:hAnsi="Arial" w:cs="Arial"/>
                <w:sz w:val="24"/>
                <w:szCs w:val="24"/>
              </w:rPr>
              <w:t>Property</w:t>
            </w:r>
          </w:p>
        </w:tc>
        <w:tc>
          <w:tcPr>
            <w:tcW w:w="5622"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Aviva</w:t>
            </w:r>
          </w:p>
        </w:tc>
      </w:tr>
      <w:tr w:rsidR="003A5EF3" w:rsidRPr="00B4747C" w:rsidTr="003A5C94">
        <w:tc>
          <w:tcPr>
            <w:tcW w:w="2880"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UK s</w:t>
            </w:r>
            <w:r w:rsidRPr="00B4747C">
              <w:rPr>
                <w:rFonts w:ascii="Arial" w:hAnsi="Arial" w:cs="Arial"/>
                <w:sz w:val="24"/>
                <w:szCs w:val="24"/>
              </w:rPr>
              <w:t>maller companies</w:t>
            </w:r>
          </w:p>
        </w:tc>
        <w:tc>
          <w:tcPr>
            <w:tcW w:w="5622"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Henderson</w:t>
            </w:r>
          </w:p>
        </w:tc>
      </w:tr>
      <w:tr w:rsidR="003A5EF3" w:rsidRPr="00B4747C" w:rsidTr="003A5C94">
        <w:tc>
          <w:tcPr>
            <w:tcW w:w="2880" w:type="dxa"/>
          </w:tcPr>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Private e</w:t>
            </w:r>
            <w:r w:rsidRPr="00B4747C">
              <w:rPr>
                <w:rFonts w:ascii="Arial" w:hAnsi="Arial" w:cs="Arial"/>
                <w:sz w:val="24"/>
                <w:szCs w:val="24"/>
              </w:rPr>
              <w:t>quity</w:t>
            </w:r>
          </w:p>
          <w:p w:rsidR="003A5EF3" w:rsidRPr="00B4747C" w:rsidRDefault="003A5EF3" w:rsidP="00712089">
            <w:pPr>
              <w:tabs>
                <w:tab w:val="left" w:pos="-1440"/>
              </w:tabs>
              <w:spacing w:after="40"/>
              <w:rPr>
                <w:rFonts w:ascii="Arial" w:hAnsi="Arial" w:cs="Arial"/>
                <w:sz w:val="24"/>
                <w:szCs w:val="24"/>
              </w:rPr>
            </w:pPr>
          </w:p>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Fund of hedge f</w:t>
            </w:r>
            <w:r w:rsidRPr="00B4747C">
              <w:rPr>
                <w:rFonts w:ascii="Arial" w:hAnsi="Arial" w:cs="Arial"/>
                <w:sz w:val="24"/>
                <w:szCs w:val="24"/>
              </w:rPr>
              <w:t>unds</w:t>
            </w:r>
          </w:p>
          <w:p w:rsidR="003A5EF3" w:rsidRDefault="003A5EF3" w:rsidP="00712089">
            <w:pPr>
              <w:tabs>
                <w:tab w:val="left" w:pos="-1440"/>
              </w:tabs>
              <w:spacing w:after="40"/>
              <w:rPr>
                <w:rFonts w:ascii="Arial" w:hAnsi="Arial" w:cs="Arial"/>
                <w:sz w:val="24"/>
                <w:szCs w:val="24"/>
              </w:rPr>
            </w:pPr>
            <w:r>
              <w:rPr>
                <w:rFonts w:ascii="Arial" w:hAnsi="Arial" w:cs="Arial"/>
                <w:sz w:val="24"/>
                <w:szCs w:val="24"/>
              </w:rPr>
              <w:t>Diversified growth fund</w:t>
            </w:r>
          </w:p>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Infrastructure</w:t>
            </w:r>
          </w:p>
        </w:tc>
        <w:tc>
          <w:tcPr>
            <w:tcW w:w="5622" w:type="dxa"/>
          </w:tcPr>
          <w:p w:rsidR="003A5EF3" w:rsidRPr="00B4747C" w:rsidRDefault="003A5EF3" w:rsidP="00712089">
            <w:pPr>
              <w:tabs>
                <w:tab w:val="left" w:pos="-1440"/>
              </w:tabs>
              <w:spacing w:after="40"/>
              <w:rPr>
                <w:rFonts w:ascii="Arial" w:hAnsi="Arial" w:cs="Arial"/>
                <w:sz w:val="24"/>
                <w:szCs w:val="24"/>
              </w:rPr>
            </w:pPr>
            <w:r w:rsidRPr="00B4747C">
              <w:rPr>
                <w:rFonts w:ascii="Arial" w:hAnsi="Arial" w:cs="Arial"/>
                <w:sz w:val="24"/>
                <w:szCs w:val="24"/>
              </w:rPr>
              <w:t>Capital Dynamics</w:t>
            </w:r>
          </w:p>
          <w:p w:rsidR="003A5EF3" w:rsidRDefault="003A5EF3" w:rsidP="00712089">
            <w:pPr>
              <w:tabs>
                <w:tab w:val="left" w:pos="-1440"/>
              </w:tabs>
              <w:spacing w:after="40"/>
              <w:rPr>
                <w:rFonts w:ascii="Arial" w:hAnsi="Arial" w:cs="Arial"/>
                <w:sz w:val="24"/>
                <w:szCs w:val="24"/>
              </w:rPr>
            </w:pPr>
            <w:r>
              <w:rPr>
                <w:rFonts w:ascii="Arial" w:hAnsi="Arial" w:cs="Arial"/>
                <w:sz w:val="24"/>
                <w:szCs w:val="24"/>
              </w:rPr>
              <w:t>Yorkshire</w:t>
            </w:r>
            <w:r w:rsidRPr="00B4747C">
              <w:rPr>
                <w:rFonts w:ascii="Arial" w:hAnsi="Arial" w:cs="Arial"/>
                <w:sz w:val="24"/>
                <w:szCs w:val="24"/>
              </w:rPr>
              <w:t xml:space="preserve"> Fund Managers</w:t>
            </w:r>
          </w:p>
          <w:p w:rsidR="003A5EF3" w:rsidRPr="00B4747C" w:rsidRDefault="003A5EF3" w:rsidP="00712089">
            <w:pPr>
              <w:tabs>
                <w:tab w:val="left" w:pos="-1440"/>
              </w:tabs>
              <w:spacing w:after="40"/>
              <w:rPr>
                <w:rFonts w:ascii="Arial" w:hAnsi="Arial" w:cs="Arial"/>
                <w:sz w:val="24"/>
                <w:szCs w:val="24"/>
              </w:rPr>
            </w:pPr>
            <w:r w:rsidRPr="00B4747C">
              <w:rPr>
                <w:rFonts w:ascii="Arial" w:hAnsi="Arial" w:cs="Arial"/>
                <w:sz w:val="24"/>
                <w:szCs w:val="24"/>
              </w:rPr>
              <w:t xml:space="preserve">Fauchier Partners </w:t>
            </w:r>
          </w:p>
          <w:p w:rsidR="003A5EF3" w:rsidRDefault="003A5EF3" w:rsidP="00712089">
            <w:pPr>
              <w:tabs>
                <w:tab w:val="left" w:pos="-1440"/>
              </w:tabs>
              <w:spacing w:after="40"/>
              <w:rPr>
                <w:rFonts w:ascii="Arial" w:hAnsi="Arial" w:cs="Arial"/>
                <w:sz w:val="24"/>
                <w:szCs w:val="24"/>
              </w:rPr>
            </w:pPr>
            <w:r>
              <w:rPr>
                <w:rFonts w:ascii="Arial" w:hAnsi="Arial" w:cs="Arial"/>
                <w:sz w:val="24"/>
                <w:szCs w:val="24"/>
              </w:rPr>
              <w:t>Baillie Gifford</w:t>
            </w:r>
          </w:p>
          <w:p w:rsidR="003A5EF3" w:rsidRDefault="003A5EF3" w:rsidP="00712089">
            <w:pPr>
              <w:tabs>
                <w:tab w:val="left" w:pos="-1440"/>
              </w:tabs>
              <w:spacing w:after="40"/>
              <w:rPr>
                <w:rFonts w:ascii="Arial" w:hAnsi="Arial" w:cs="Arial"/>
                <w:sz w:val="24"/>
                <w:szCs w:val="24"/>
              </w:rPr>
            </w:pPr>
            <w:r>
              <w:rPr>
                <w:rFonts w:ascii="Arial" w:hAnsi="Arial" w:cs="Arial"/>
                <w:sz w:val="24"/>
                <w:szCs w:val="24"/>
              </w:rPr>
              <w:t>Alinda Partners</w:t>
            </w:r>
          </w:p>
          <w:p w:rsidR="003A5EF3" w:rsidRDefault="003A5EF3" w:rsidP="00712089">
            <w:pPr>
              <w:tabs>
                <w:tab w:val="left" w:pos="-1440"/>
              </w:tabs>
              <w:spacing w:after="40"/>
              <w:rPr>
                <w:rFonts w:ascii="Arial" w:hAnsi="Arial" w:cs="Arial"/>
                <w:sz w:val="24"/>
                <w:szCs w:val="24"/>
              </w:rPr>
            </w:pPr>
            <w:r w:rsidRPr="00B4747C">
              <w:rPr>
                <w:rFonts w:ascii="Arial" w:hAnsi="Arial" w:cs="Arial"/>
                <w:sz w:val="24"/>
                <w:szCs w:val="24"/>
              </w:rPr>
              <w:t>Capital Dynamics</w:t>
            </w:r>
          </w:p>
          <w:p w:rsidR="003A5EF3" w:rsidRPr="00B4747C" w:rsidRDefault="003A5EF3" w:rsidP="00712089">
            <w:pPr>
              <w:tabs>
                <w:tab w:val="left" w:pos="-1440"/>
              </w:tabs>
              <w:spacing w:after="40"/>
              <w:rPr>
                <w:rFonts w:ascii="Arial" w:hAnsi="Arial" w:cs="Arial"/>
                <w:sz w:val="24"/>
                <w:szCs w:val="24"/>
              </w:rPr>
            </w:pPr>
            <w:r>
              <w:rPr>
                <w:rFonts w:ascii="Arial" w:hAnsi="Arial" w:cs="Arial"/>
                <w:sz w:val="24"/>
                <w:szCs w:val="24"/>
              </w:rPr>
              <w:t>Henderson PFI Fund II</w:t>
            </w:r>
          </w:p>
        </w:tc>
      </w:tr>
    </w:tbl>
    <w:p w:rsidR="00077DFA" w:rsidRDefault="00077DFA">
      <w:pPr>
        <w:rPr>
          <w:rFonts w:ascii="Arial" w:hAnsi="Arial" w:cs="Arial"/>
          <w:sz w:val="24"/>
          <w:szCs w:val="24"/>
        </w:rPr>
      </w:pPr>
    </w:p>
    <w:p w:rsidR="00781002" w:rsidRDefault="003903D0">
      <w:pPr>
        <w:rPr>
          <w:rFonts w:ascii="Arial" w:hAnsi="Arial" w:cs="Arial"/>
          <w:sz w:val="24"/>
          <w:szCs w:val="24"/>
        </w:rPr>
      </w:pPr>
      <w:r>
        <w:rPr>
          <w:rFonts w:ascii="Arial" w:hAnsi="Arial" w:cs="Arial"/>
          <w:sz w:val="24"/>
          <w:szCs w:val="24"/>
        </w:rPr>
        <w:t>A management agreement</w:t>
      </w:r>
      <w:r w:rsidR="00A9464C">
        <w:rPr>
          <w:rFonts w:ascii="Arial" w:hAnsi="Arial" w:cs="Arial"/>
          <w:sz w:val="24"/>
          <w:szCs w:val="24"/>
        </w:rPr>
        <w:t xml:space="preserve"> or subscription agreement</w:t>
      </w:r>
      <w:r>
        <w:rPr>
          <w:rFonts w:ascii="Arial" w:hAnsi="Arial" w:cs="Arial"/>
          <w:sz w:val="24"/>
          <w:szCs w:val="24"/>
        </w:rPr>
        <w:t xml:space="preserve"> is in place for each fund manag</w:t>
      </w:r>
      <w:r w:rsidR="00C149D5">
        <w:rPr>
          <w:rFonts w:ascii="Arial" w:hAnsi="Arial" w:cs="Arial"/>
          <w:sz w:val="24"/>
          <w:szCs w:val="24"/>
        </w:rPr>
        <w:t>er, setting out the benchmark and asset allocation ranges. The agreements also set out any statutory or other restrictions determined by the Council.</w:t>
      </w:r>
    </w:p>
    <w:p w:rsidR="00781002" w:rsidRDefault="00781002">
      <w:pPr>
        <w:rPr>
          <w:rFonts w:ascii="Arial" w:hAnsi="Arial" w:cs="Arial"/>
          <w:sz w:val="24"/>
          <w:szCs w:val="24"/>
        </w:rPr>
      </w:pPr>
    </w:p>
    <w:p w:rsidR="00C76750" w:rsidRDefault="00C76750">
      <w:pPr>
        <w:rPr>
          <w:rFonts w:ascii="Arial" w:hAnsi="Arial" w:cs="Arial"/>
          <w:sz w:val="24"/>
          <w:szCs w:val="24"/>
        </w:rPr>
      </w:pPr>
      <w:r>
        <w:rPr>
          <w:rFonts w:ascii="Arial" w:hAnsi="Arial" w:cs="Arial"/>
          <w:sz w:val="24"/>
          <w:szCs w:val="24"/>
        </w:rPr>
        <w:br w:type="page"/>
      </w:r>
    </w:p>
    <w:p w:rsidR="003A5EF3" w:rsidRDefault="00781002" w:rsidP="00781002">
      <w:pPr>
        <w:rPr>
          <w:rFonts w:ascii="Arial" w:hAnsi="Arial" w:cs="Arial"/>
          <w:sz w:val="24"/>
          <w:szCs w:val="24"/>
        </w:rPr>
      </w:pPr>
      <w:r>
        <w:rPr>
          <w:rFonts w:ascii="Arial" w:hAnsi="Arial" w:cs="Arial"/>
          <w:sz w:val="24"/>
          <w:szCs w:val="24"/>
        </w:rPr>
        <w:lastRenderedPageBreak/>
        <w:t>The Regulations also specify certain limits on investments</w:t>
      </w:r>
      <w:r w:rsidR="007B457D">
        <w:rPr>
          <w:rFonts w:ascii="Arial" w:hAnsi="Arial" w:cs="Arial"/>
          <w:sz w:val="24"/>
          <w:szCs w:val="24"/>
        </w:rPr>
        <w:t xml:space="preserve"> to promote diversification and </w:t>
      </w:r>
      <w:r w:rsidR="007B457D" w:rsidRPr="00B4747C">
        <w:rPr>
          <w:rFonts w:ascii="Arial" w:hAnsi="Arial" w:cs="Arial"/>
          <w:sz w:val="24"/>
          <w:szCs w:val="24"/>
        </w:rPr>
        <w:t>access a wider range of asset classes both to spread risk and add to returns.</w:t>
      </w:r>
      <w:r>
        <w:rPr>
          <w:rFonts w:ascii="Arial" w:hAnsi="Arial" w:cs="Arial"/>
          <w:sz w:val="24"/>
          <w:szCs w:val="24"/>
        </w:rPr>
        <w:t xml:space="preserve"> </w:t>
      </w:r>
      <w:r w:rsidR="003A5EF3">
        <w:rPr>
          <w:rFonts w:ascii="Arial" w:hAnsi="Arial" w:cs="Arial"/>
          <w:sz w:val="24"/>
          <w:szCs w:val="24"/>
        </w:rPr>
        <w:t>The Pension Fund Sub-</w:t>
      </w:r>
      <w:r w:rsidR="003A5EF3" w:rsidRPr="00B4747C">
        <w:rPr>
          <w:rFonts w:ascii="Arial" w:hAnsi="Arial" w:cs="Arial"/>
          <w:sz w:val="24"/>
          <w:szCs w:val="24"/>
        </w:rPr>
        <w:t>Commit</w:t>
      </w:r>
      <w:r w:rsidR="003A5EF3">
        <w:rPr>
          <w:rFonts w:ascii="Arial" w:hAnsi="Arial" w:cs="Arial"/>
          <w:sz w:val="24"/>
          <w:szCs w:val="24"/>
        </w:rPr>
        <w:t>tee has decided that the Brent F</w:t>
      </w:r>
      <w:r w:rsidR="003A5EF3" w:rsidRPr="00B4747C">
        <w:rPr>
          <w:rFonts w:ascii="Arial" w:hAnsi="Arial" w:cs="Arial"/>
          <w:sz w:val="24"/>
          <w:szCs w:val="24"/>
        </w:rPr>
        <w:t>und may not:</w:t>
      </w:r>
    </w:p>
    <w:p w:rsidR="0053080E" w:rsidRPr="00B4747C" w:rsidRDefault="0053080E" w:rsidP="00781002">
      <w:pPr>
        <w:rPr>
          <w:rFonts w:ascii="Arial" w:hAnsi="Arial" w:cs="Arial"/>
          <w:sz w:val="24"/>
          <w:szCs w:val="24"/>
        </w:rPr>
      </w:pPr>
    </w:p>
    <w:p w:rsidR="00D93091" w:rsidRDefault="003A5EF3" w:rsidP="00712089">
      <w:pPr>
        <w:widowControl w:val="0"/>
        <w:numPr>
          <w:ilvl w:val="0"/>
          <w:numId w:val="16"/>
        </w:numPr>
        <w:tabs>
          <w:tab w:val="left" w:pos="-1440"/>
        </w:tabs>
        <w:spacing w:after="120"/>
        <w:rPr>
          <w:rFonts w:ascii="Arial" w:hAnsi="Arial" w:cs="Arial"/>
          <w:sz w:val="24"/>
          <w:szCs w:val="24"/>
        </w:rPr>
      </w:pPr>
      <w:r>
        <w:rPr>
          <w:rFonts w:ascii="Arial" w:hAnsi="Arial" w:cs="Arial"/>
          <w:sz w:val="24"/>
          <w:szCs w:val="24"/>
        </w:rPr>
        <w:t xml:space="preserve">invest more than 10% of the Fund in </w:t>
      </w:r>
      <w:r w:rsidR="002E5A58">
        <w:rPr>
          <w:rFonts w:ascii="Arial" w:hAnsi="Arial" w:cs="Arial"/>
          <w:sz w:val="24"/>
          <w:szCs w:val="24"/>
        </w:rPr>
        <w:t>a</w:t>
      </w:r>
      <w:r w:rsidR="00D93091">
        <w:rPr>
          <w:rFonts w:ascii="Arial" w:hAnsi="Arial" w:cs="Arial"/>
          <w:sz w:val="24"/>
          <w:szCs w:val="24"/>
        </w:rPr>
        <w:t>ny</w:t>
      </w:r>
      <w:r w:rsidR="002E5A58">
        <w:rPr>
          <w:rFonts w:ascii="Arial" w:hAnsi="Arial" w:cs="Arial"/>
          <w:sz w:val="24"/>
          <w:szCs w:val="24"/>
        </w:rPr>
        <w:t xml:space="preserve"> single holding</w:t>
      </w:r>
    </w:p>
    <w:p w:rsidR="003A5EF3" w:rsidRPr="00B4747C" w:rsidRDefault="0053080E" w:rsidP="00712089">
      <w:pPr>
        <w:widowControl w:val="0"/>
        <w:numPr>
          <w:ilvl w:val="0"/>
          <w:numId w:val="16"/>
        </w:numPr>
        <w:tabs>
          <w:tab w:val="left" w:pos="-1440"/>
        </w:tabs>
        <w:spacing w:after="120"/>
        <w:rPr>
          <w:rFonts w:ascii="Arial" w:hAnsi="Arial" w:cs="Arial"/>
          <w:sz w:val="24"/>
          <w:szCs w:val="24"/>
        </w:rPr>
      </w:pPr>
      <w:r>
        <w:rPr>
          <w:rFonts w:ascii="Arial" w:hAnsi="Arial" w:cs="Arial"/>
          <w:sz w:val="24"/>
          <w:szCs w:val="24"/>
        </w:rPr>
        <w:t>invest</w:t>
      </w:r>
      <w:r w:rsidR="002E5A58">
        <w:rPr>
          <w:rFonts w:ascii="Arial" w:hAnsi="Arial" w:cs="Arial"/>
          <w:sz w:val="24"/>
          <w:szCs w:val="24"/>
        </w:rPr>
        <w:t xml:space="preserve"> more than 3</w:t>
      </w:r>
      <w:r w:rsidR="003A5EF3">
        <w:rPr>
          <w:rFonts w:ascii="Arial" w:hAnsi="Arial" w:cs="Arial"/>
          <w:sz w:val="24"/>
          <w:szCs w:val="24"/>
        </w:rPr>
        <w:t>5% of the F</w:t>
      </w:r>
      <w:r w:rsidR="003A5EF3" w:rsidRPr="00B4747C">
        <w:rPr>
          <w:rFonts w:ascii="Arial" w:hAnsi="Arial" w:cs="Arial"/>
          <w:sz w:val="24"/>
          <w:szCs w:val="24"/>
        </w:rPr>
        <w:t>und in unit</w:t>
      </w:r>
      <w:r w:rsidR="003A5EF3">
        <w:rPr>
          <w:rFonts w:ascii="Arial" w:hAnsi="Arial" w:cs="Arial"/>
          <w:sz w:val="24"/>
          <w:szCs w:val="24"/>
        </w:rPr>
        <w:t xml:space="preserve"> trusts managed by any one body</w:t>
      </w:r>
    </w:p>
    <w:p w:rsidR="003A5EF3" w:rsidRDefault="003A5EF3" w:rsidP="00712089">
      <w:pPr>
        <w:widowControl w:val="0"/>
        <w:numPr>
          <w:ilvl w:val="0"/>
          <w:numId w:val="16"/>
        </w:numPr>
        <w:tabs>
          <w:tab w:val="left" w:pos="-1440"/>
        </w:tabs>
        <w:spacing w:after="120"/>
        <w:rPr>
          <w:rFonts w:ascii="Arial" w:hAnsi="Arial" w:cs="Arial"/>
          <w:sz w:val="24"/>
          <w:szCs w:val="24"/>
        </w:rPr>
      </w:pPr>
      <w:r>
        <w:rPr>
          <w:rFonts w:ascii="Arial" w:hAnsi="Arial" w:cs="Arial"/>
          <w:sz w:val="24"/>
          <w:szCs w:val="24"/>
        </w:rPr>
        <w:t>excluding loans to the G</w:t>
      </w:r>
      <w:r w:rsidRPr="00B4747C">
        <w:rPr>
          <w:rFonts w:ascii="Arial" w:hAnsi="Arial" w:cs="Arial"/>
          <w:sz w:val="24"/>
          <w:szCs w:val="24"/>
        </w:rPr>
        <w:t xml:space="preserve">overnment, lend more than 10% of the value </w:t>
      </w:r>
      <w:r>
        <w:rPr>
          <w:rFonts w:ascii="Arial" w:hAnsi="Arial" w:cs="Arial"/>
          <w:sz w:val="24"/>
          <w:szCs w:val="24"/>
        </w:rPr>
        <w:t>of the Fund to any one borrower</w:t>
      </w:r>
    </w:p>
    <w:p w:rsidR="006A60E4" w:rsidRPr="00B4747C" w:rsidRDefault="006A60E4" w:rsidP="00712089">
      <w:pPr>
        <w:widowControl w:val="0"/>
        <w:numPr>
          <w:ilvl w:val="0"/>
          <w:numId w:val="16"/>
        </w:numPr>
        <w:tabs>
          <w:tab w:val="left" w:pos="-1440"/>
        </w:tabs>
        <w:spacing w:after="120"/>
        <w:rPr>
          <w:rFonts w:ascii="Arial" w:hAnsi="Arial" w:cs="Arial"/>
          <w:sz w:val="24"/>
          <w:szCs w:val="24"/>
        </w:rPr>
      </w:pPr>
      <w:r>
        <w:rPr>
          <w:rFonts w:ascii="Arial" w:hAnsi="Arial" w:cs="Arial"/>
          <w:sz w:val="24"/>
          <w:szCs w:val="24"/>
        </w:rPr>
        <w:t>invest more than 15</w:t>
      </w:r>
      <w:r w:rsidRPr="00B4747C">
        <w:rPr>
          <w:rFonts w:ascii="Arial" w:hAnsi="Arial" w:cs="Arial"/>
          <w:sz w:val="24"/>
          <w:szCs w:val="24"/>
        </w:rPr>
        <w:t xml:space="preserve">% of </w:t>
      </w:r>
      <w:r>
        <w:rPr>
          <w:rFonts w:ascii="Arial" w:hAnsi="Arial" w:cs="Arial"/>
          <w:sz w:val="24"/>
          <w:szCs w:val="24"/>
        </w:rPr>
        <w:t>the Fund in unlisted securities of companies</w:t>
      </w:r>
    </w:p>
    <w:p w:rsidR="003A5EF3" w:rsidRDefault="003A5EF3" w:rsidP="00712089">
      <w:pPr>
        <w:widowControl w:val="0"/>
        <w:numPr>
          <w:ilvl w:val="0"/>
          <w:numId w:val="16"/>
        </w:numPr>
        <w:tabs>
          <w:tab w:val="left" w:pos="-1440"/>
        </w:tabs>
        <w:rPr>
          <w:rFonts w:ascii="Arial" w:hAnsi="Arial" w:cs="Arial"/>
          <w:sz w:val="24"/>
          <w:szCs w:val="24"/>
        </w:rPr>
      </w:pPr>
      <w:r w:rsidRPr="00B4747C">
        <w:rPr>
          <w:rFonts w:ascii="Arial" w:hAnsi="Arial" w:cs="Arial"/>
          <w:sz w:val="24"/>
          <w:szCs w:val="24"/>
        </w:rPr>
        <w:t>contribute more than 5% of the</w:t>
      </w:r>
      <w:r>
        <w:rPr>
          <w:rFonts w:ascii="Arial" w:hAnsi="Arial" w:cs="Arial"/>
          <w:sz w:val="24"/>
          <w:szCs w:val="24"/>
        </w:rPr>
        <w:t xml:space="preserve"> Fund to any single partnership</w:t>
      </w:r>
    </w:p>
    <w:p w:rsidR="003A5EF3" w:rsidRPr="00B4747C" w:rsidRDefault="003A5EF3" w:rsidP="00712089">
      <w:pPr>
        <w:widowControl w:val="0"/>
        <w:tabs>
          <w:tab w:val="left" w:pos="-1440"/>
        </w:tabs>
        <w:ind w:left="1296"/>
        <w:rPr>
          <w:rFonts w:ascii="Arial" w:hAnsi="Arial" w:cs="Arial"/>
          <w:sz w:val="24"/>
          <w:szCs w:val="24"/>
        </w:rPr>
      </w:pPr>
    </w:p>
    <w:p w:rsidR="003A5EF3" w:rsidRDefault="003A5EF3" w:rsidP="00712089">
      <w:pPr>
        <w:widowControl w:val="0"/>
        <w:numPr>
          <w:ilvl w:val="0"/>
          <w:numId w:val="16"/>
        </w:numPr>
        <w:tabs>
          <w:tab w:val="left" w:pos="-1440"/>
        </w:tabs>
        <w:rPr>
          <w:rFonts w:ascii="Arial" w:hAnsi="Arial" w:cs="Arial"/>
          <w:sz w:val="24"/>
          <w:szCs w:val="24"/>
        </w:rPr>
      </w:pPr>
      <w:r w:rsidRPr="00B4747C">
        <w:rPr>
          <w:rFonts w:ascii="Arial" w:hAnsi="Arial" w:cs="Arial"/>
          <w:sz w:val="24"/>
          <w:szCs w:val="24"/>
        </w:rPr>
        <w:t>c</w:t>
      </w:r>
      <w:r>
        <w:rPr>
          <w:rFonts w:ascii="Arial" w:hAnsi="Arial" w:cs="Arial"/>
          <w:sz w:val="24"/>
          <w:szCs w:val="24"/>
        </w:rPr>
        <w:t>ontribute more than 30% of the F</w:t>
      </w:r>
      <w:r w:rsidRPr="00B4747C">
        <w:rPr>
          <w:rFonts w:ascii="Arial" w:hAnsi="Arial" w:cs="Arial"/>
          <w:sz w:val="24"/>
          <w:szCs w:val="24"/>
        </w:rPr>
        <w:t>und to partnerships.</w:t>
      </w:r>
    </w:p>
    <w:p w:rsidR="003A5EF3" w:rsidRDefault="003A5EF3" w:rsidP="00712089">
      <w:pPr>
        <w:pStyle w:val="ListParagraph"/>
        <w:rPr>
          <w:rFonts w:ascii="Arial" w:hAnsi="Arial" w:cs="Arial"/>
          <w:sz w:val="24"/>
          <w:szCs w:val="24"/>
        </w:rPr>
      </w:pPr>
    </w:p>
    <w:p w:rsidR="003A5EF3" w:rsidRDefault="003A5EF3" w:rsidP="00712089">
      <w:pPr>
        <w:pStyle w:val="BodyTextIndent3"/>
        <w:ind w:left="0" w:firstLine="0"/>
        <w:jc w:val="left"/>
        <w:rPr>
          <w:rFonts w:cs="Arial"/>
          <w:szCs w:val="24"/>
        </w:rPr>
      </w:pPr>
      <w:r>
        <w:rPr>
          <w:rFonts w:cs="Arial"/>
          <w:szCs w:val="24"/>
        </w:rPr>
        <w:t>The Brent Pension Fund</w:t>
      </w:r>
      <w:r w:rsidRPr="00B4747C">
        <w:rPr>
          <w:rFonts w:cs="Arial"/>
          <w:szCs w:val="24"/>
        </w:rPr>
        <w:t xml:space="preserve"> has also imposed a number of restrictions to reduce risk and to maintain control of fee levels. The managers may not:</w:t>
      </w:r>
    </w:p>
    <w:p w:rsidR="00501F0C" w:rsidRDefault="00501F0C" w:rsidP="00712089">
      <w:pPr>
        <w:pStyle w:val="BodyTextIndent3"/>
        <w:ind w:left="0" w:firstLine="0"/>
        <w:jc w:val="left"/>
        <w:rPr>
          <w:rFonts w:cs="Arial"/>
          <w:szCs w:val="24"/>
        </w:rPr>
      </w:pPr>
    </w:p>
    <w:p w:rsidR="003A5EF3" w:rsidRPr="00B4747C" w:rsidRDefault="003A5EF3" w:rsidP="00712089">
      <w:pPr>
        <w:widowControl w:val="0"/>
        <w:numPr>
          <w:ilvl w:val="0"/>
          <w:numId w:val="17"/>
        </w:numPr>
        <w:tabs>
          <w:tab w:val="left" w:pos="-1440"/>
        </w:tabs>
        <w:spacing w:after="120"/>
        <w:rPr>
          <w:rFonts w:ascii="Arial" w:hAnsi="Arial" w:cs="Arial"/>
          <w:sz w:val="24"/>
          <w:szCs w:val="24"/>
        </w:rPr>
      </w:pPr>
      <w:r w:rsidRPr="00B4747C">
        <w:rPr>
          <w:rFonts w:ascii="Arial" w:hAnsi="Arial" w:cs="Arial"/>
          <w:sz w:val="24"/>
          <w:szCs w:val="24"/>
        </w:rPr>
        <w:t>invest in any in-h</w:t>
      </w:r>
      <w:r>
        <w:rPr>
          <w:rFonts w:ascii="Arial" w:hAnsi="Arial" w:cs="Arial"/>
          <w:sz w:val="24"/>
          <w:szCs w:val="24"/>
        </w:rPr>
        <w:t>ouse fund without prior consent</w:t>
      </w:r>
    </w:p>
    <w:p w:rsidR="003A5EF3" w:rsidRPr="00B4747C" w:rsidRDefault="003A5EF3" w:rsidP="00712089">
      <w:pPr>
        <w:widowControl w:val="0"/>
        <w:numPr>
          <w:ilvl w:val="0"/>
          <w:numId w:val="17"/>
        </w:numPr>
        <w:tabs>
          <w:tab w:val="left" w:pos="-1440"/>
        </w:tabs>
        <w:spacing w:after="120"/>
        <w:rPr>
          <w:rFonts w:ascii="Arial" w:hAnsi="Arial" w:cs="Arial"/>
          <w:sz w:val="24"/>
          <w:szCs w:val="24"/>
        </w:rPr>
      </w:pPr>
      <w:r w:rsidRPr="00B4747C">
        <w:rPr>
          <w:rFonts w:ascii="Arial" w:hAnsi="Arial" w:cs="Arial"/>
          <w:sz w:val="24"/>
          <w:szCs w:val="24"/>
        </w:rPr>
        <w:t>exceed the limits set out in the asset allocation r</w:t>
      </w:r>
      <w:r>
        <w:rPr>
          <w:rFonts w:ascii="Arial" w:hAnsi="Arial" w:cs="Arial"/>
          <w:sz w:val="24"/>
          <w:szCs w:val="24"/>
        </w:rPr>
        <w:t>anges detailed in the benchmark</w:t>
      </w:r>
    </w:p>
    <w:p w:rsidR="003A5EF3" w:rsidRPr="00B4747C" w:rsidRDefault="003A5EF3" w:rsidP="00712089">
      <w:pPr>
        <w:widowControl w:val="0"/>
        <w:numPr>
          <w:ilvl w:val="0"/>
          <w:numId w:val="17"/>
        </w:numPr>
        <w:tabs>
          <w:tab w:val="left" w:pos="-1440"/>
        </w:tabs>
        <w:spacing w:after="120"/>
        <w:rPr>
          <w:rFonts w:ascii="Arial" w:hAnsi="Arial" w:cs="Arial"/>
          <w:sz w:val="24"/>
          <w:szCs w:val="24"/>
        </w:rPr>
      </w:pPr>
      <w:r>
        <w:rPr>
          <w:rFonts w:ascii="Arial" w:hAnsi="Arial" w:cs="Arial"/>
          <w:sz w:val="24"/>
          <w:szCs w:val="24"/>
        </w:rPr>
        <w:t>borrow</w:t>
      </w:r>
    </w:p>
    <w:p w:rsidR="003A5EF3" w:rsidRPr="00B4747C" w:rsidRDefault="003A5EF3" w:rsidP="00712089">
      <w:pPr>
        <w:widowControl w:val="0"/>
        <w:numPr>
          <w:ilvl w:val="0"/>
          <w:numId w:val="17"/>
        </w:numPr>
        <w:tabs>
          <w:tab w:val="left" w:pos="-1440"/>
        </w:tabs>
        <w:spacing w:after="120"/>
        <w:rPr>
          <w:rFonts w:ascii="Arial" w:hAnsi="Arial" w:cs="Arial"/>
          <w:sz w:val="24"/>
          <w:szCs w:val="24"/>
        </w:rPr>
      </w:pPr>
      <w:r>
        <w:rPr>
          <w:rFonts w:ascii="Arial" w:hAnsi="Arial" w:cs="Arial"/>
          <w:sz w:val="24"/>
          <w:szCs w:val="24"/>
        </w:rPr>
        <w:t>e</w:t>
      </w:r>
      <w:r w:rsidRPr="00B4747C">
        <w:rPr>
          <w:rFonts w:ascii="Arial" w:hAnsi="Arial" w:cs="Arial"/>
          <w:sz w:val="24"/>
          <w:szCs w:val="24"/>
        </w:rPr>
        <w:t>ngage in underwriting or sub-und</w:t>
      </w:r>
      <w:r>
        <w:rPr>
          <w:rFonts w:ascii="Arial" w:hAnsi="Arial" w:cs="Arial"/>
          <w:sz w:val="24"/>
          <w:szCs w:val="24"/>
        </w:rPr>
        <w:t>erwriting on behalf of the fund</w:t>
      </w:r>
    </w:p>
    <w:p w:rsidR="003A5EF3" w:rsidRPr="00B4747C" w:rsidRDefault="003A5EF3" w:rsidP="00712089">
      <w:pPr>
        <w:widowControl w:val="0"/>
        <w:numPr>
          <w:ilvl w:val="0"/>
          <w:numId w:val="17"/>
        </w:numPr>
        <w:tabs>
          <w:tab w:val="left" w:pos="-1440"/>
        </w:tabs>
        <w:rPr>
          <w:rFonts w:ascii="Arial" w:hAnsi="Arial" w:cs="Arial"/>
          <w:sz w:val="24"/>
          <w:szCs w:val="24"/>
        </w:rPr>
      </w:pPr>
      <w:r>
        <w:rPr>
          <w:rFonts w:ascii="Arial" w:hAnsi="Arial" w:cs="Arial"/>
          <w:sz w:val="24"/>
          <w:szCs w:val="24"/>
        </w:rPr>
        <w:t>e</w:t>
      </w:r>
      <w:r w:rsidRPr="00B4747C">
        <w:rPr>
          <w:rFonts w:ascii="Arial" w:hAnsi="Arial" w:cs="Arial"/>
          <w:sz w:val="24"/>
          <w:szCs w:val="24"/>
        </w:rPr>
        <w:t>nter into soft commission arrangements, by which business is directed to brokers in exchange for other services such as research or systems.</w:t>
      </w:r>
    </w:p>
    <w:p w:rsidR="003A5EF3" w:rsidRPr="00B4747C" w:rsidRDefault="003A5EF3" w:rsidP="00712089">
      <w:pPr>
        <w:tabs>
          <w:tab w:val="left" w:pos="-1440"/>
        </w:tabs>
        <w:rPr>
          <w:rFonts w:ascii="Arial" w:hAnsi="Arial" w:cs="Arial"/>
          <w:sz w:val="24"/>
          <w:szCs w:val="24"/>
        </w:rPr>
      </w:pPr>
    </w:p>
    <w:p w:rsidR="003A5EF3" w:rsidRPr="00B4747C" w:rsidRDefault="003A5EF3" w:rsidP="00712089">
      <w:pPr>
        <w:tabs>
          <w:tab w:val="left" w:pos="-1440"/>
        </w:tabs>
        <w:rPr>
          <w:rFonts w:ascii="Arial" w:hAnsi="Arial" w:cs="Arial"/>
          <w:sz w:val="24"/>
          <w:szCs w:val="24"/>
        </w:rPr>
      </w:pPr>
      <w:r w:rsidRPr="00B4747C">
        <w:rPr>
          <w:rFonts w:ascii="Arial" w:hAnsi="Arial" w:cs="Arial"/>
          <w:sz w:val="24"/>
          <w:szCs w:val="24"/>
        </w:rPr>
        <w:t xml:space="preserve">Managers may use derivatives to facilitate asset allocation decisions and trading, </w:t>
      </w:r>
      <w:r>
        <w:rPr>
          <w:rFonts w:ascii="Arial" w:hAnsi="Arial" w:cs="Arial"/>
          <w:sz w:val="24"/>
          <w:szCs w:val="24"/>
        </w:rPr>
        <w:t xml:space="preserve">and </w:t>
      </w:r>
      <w:r w:rsidRPr="00B4747C">
        <w:rPr>
          <w:rFonts w:ascii="Arial" w:hAnsi="Arial" w:cs="Arial"/>
          <w:sz w:val="24"/>
          <w:szCs w:val="24"/>
        </w:rPr>
        <w:t>to obtain exposure to markets / assets, to reduce</w:t>
      </w:r>
      <w:r>
        <w:rPr>
          <w:rFonts w:ascii="Arial" w:hAnsi="Arial" w:cs="Arial"/>
          <w:sz w:val="24"/>
          <w:szCs w:val="24"/>
        </w:rPr>
        <w:t xml:space="preserve"> trading costs</w:t>
      </w:r>
      <w:r w:rsidRPr="00B4747C">
        <w:rPr>
          <w:rFonts w:ascii="Arial" w:hAnsi="Arial" w:cs="Arial"/>
          <w:sz w:val="24"/>
          <w:szCs w:val="24"/>
        </w:rPr>
        <w:t>. All open and completed transactions will be included in monthly transactions and quarterly reports.</w:t>
      </w:r>
    </w:p>
    <w:p w:rsidR="003A5EF3" w:rsidRPr="00B4747C" w:rsidRDefault="003A5EF3" w:rsidP="00712089">
      <w:pPr>
        <w:rPr>
          <w:rFonts w:ascii="Arial" w:hAnsi="Arial" w:cs="Arial"/>
          <w:sz w:val="24"/>
          <w:szCs w:val="24"/>
        </w:rPr>
      </w:pPr>
    </w:p>
    <w:p w:rsidR="003A5EF3" w:rsidRPr="00B4747C" w:rsidRDefault="003A5EF3" w:rsidP="00712089">
      <w:pPr>
        <w:tabs>
          <w:tab w:val="left" w:pos="-1440"/>
        </w:tabs>
        <w:rPr>
          <w:rFonts w:ascii="Arial" w:hAnsi="Arial" w:cs="Arial"/>
          <w:sz w:val="24"/>
          <w:szCs w:val="24"/>
        </w:rPr>
      </w:pPr>
      <w:r w:rsidRPr="00B4747C">
        <w:rPr>
          <w:rFonts w:ascii="Arial" w:hAnsi="Arial" w:cs="Arial"/>
          <w:sz w:val="24"/>
          <w:szCs w:val="24"/>
        </w:rPr>
        <w:t>The restrictions are designed to aid transparency, avoid speculative investments, reduce the volatility of returns, and facilitate the realisation of investments. However, research has indicated that indiscriminate restrictions reduce managers</w:t>
      </w:r>
      <w:r>
        <w:rPr>
          <w:rFonts w:ascii="Arial" w:hAnsi="Arial" w:cs="Arial"/>
          <w:sz w:val="24"/>
          <w:szCs w:val="24"/>
        </w:rPr>
        <w:t>’</w:t>
      </w:r>
      <w:r w:rsidRPr="00B4747C">
        <w:rPr>
          <w:rFonts w:ascii="Arial" w:hAnsi="Arial" w:cs="Arial"/>
          <w:sz w:val="24"/>
          <w:szCs w:val="24"/>
        </w:rPr>
        <w:t xml:space="preserve"> opportunities to use skill to add value. On this basis, restrictions are kept to a minimum.</w:t>
      </w:r>
    </w:p>
    <w:p w:rsidR="003A5EF3" w:rsidRPr="00B4747C" w:rsidRDefault="003A5EF3" w:rsidP="00712089">
      <w:pPr>
        <w:rPr>
          <w:rFonts w:ascii="Arial" w:hAnsi="Arial" w:cs="Arial"/>
          <w:b/>
          <w:sz w:val="24"/>
          <w:szCs w:val="24"/>
        </w:rPr>
      </w:pPr>
    </w:p>
    <w:p w:rsidR="003A5EF3" w:rsidRDefault="003A5EF3" w:rsidP="00712089">
      <w:pPr>
        <w:tabs>
          <w:tab w:val="left" w:pos="-1440"/>
        </w:tabs>
        <w:rPr>
          <w:rFonts w:ascii="Arial" w:hAnsi="Arial" w:cs="Arial"/>
          <w:sz w:val="24"/>
          <w:szCs w:val="24"/>
        </w:rPr>
      </w:pPr>
      <w:r>
        <w:rPr>
          <w:rFonts w:ascii="Arial" w:hAnsi="Arial" w:cs="Arial"/>
          <w:sz w:val="24"/>
          <w:szCs w:val="24"/>
        </w:rPr>
        <w:t>M</w:t>
      </w:r>
      <w:r w:rsidRPr="00B4747C">
        <w:rPr>
          <w:rFonts w:ascii="Arial" w:hAnsi="Arial" w:cs="Arial"/>
          <w:sz w:val="24"/>
          <w:szCs w:val="24"/>
        </w:rPr>
        <w:t>anagers are given wide discretion over both stock selection and asset allocation within the restrictions detailed above. This allows clear accountability for decisions. The managers have established procedures to monitor and control risk, and to research market trends.</w:t>
      </w:r>
    </w:p>
    <w:p w:rsidR="000A7896" w:rsidRDefault="000A7896" w:rsidP="00712089">
      <w:pPr>
        <w:tabs>
          <w:tab w:val="left" w:pos="-1440"/>
        </w:tabs>
        <w:rPr>
          <w:rFonts w:ascii="Arial" w:hAnsi="Arial" w:cs="Arial"/>
          <w:sz w:val="24"/>
          <w:szCs w:val="24"/>
        </w:rPr>
      </w:pPr>
    </w:p>
    <w:p w:rsidR="000A7896" w:rsidRDefault="000A7896" w:rsidP="000A7896">
      <w:pPr>
        <w:rPr>
          <w:rFonts w:ascii="Arial" w:hAnsi="Arial" w:cs="Arial"/>
          <w:sz w:val="24"/>
          <w:szCs w:val="24"/>
        </w:rPr>
      </w:pPr>
      <w:r>
        <w:rPr>
          <w:rFonts w:ascii="Arial" w:hAnsi="Arial" w:cs="Arial"/>
          <w:sz w:val="24"/>
          <w:szCs w:val="24"/>
        </w:rPr>
        <w:t xml:space="preserve">The Fund does </w:t>
      </w:r>
      <w:r w:rsidRPr="005F1857">
        <w:rPr>
          <w:rFonts w:ascii="Arial" w:hAnsi="Arial" w:cs="Arial"/>
          <w:snapToGrid w:val="0"/>
          <w:color w:val="000000"/>
          <w:sz w:val="24"/>
        </w:rPr>
        <w:t>not operate a Stock Lending programme.</w:t>
      </w:r>
    </w:p>
    <w:p w:rsidR="00D9327F" w:rsidRDefault="00D9327F" w:rsidP="00712089">
      <w:pPr>
        <w:rPr>
          <w:rFonts w:ascii="Arial" w:hAnsi="Arial" w:cs="Arial"/>
          <w:b/>
          <w:sz w:val="24"/>
          <w:szCs w:val="24"/>
        </w:rPr>
      </w:pPr>
    </w:p>
    <w:p w:rsidR="003A5EF3" w:rsidRDefault="003A5EF3" w:rsidP="00712089">
      <w:pPr>
        <w:rPr>
          <w:rFonts w:ascii="Arial" w:hAnsi="Arial" w:cs="Arial"/>
          <w:b/>
          <w:sz w:val="24"/>
          <w:szCs w:val="24"/>
        </w:rPr>
      </w:pPr>
      <w:r w:rsidRPr="00B4747C">
        <w:rPr>
          <w:rFonts w:ascii="Arial" w:hAnsi="Arial" w:cs="Arial"/>
          <w:b/>
          <w:sz w:val="24"/>
          <w:szCs w:val="24"/>
        </w:rPr>
        <w:lastRenderedPageBreak/>
        <w:t>Risk</w:t>
      </w:r>
      <w:r w:rsidRPr="00A23B0A">
        <w:rPr>
          <w:rFonts w:ascii="Arial" w:hAnsi="Arial" w:cs="Arial"/>
          <w:b/>
          <w:sz w:val="24"/>
          <w:szCs w:val="24"/>
        </w:rPr>
        <w:t xml:space="preserve"> </w:t>
      </w:r>
      <w:r>
        <w:rPr>
          <w:rFonts w:ascii="Arial" w:hAnsi="Arial" w:cs="Arial"/>
          <w:b/>
          <w:sz w:val="24"/>
          <w:szCs w:val="24"/>
        </w:rPr>
        <w:t>and liabilities</w:t>
      </w:r>
    </w:p>
    <w:p w:rsidR="0047359E" w:rsidRDefault="0047359E" w:rsidP="00712089">
      <w:pPr>
        <w:rPr>
          <w:rFonts w:ascii="Arial" w:hAnsi="Arial"/>
          <w:sz w:val="24"/>
        </w:rPr>
      </w:pPr>
    </w:p>
    <w:p w:rsidR="0047359E" w:rsidRDefault="0047359E" w:rsidP="00712089">
      <w:pPr>
        <w:rPr>
          <w:rFonts w:ascii="Arial" w:hAnsi="Arial"/>
          <w:sz w:val="24"/>
        </w:rPr>
      </w:pPr>
      <w:r>
        <w:rPr>
          <w:rFonts w:ascii="Arial" w:hAnsi="Arial"/>
          <w:sz w:val="24"/>
        </w:rPr>
        <w:t>In setting and reviewing their investment strategy, administering authorities should:</w:t>
      </w:r>
    </w:p>
    <w:p w:rsidR="0047359E" w:rsidRDefault="0047359E" w:rsidP="00712089">
      <w:pPr>
        <w:rPr>
          <w:rFonts w:ascii="Arial" w:hAnsi="Arial"/>
          <w:sz w:val="24"/>
        </w:rPr>
      </w:pPr>
    </w:p>
    <w:p w:rsidR="00D9327F" w:rsidRPr="00877C91" w:rsidRDefault="0047359E" w:rsidP="00712089">
      <w:pPr>
        <w:rPr>
          <w:rFonts w:ascii="Arial" w:hAnsi="Arial" w:cs="Arial"/>
          <w:b/>
          <w:i/>
          <w:sz w:val="24"/>
          <w:szCs w:val="24"/>
        </w:rPr>
      </w:pPr>
      <w:r w:rsidRPr="00877C91">
        <w:rPr>
          <w:rFonts w:ascii="Arial" w:hAnsi="Arial"/>
          <w:i/>
          <w:sz w:val="24"/>
        </w:rPr>
        <w:t>Take account of the form and structure of liabilities. These include the implications for local tax payers, the strength of covenant for participating employers, the risk of their default and longevity risk.</w:t>
      </w:r>
    </w:p>
    <w:p w:rsidR="003A5EF3" w:rsidRPr="00B4747C" w:rsidRDefault="003A5EF3" w:rsidP="00712089">
      <w:pPr>
        <w:rPr>
          <w:rFonts w:ascii="Arial" w:hAnsi="Arial" w:cs="Arial"/>
          <w:b/>
          <w:sz w:val="24"/>
          <w:szCs w:val="24"/>
        </w:rPr>
      </w:pPr>
    </w:p>
    <w:p w:rsidR="00FC436E" w:rsidRDefault="003A5EF3" w:rsidP="00712089">
      <w:pPr>
        <w:spacing w:after="120"/>
        <w:rPr>
          <w:rFonts w:ascii="Arial" w:hAnsi="Arial" w:cs="Arial"/>
          <w:sz w:val="24"/>
          <w:szCs w:val="24"/>
        </w:rPr>
      </w:pPr>
      <w:r w:rsidRPr="00B4747C">
        <w:rPr>
          <w:rFonts w:ascii="Arial" w:hAnsi="Arial" w:cs="Arial"/>
          <w:sz w:val="24"/>
          <w:szCs w:val="24"/>
        </w:rPr>
        <w:t>Th</w:t>
      </w:r>
      <w:r w:rsidR="00FC436E">
        <w:rPr>
          <w:rFonts w:ascii="Arial" w:hAnsi="Arial" w:cs="Arial"/>
          <w:sz w:val="24"/>
          <w:szCs w:val="24"/>
        </w:rPr>
        <w:t xml:space="preserve">e Fund is required to take investment risk </w:t>
      </w:r>
      <w:r w:rsidR="0021671B">
        <w:rPr>
          <w:rFonts w:ascii="Arial" w:hAnsi="Arial" w:cs="Arial"/>
          <w:sz w:val="24"/>
          <w:szCs w:val="24"/>
        </w:rPr>
        <w:t>compared to the liabilities to achieve the outperformance required in the assumptions underpinning the actuarial valuation.</w:t>
      </w:r>
    </w:p>
    <w:p w:rsidR="00765B32" w:rsidRDefault="00765B32" w:rsidP="00712089">
      <w:pPr>
        <w:spacing w:after="120"/>
        <w:rPr>
          <w:rFonts w:ascii="Arial" w:hAnsi="Arial" w:cs="Arial"/>
          <w:sz w:val="24"/>
          <w:szCs w:val="24"/>
        </w:rPr>
      </w:pPr>
      <w:r>
        <w:rPr>
          <w:rFonts w:ascii="Arial" w:hAnsi="Arial" w:cs="Arial"/>
          <w:sz w:val="24"/>
          <w:szCs w:val="24"/>
        </w:rPr>
        <w:t>The key risks taken are in strategic asset allocation, tactical asset allocation and active management. The sources of return are diverse and to some extent uncorrelated which reduces the overall level of risk.</w:t>
      </w:r>
    </w:p>
    <w:p w:rsidR="003A5EF3" w:rsidRPr="00B4747C" w:rsidRDefault="00FC436E" w:rsidP="00712089">
      <w:pPr>
        <w:spacing w:after="120"/>
        <w:rPr>
          <w:rFonts w:ascii="Arial" w:hAnsi="Arial" w:cs="Arial"/>
          <w:sz w:val="24"/>
          <w:szCs w:val="24"/>
        </w:rPr>
      </w:pPr>
      <w:r>
        <w:rPr>
          <w:rFonts w:ascii="Arial" w:hAnsi="Arial" w:cs="Arial"/>
          <w:sz w:val="24"/>
          <w:szCs w:val="24"/>
        </w:rPr>
        <w:t>Th</w:t>
      </w:r>
      <w:r w:rsidR="003A5EF3" w:rsidRPr="00B4747C">
        <w:rPr>
          <w:rFonts w:ascii="Arial" w:hAnsi="Arial" w:cs="Arial"/>
          <w:sz w:val="24"/>
          <w:szCs w:val="24"/>
        </w:rPr>
        <w:t xml:space="preserve">ere are three main definitions of risk: </w:t>
      </w:r>
    </w:p>
    <w:p w:rsidR="003A5EF3" w:rsidRPr="005B0752" w:rsidRDefault="003A5EF3" w:rsidP="00712089">
      <w:pPr>
        <w:widowControl w:val="0"/>
        <w:numPr>
          <w:ilvl w:val="0"/>
          <w:numId w:val="13"/>
        </w:numPr>
        <w:tabs>
          <w:tab w:val="left" w:pos="-1440"/>
        </w:tabs>
        <w:spacing w:after="120"/>
        <w:rPr>
          <w:rFonts w:ascii="Arial" w:hAnsi="Arial" w:cs="Arial"/>
          <w:sz w:val="24"/>
          <w:szCs w:val="24"/>
        </w:rPr>
      </w:pPr>
      <w:r>
        <w:rPr>
          <w:rFonts w:ascii="Arial" w:hAnsi="Arial" w:cs="Arial"/>
          <w:sz w:val="24"/>
          <w:szCs w:val="24"/>
        </w:rPr>
        <w:t>s</w:t>
      </w:r>
      <w:r w:rsidRPr="00B4747C">
        <w:rPr>
          <w:rFonts w:ascii="Arial" w:hAnsi="Arial" w:cs="Arial"/>
          <w:sz w:val="24"/>
          <w:szCs w:val="24"/>
        </w:rPr>
        <w:t>evere market decline and funds losing value (absolute risk), as occ</w:t>
      </w:r>
      <w:r>
        <w:rPr>
          <w:rFonts w:ascii="Arial" w:hAnsi="Arial" w:cs="Arial"/>
          <w:sz w:val="24"/>
          <w:szCs w:val="24"/>
        </w:rPr>
        <w:t>urred in 2008</w:t>
      </w:r>
    </w:p>
    <w:p w:rsidR="003A5EF3" w:rsidRPr="00D13DBB" w:rsidRDefault="003A5EF3" w:rsidP="00712089">
      <w:pPr>
        <w:widowControl w:val="0"/>
        <w:numPr>
          <w:ilvl w:val="0"/>
          <w:numId w:val="13"/>
        </w:numPr>
        <w:tabs>
          <w:tab w:val="left" w:pos="-1440"/>
        </w:tabs>
        <w:spacing w:after="120"/>
        <w:rPr>
          <w:rFonts w:ascii="Arial" w:hAnsi="Arial" w:cs="Arial"/>
          <w:sz w:val="24"/>
          <w:szCs w:val="24"/>
        </w:rPr>
      </w:pPr>
      <w:r w:rsidRPr="00D13DBB">
        <w:rPr>
          <w:rFonts w:ascii="Arial" w:hAnsi="Arial" w:cs="Arial"/>
          <w:sz w:val="24"/>
          <w:szCs w:val="24"/>
        </w:rPr>
        <w:t>underperformance when compared to a peer group (WM local authority universe) or relevant stock / bond markets (relative risk)</w:t>
      </w:r>
    </w:p>
    <w:p w:rsidR="003A5EF3" w:rsidRPr="00B4747C" w:rsidRDefault="003A5EF3" w:rsidP="00712089">
      <w:pPr>
        <w:widowControl w:val="0"/>
        <w:numPr>
          <w:ilvl w:val="0"/>
          <w:numId w:val="13"/>
        </w:numPr>
        <w:tabs>
          <w:tab w:val="left" w:pos="-1440"/>
        </w:tabs>
        <w:rPr>
          <w:rFonts w:ascii="Arial" w:hAnsi="Arial" w:cs="Arial"/>
          <w:sz w:val="24"/>
          <w:szCs w:val="24"/>
        </w:rPr>
      </w:pPr>
      <w:r>
        <w:rPr>
          <w:rFonts w:ascii="Arial" w:hAnsi="Arial" w:cs="Arial"/>
          <w:sz w:val="24"/>
          <w:szCs w:val="24"/>
        </w:rPr>
        <w:t>n</w:t>
      </w:r>
      <w:r w:rsidRPr="00B4747C">
        <w:rPr>
          <w:rFonts w:ascii="Arial" w:hAnsi="Arial" w:cs="Arial"/>
          <w:sz w:val="24"/>
          <w:szCs w:val="24"/>
        </w:rPr>
        <w:t>ot meeting the liabilities set out in the LGPS. The Fund had a deficit of</w:t>
      </w:r>
      <w:r>
        <w:rPr>
          <w:rFonts w:ascii="Arial" w:hAnsi="Arial" w:cs="Arial"/>
          <w:sz w:val="24"/>
          <w:szCs w:val="24"/>
        </w:rPr>
        <w:t xml:space="preserve"> £294m when valued in 2010, and is following a 25-</w:t>
      </w:r>
      <w:r w:rsidRPr="00B4747C">
        <w:rPr>
          <w:rFonts w:ascii="Arial" w:hAnsi="Arial" w:cs="Arial"/>
          <w:sz w:val="24"/>
          <w:szCs w:val="24"/>
        </w:rPr>
        <w:t>year recovery period.</w:t>
      </w:r>
    </w:p>
    <w:p w:rsidR="003A5EF3" w:rsidRPr="00B4747C" w:rsidRDefault="003A5EF3" w:rsidP="00712089">
      <w:pPr>
        <w:rPr>
          <w:rFonts w:ascii="Arial" w:hAnsi="Arial" w:cs="Arial"/>
          <w:sz w:val="24"/>
          <w:szCs w:val="24"/>
        </w:rPr>
      </w:pPr>
    </w:p>
    <w:p w:rsidR="00D40B1A" w:rsidRDefault="003A5EF3" w:rsidP="00712089">
      <w:pPr>
        <w:tabs>
          <w:tab w:val="left" w:pos="-1440"/>
        </w:tabs>
        <w:rPr>
          <w:rFonts w:ascii="Arial" w:hAnsi="Arial" w:cs="Arial"/>
          <w:sz w:val="24"/>
          <w:szCs w:val="24"/>
        </w:rPr>
      </w:pPr>
      <w:r>
        <w:rPr>
          <w:rFonts w:ascii="Arial" w:hAnsi="Arial" w:cs="Arial"/>
          <w:sz w:val="24"/>
          <w:szCs w:val="24"/>
        </w:rPr>
        <w:t>To reduce absolute risk the F</w:t>
      </w:r>
      <w:r w:rsidRPr="00B4747C">
        <w:rPr>
          <w:rFonts w:ascii="Arial" w:hAnsi="Arial" w:cs="Arial"/>
          <w:sz w:val="24"/>
          <w:szCs w:val="24"/>
        </w:rPr>
        <w:t>und is diversified between managers, asset classes, markets and sectors so that investments are not concentrated in</w:t>
      </w:r>
      <w:r>
        <w:rPr>
          <w:rFonts w:ascii="Arial" w:hAnsi="Arial" w:cs="Arial"/>
          <w:sz w:val="24"/>
          <w:szCs w:val="24"/>
        </w:rPr>
        <w:t xml:space="preserve"> one theme or country / region.</w:t>
      </w:r>
      <w:r w:rsidRPr="00B4747C">
        <w:rPr>
          <w:rFonts w:ascii="Arial" w:hAnsi="Arial" w:cs="Arial"/>
          <w:sz w:val="24"/>
          <w:szCs w:val="24"/>
        </w:rPr>
        <w:t xml:space="preserve"> Investment managers are also to observe the </w:t>
      </w:r>
      <w:r>
        <w:rPr>
          <w:rFonts w:ascii="Arial" w:hAnsi="Arial" w:cs="Arial"/>
          <w:sz w:val="24"/>
          <w:szCs w:val="24"/>
        </w:rPr>
        <w:t>Brent Pension Fund</w:t>
      </w:r>
      <w:r w:rsidRPr="00B4747C">
        <w:rPr>
          <w:rFonts w:ascii="Arial" w:hAnsi="Arial" w:cs="Arial"/>
          <w:sz w:val="24"/>
          <w:szCs w:val="24"/>
        </w:rPr>
        <w:t>’s investment restrictions, which are designed to reduce risk.</w:t>
      </w:r>
    </w:p>
    <w:p w:rsidR="00D40B1A" w:rsidRDefault="00D40B1A" w:rsidP="00712089">
      <w:pPr>
        <w:tabs>
          <w:tab w:val="left" w:pos="-1440"/>
        </w:tabs>
        <w:rPr>
          <w:rFonts w:ascii="Arial" w:hAnsi="Arial" w:cs="Arial"/>
          <w:sz w:val="24"/>
          <w:szCs w:val="24"/>
        </w:rPr>
      </w:pPr>
    </w:p>
    <w:p w:rsidR="00D40B1A" w:rsidRDefault="003A5EF3" w:rsidP="00712089">
      <w:pPr>
        <w:tabs>
          <w:tab w:val="left" w:pos="-1440"/>
        </w:tabs>
        <w:rPr>
          <w:rFonts w:ascii="Arial" w:hAnsi="Arial" w:cs="Arial"/>
          <w:sz w:val="24"/>
          <w:szCs w:val="24"/>
        </w:rPr>
      </w:pPr>
      <w:r w:rsidRPr="00B4747C">
        <w:rPr>
          <w:rFonts w:ascii="Arial" w:hAnsi="Arial" w:cs="Arial"/>
          <w:sz w:val="24"/>
          <w:szCs w:val="24"/>
        </w:rPr>
        <w:t xml:space="preserve">To add value, the Fund seeks exposure to a variety of risks. The search for outperformance will involve the risk of underperformance through the adoption of </w:t>
      </w:r>
      <w:r>
        <w:rPr>
          <w:rFonts w:ascii="Arial" w:hAnsi="Arial" w:cs="Arial"/>
          <w:sz w:val="24"/>
          <w:szCs w:val="24"/>
        </w:rPr>
        <w:t>counter-cyclical</w:t>
      </w:r>
      <w:r w:rsidRPr="00B4747C">
        <w:rPr>
          <w:rFonts w:ascii="Arial" w:hAnsi="Arial" w:cs="Arial"/>
          <w:sz w:val="24"/>
          <w:szCs w:val="24"/>
        </w:rPr>
        <w:t xml:space="preserve"> positions. The extent of any </w:t>
      </w:r>
      <w:r w:rsidR="000863B8">
        <w:rPr>
          <w:rFonts w:ascii="Arial" w:hAnsi="Arial" w:cs="Arial"/>
          <w:sz w:val="24"/>
          <w:szCs w:val="24"/>
        </w:rPr>
        <w:t>u</w:t>
      </w:r>
      <w:r w:rsidRPr="00B4747C">
        <w:rPr>
          <w:rFonts w:ascii="Arial" w:hAnsi="Arial" w:cs="Arial"/>
          <w:sz w:val="24"/>
          <w:szCs w:val="24"/>
        </w:rPr>
        <w:t xml:space="preserve">nderperformance has been reduced by diversification and the use of index-tracking with regard to </w:t>
      </w:r>
      <w:r>
        <w:rPr>
          <w:rFonts w:ascii="Arial" w:hAnsi="Arial" w:cs="Arial"/>
          <w:sz w:val="24"/>
          <w:szCs w:val="24"/>
        </w:rPr>
        <w:t>publicly quoted</w:t>
      </w:r>
      <w:r w:rsidRPr="00B4747C">
        <w:rPr>
          <w:rFonts w:ascii="Arial" w:hAnsi="Arial" w:cs="Arial"/>
          <w:sz w:val="24"/>
          <w:szCs w:val="24"/>
        </w:rPr>
        <w:t xml:space="preserve"> equities</w:t>
      </w:r>
      <w:r>
        <w:rPr>
          <w:rFonts w:ascii="Arial" w:hAnsi="Arial" w:cs="Arial"/>
          <w:sz w:val="24"/>
          <w:szCs w:val="24"/>
        </w:rPr>
        <w:t>.</w:t>
      </w:r>
    </w:p>
    <w:p w:rsidR="00D40B1A" w:rsidRDefault="00D40B1A" w:rsidP="00712089">
      <w:pPr>
        <w:tabs>
          <w:tab w:val="left" w:pos="-1440"/>
        </w:tabs>
        <w:rPr>
          <w:rFonts w:ascii="Arial" w:hAnsi="Arial" w:cs="Arial"/>
          <w:sz w:val="24"/>
          <w:szCs w:val="24"/>
        </w:rPr>
      </w:pPr>
    </w:p>
    <w:p w:rsidR="00EF2EEA" w:rsidRDefault="003A5EF3" w:rsidP="00712089">
      <w:pPr>
        <w:tabs>
          <w:tab w:val="left" w:pos="-1440"/>
        </w:tabs>
        <w:rPr>
          <w:rFonts w:ascii="Arial" w:hAnsi="Arial" w:cs="Arial"/>
          <w:sz w:val="24"/>
          <w:szCs w:val="24"/>
        </w:rPr>
      </w:pPr>
      <w:r w:rsidRPr="00B4747C">
        <w:rPr>
          <w:rFonts w:ascii="Arial" w:hAnsi="Arial" w:cs="Arial"/>
          <w:sz w:val="24"/>
          <w:szCs w:val="24"/>
        </w:rPr>
        <w:t xml:space="preserve">The third definition of risk – failure to meet liabilities – </w:t>
      </w:r>
      <w:r>
        <w:rPr>
          <w:rFonts w:ascii="Arial" w:hAnsi="Arial" w:cs="Arial"/>
          <w:sz w:val="24"/>
          <w:szCs w:val="24"/>
        </w:rPr>
        <w:t xml:space="preserve">is the key risk and </w:t>
      </w:r>
      <w:r w:rsidR="00EF2EEA">
        <w:rPr>
          <w:rFonts w:ascii="Arial" w:hAnsi="Arial" w:cs="Arial"/>
          <w:sz w:val="24"/>
          <w:szCs w:val="24"/>
        </w:rPr>
        <w:t>is managed in three ways:</w:t>
      </w:r>
    </w:p>
    <w:p w:rsidR="00255C5D" w:rsidRDefault="00255C5D" w:rsidP="00712089">
      <w:pPr>
        <w:tabs>
          <w:tab w:val="left" w:pos="-1440"/>
        </w:tabs>
        <w:rPr>
          <w:rFonts w:ascii="Arial" w:hAnsi="Arial" w:cs="Arial"/>
          <w:sz w:val="24"/>
          <w:szCs w:val="24"/>
        </w:rPr>
      </w:pPr>
    </w:p>
    <w:p w:rsidR="00F90CEE" w:rsidRDefault="00ED1B9A" w:rsidP="00712089">
      <w:pPr>
        <w:pStyle w:val="ListParagraph"/>
        <w:numPr>
          <w:ilvl w:val="2"/>
          <w:numId w:val="20"/>
        </w:numPr>
        <w:tabs>
          <w:tab w:val="left" w:pos="-1440"/>
        </w:tabs>
        <w:ind w:left="1440" w:hanging="1440"/>
        <w:rPr>
          <w:rFonts w:ascii="Arial" w:hAnsi="Arial" w:cs="Arial"/>
          <w:sz w:val="24"/>
          <w:szCs w:val="24"/>
        </w:rPr>
      </w:pPr>
      <w:r w:rsidRPr="00F90CEE">
        <w:rPr>
          <w:rFonts w:ascii="Arial" w:hAnsi="Arial" w:cs="Arial"/>
          <w:sz w:val="24"/>
          <w:szCs w:val="24"/>
        </w:rPr>
        <w:t>T</w:t>
      </w:r>
      <w:r w:rsidR="003A5EF3" w:rsidRPr="00F90CEE">
        <w:rPr>
          <w:rFonts w:ascii="Arial" w:hAnsi="Arial" w:cs="Arial"/>
          <w:sz w:val="24"/>
          <w:szCs w:val="24"/>
        </w:rPr>
        <w:t xml:space="preserve">o enable the administering authority to meet benefit payments, managers may remit payments on a monthly basis when required. This will allow managers to plan any realisation of assets as necessary or, more likely, reinvest income from </w:t>
      </w:r>
      <w:r w:rsidR="00D40B1A" w:rsidRPr="00F90CEE">
        <w:rPr>
          <w:rFonts w:ascii="Arial" w:hAnsi="Arial" w:cs="Arial"/>
          <w:sz w:val="24"/>
          <w:szCs w:val="24"/>
        </w:rPr>
        <w:t>dividends or interest received.</w:t>
      </w:r>
    </w:p>
    <w:p w:rsidR="00F90CEE" w:rsidRDefault="00F90CEE" w:rsidP="00712089">
      <w:pPr>
        <w:pStyle w:val="ListParagraph"/>
        <w:tabs>
          <w:tab w:val="left" w:pos="-1440"/>
        </w:tabs>
        <w:ind w:left="1440"/>
        <w:rPr>
          <w:rFonts w:ascii="Arial" w:hAnsi="Arial" w:cs="Arial"/>
          <w:sz w:val="24"/>
          <w:szCs w:val="24"/>
        </w:rPr>
      </w:pPr>
    </w:p>
    <w:p w:rsidR="00534598" w:rsidRDefault="00534598">
      <w:pPr>
        <w:rPr>
          <w:rFonts w:ascii="Arial" w:hAnsi="Arial" w:cs="Arial"/>
          <w:sz w:val="24"/>
          <w:szCs w:val="24"/>
        </w:rPr>
      </w:pPr>
      <w:r>
        <w:rPr>
          <w:rFonts w:ascii="Arial" w:hAnsi="Arial" w:cs="Arial"/>
          <w:sz w:val="24"/>
          <w:szCs w:val="24"/>
        </w:rPr>
        <w:br w:type="page"/>
      </w:r>
    </w:p>
    <w:p w:rsidR="00255C5D" w:rsidRPr="00F90CEE" w:rsidRDefault="00ED1B9A" w:rsidP="00712089">
      <w:pPr>
        <w:pStyle w:val="ListParagraph"/>
        <w:numPr>
          <w:ilvl w:val="2"/>
          <w:numId w:val="20"/>
        </w:numPr>
        <w:tabs>
          <w:tab w:val="left" w:pos="-1440"/>
        </w:tabs>
        <w:ind w:left="1440" w:hanging="1440"/>
        <w:rPr>
          <w:rFonts w:ascii="Arial" w:hAnsi="Arial" w:cs="Arial"/>
          <w:sz w:val="24"/>
          <w:szCs w:val="24"/>
        </w:rPr>
      </w:pPr>
      <w:r w:rsidRPr="00F90CEE">
        <w:rPr>
          <w:rFonts w:ascii="Arial" w:hAnsi="Arial" w:cs="Arial"/>
          <w:sz w:val="24"/>
          <w:szCs w:val="24"/>
        </w:rPr>
        <w:lastRenderedPageBreak/>
        <w:t>A</w:t>
      </w:r>
      <w:r w:rsidR="003A5EF3" w:rsidRPr="00F90CEE">
        <w:rPr>
          <w:rFonts w:ascii="Arial" w:hAnsi="Arial" w:cs="Arial"/>
          <w:sz w:val="24"/>
          <w:szCs w:val="24"/>
        </w:rPr>
        <w:t>ssets and liabilities are valued at least on a triennial basis by an independent actuary (the actuarial valuation) to determine the financial health of the Fund. If a deficit is forecast, employers’ contributions may be increased to ensure that all liabilities are met.</w:t>
      </w:r>
    </w:p>
    <w:p w:rsidR="00255C5D" w:rsidRPr="00255C5D" w:rsidRDefault="00255C5D" w:rsidP="00712089">
      <w:pPr>
        <w:pStyle w:val="ListParagraph"/>
        <w:rPr>
          <w:rFonts w:ascii="Arial" w:hAnsi="Arial" w:cs="Arial"/>
          <w:sz w:val="24"/>
          <w:szCs w:val="24"/>
        </w:rPr>
      </w:pPr>
    </w:p>
    <w:p w:rsidR="003A5EF3" w:rsidRPr="00255C5D" w:rsidRDefault="0081074B" w:rsidP="00712089">
      <w:pPr>
        <w:pStyle w:val="ListParagraph"/>
        <w:numPr>
          <w:ilvl w:val="2"/>
          <w:numId w:val="20"/>
        </w:numPr>
        <w:tabs>
          <w:tab w:val="left" w:pos="-1440"/>
        </w:tabs>
        <w:ind w:left="1440" w:hanging="1440"/>
        <w:rPr>
          <w:rFonts w:ascii="Arial" w:hAnsi="Arial" w:cs="Arial"/>
          <w:sz w:val="24"/>
          <w:szCs w:val="24"/>
        </w:rPr>
      </w:pPr>
      <w:r>
        <w:rPr>
          <w:rFonts w:ascii="Arial" w:hAnsi="Arial" w:cs="Arial"/>
          <w:sz w:val="24"/>
          <w:szCs w:val="24"/>
        </w:rPr>
        <w:t>T</w:t>
      </w:r>
      <w:r w:rsidR="003A5EF3" w:rsidRPr="00255C5D">
        <w:rPr>
          <w:rFonts w:ascii="Arial" w:hAnsi="Arial" w:cs="Arial"/>
          <w:sz w:val="24"/>
          <w:szCs w:val="24"/>
        </w:rPr>
        <w:t>he Brent Pension Fund is mature, there being many more pensioners than working members - to the extent that 61% of assets are ‘owned’ by pensioner liabilities. Therefore, there is a need to consider the risks involved in pursuing a long-term equity-based strategy when a market correction, and lower dividend payments, could reduce the value of the Fund. There is currently a ‘mismatch’ between the allocation of around 85% of the fund to real assets (equities, alternative investments and property, that increase with the growth of the economy) and the maturity of the Fund. However, this is balanced by the expectation that equities will generate additional returns to facilitate the payment of pensioners’, active and deferred members’ benefits. Contributions from employers and employees are calculated on the basis that they will be sufficient to meet benefit payments over the foreseeable future. Managers will be able to continue to reinvest income and change their stock selections without concern about the need to realise assets quickly. However, most assets (around 70%) are liquid and invested in recognised stock exchanges.</w:t>
      </w:r>
    </w:p>
    <w:p w:rsidR="003A5EF3" w:rsidRDefault="003A5EF3" w:rsidP="00712089">
      <w:pPr>
        <w:tabs>
          <w:tab w:val="left" w:pos="-1440"/>
        </w:tabs>
        <w:ind w:left="720" w:hanging="720"/>
        <w:rPr>
          <w:rFonts w:ascii="Arial" w:hAnsi="Arial" w:cs="Arial"/>
          <w:sz w:val="24"/>
          <w:szCs w:val="24"/>
        </w:rPr>
      </w:pPr>
    </w:p>
    <w:p w:rsidR="005113A4" w:rsidRDefault="005113A4" w:rsidP="00712089">
      <w:pPr>
        <w:tabs>
          <w:tab w:val="left" w:pos="-1440"/>
        </w:tabs>
        <w:rPr>
          <w:rFonts w:ascii="Arial" w:hAnsi="Arial" w:cs="Arial"/>
          <w:sz w:val="24"/>
        </w:rPr>
      </w:pPr>
      <w:r>
        <w:rPr>
          <w:rFonts w:ascii="Arial" w:hAnsi="Arial" w:cs="Arial"/>
          <w:sz w:val="24"/>
        </w:rPr>
        <w:t xml:space="preserve">As a long term investor, the Council considers it prudent to include illiquid assets in its strategic asset allocation in order to benefit from the additional </w:t>
      </w:r>
      <w:r w:rsidR="006940E3">
        <w:rPr>
          <w:rFonts w:ascii="Arial" w:hAnsi="Arial" w:cs="Arial"/>
          <w:sz w:val="24"/>
        </w:rPr>
        <w:t>diversification and extra return this should provide.</w:t>
      </w:r>
    </w:p>
    <w:p w:rsidR="005113A4" w:rsidRDefault="005113A4" w:rsidP="00712089">
      <w:pPr>
        <w:tabs>
          <w:tab w:val="left" w:pos="-1440"/>
        </w:tabs>
        <w:rPr>
          <w:rFonts w:ascii="Arial" w:hAnsi="Arial" w:cs="Arial"/>
          <w:sz w:val="24"/>
        </w:rPr>
      </w:pPr>
    </w:p>
    <w:p w:rsidR="003A5EF3" w:rsidRPr="00FC55A4" w:rsidRDefault="003A5EF3" w:rsidP="00712089">
      <w:pPr>
        <w:tabs>
          <w:tab w:val="left" w:pos="-1440"/>
        </w:tabs>
        <w:rPr>
          <w:rFonts w:ascii="Arial" w:hAnsi="Arial" w:cs="Arial"/>
          <w:sz w:val="24"/>
        </w:rPr>
      </w:pPr>
      <w:r w:rsidRPr="00FC55A4">
        <w:rPr>
          <w:rFonts w:ascii="Arial" w:hAnsi="Arial" w:cs="Arial"/>
          <w:sz w:val="24"/>
        </w:rPr>
        <w:t xml:space="preserve">If the </w:t>
      </w:r>
      <w:r w:rsidR="001E41FF">
        <w:rPr>
          <w:rFonts w:ascii="Arial" w:hAnsi="Arial" w:cs="Arial"/>
          <w:sz w:val="24"/>
        </w:rPr>
        <w:t>Chief Finance</w:t>
      </w:r>
      <w:r w:rsidR="009A1B29">
        <w:rPr>
          <w:rFonts w:ascii="Arial" w:hAnsi="Arial" w:cs="Arial"/>
          <w:sz w:val="24"/>
        </w:rPr>
        <w:t xml:space="preserve"> Officer</w:t>
      </w:r>
      <w:r>
        <w:rPr>
          <w:rFonts w:ascii="Arial" w:hAnsi="Arial" w:cs="Arial"/>
          <w:sz w:val="24"/>
        </w:rPr>
        <w:t xml:space="preserve"> </w:t>
      </w:r>
      <w:r w:rsidRPr="00FC55A4">
        <w:rPr>
          <w:rFonts w:ascii="Arial" w:hAnsi="Arial" w:cs="Arial"/>
          <w:sz w:val="24"/>
        </w:rPr>
        <w:t xml:space="preserve">becomes concerned that there may be an imminent severe market correction, </w:t>
      </w:r>
      <w:r>
        <w:rPr>
          <w:rFonts w:ascii="Arial" w:hAnsi="Arial" w:cs="Arial"/>
          <w:sz w:val="24"/>
        </w:rPr>
        <w:t>that person</w:t>
      </w:r>
      <w:r w:rsidRPr="00FC55A4">
        <w:rPr>
          <w:rFonts w:ascii="Arial" w:hAnsi="Arial" w:cs="Arial"/>
          <w:sz w:val="24"/>
        </w:rPr>
        <w:t xml:space="preserve"> is authorised in consult</w:t>
      </w:r>
      <w:r>
        <w:rPr>
          <w:rFonts w:ascii="Arial" w:hAnsi="Arial" w:cs="Arial"/>
          <w:sz w:val="24"/>
        </w:rPr>
        <w:t>ation with the Chair of the Sub-</w:t>
      </w:r>
      <w:r w:rsidRPr="00FC55A4">
        <w:rPr>
          <w:rFonts w:ascii="Arial" w:hAnsi="Arial" w:cs="Arial"/>
          <w:sz w:val="24"/>
        </w:rPr>
        <w:t>Committee and the Independent Adviser, to amend the Fund asset allocation and reduce exposure to those assets classes that may be affected.</w:t>
      </w:r>
    </w:p>
    <w:p w:rsidR="003A5EF3" w:rsidRDefault="003A5EF3" w:rsidP="00712089">
      <w:pPr>
        <w:tabs>
          <w:tab w:val="left" w:pos="-1440"/>
        </w:tabs>
        <w:ind w:left="720" w:hanging="720"/>
        <w:rPr>
          <w:rFonts w:ascii="Arial" w:hAnsi="Arial" w:cs="Arial"/>
          <w:sz w:val="24"/>
          <w:szCs w:val="24"/>
        </w:rPr>
      </w:pPr>
    </w:p>
    <w:p w:rsidR="00D73DC7" w:rsidRDefault="003A5EF3" w:rsidP="00910066">
      <w:pPr>
        <w:tabs>
          <w:tab w:val="left" w:pos="-1440"/>
        </w:tabs>
        <w:rPr>
          <w:rFonts w:ascii="Arial" w:hAnsi="Arial" w:cs="Arial"/>
          <w:sz w:val="24"/>
          <w:szCs w:val="24"/>
        </w:rPr>
      </w:pPr>
      <w:r>
        <w:rPr>
          <w:rFonts w:ascii="Arial" w:hAnsi="Arial" w:cs="Arial"/>
          <w:sz w:val="24"/>
          <w:szCs w:val="24"/>
        </w:rPr>
        <w:t xml:space="preserve">The Pension Fund maintains </w:t>
      </w:r>
      <w:r w:rsidR="001E41FF">
        <w:rPr>
          <w:rFonts w:ascii="Arial" w:hAnsi="Arial" w:cs="Arial"/>
          <w:sz w:val="24"/>
          <w:szCs w:val="24"/>
        </w:rPr>
        <w:t>a cash balance</w:t>
      </w:r>
      <w:r>
        <w:rPr>
          <w:rFonts w:ascii="Arial" w:hAnsi="Arial" w:cs="Arial"/>
          <w:sz w:val="24"/>
          <w:szCs w:val="24"/>
        </w:rPr>
        <w:t xml:space="preserve"> both to pay for benefits and to meet private equity and infrastructure cash calls. The treasury policy will be to deposit </w:t>
      </w:r>
      <w:r w:rsidR="00910066">
        <w:rPr>
          <w:rFonts w:ascii="Arial" w:hAnsi="Arial" w:cs="Arial"/>
          <w:sz w:val="24"/>
          <w:szCs w:val="24"/>
        </w:rPr>
        <w:t>this cash balance</w:t>
      </w:r>
      <w:r>
        <w:rPr>
          <w:rFonts w:ascii="Arial" w:hAnsi="Arial" w:cs="Arial"/>
          <w:sz w:val="24"/>
          <w:szCs w:val="24"/>
        </w:rPr>
        <w:t xml:space="preserve"> with the Council’s banker, NatWest, </w:t>
      </w:r>
      <w:r w:rsidR="00D73DC7">
        <w:rPr>
          <w:rFonts w:ascii="Arial" w:hAnsi="Arial" w:cs="Arial"/>
          <w:sz w:val="24"/>
          <w:szCs w:val="24"/>
        </w:rPr>
        <w:t xml:space="preserve">in an interest-bearing instant access </w:t>
      </w:r>
      <w:r w:rsidR="00674006">
        <w:rPr>
          <w:rFonts w:ascii="Arial" w:hAnsi="Arial" w:cs="Arial"/>
          <w:sz w:val="24"/>
          <w:szCs w:val="24"/>
        </w:rPr>
        <w:t>a</w:t>
      </w:r>
      <w:r w:rsidR="00D73DC7">
        <w:rPr>
          <w:rFonts w:ascii="Arial" w:hAnsi="Arial" w:cs="Arial"/>
          <w:sz w:val="24"/>
          <w:szCs w:val="24"/>
        </w:rPr>
        <w:t>ccount in the name of the Fund.</w:t>
      </w:r>
    </w:p>
    <w:p w:rsidR="00D73DC7" w:rsidRDefault="00D73DC7" w:rsidP="00712089">
      <w:pPr>
        <w:tabs>
          <w:tab w:val="left" w:pos="-1440"/>
        </w:tabs>
        <w:ind w:left="720" w:hanging="720"/>
        <w:rPr>
          <w:rFonts w:ascii="Arial" w:hAnsi="Arial" w:cs="Arial"/>
          <w:sz w:val="24"/>
          <w:szCs w:val="24"/>
        </w:rPr>
      </w:pPr>
    </w:p>
    <w:p w:rsidR="003A5EF3" w:rsidRDefault="003A5EF3" w:rsidP="00712089">
      <w:pPr>
        <w:rPr>
          <w:rFonts w:ascii="Arial" w:hAnsi="Arial" w:cs="Arial"/>
          <w:szCs w:val="24"/>
        </w:rPr>
      </w:pPr>
    </w:p>
    <w:p w:rsidR="003A5EF3" w:rsidRPr="005C3164" w:rsidRDefault="003A5EF3" w:rsidP="00712089">
      <w:pPr>
        <w:tabs>
          <w:tab w:val="left" w:pos="-1440"/>
        </w:tabs>
        <w:rPr>
          <w:rFonts w:ascii="Arial" w:hAnsi="Arial" w:cs="Arial"/>
          <w:b/>
          <w:sz w:val="24"/>
          <w:szCs w:val="24"/>
        </w:rPr>
      </w:pPr>
      <w:r>
        <w:rPr>
          <w:rFonts w:ascii="Arial" w:hAnsi="Arial" w:cs="Arial"/>
          <w:b/>
          <w:sz w:val="24"/>
          <w:szCs w:val="24"/>
        </w:rPr>
        <w:t>Performance assessment</w:t>
      </w:r>
    </w:p>
    <w:p w:rsidR="00F30781" w:rsidRDefault="00F30781" w:rsidP="00712089">
      <w:pPr>
        <w:rPr>
          <w:rFonts w:ascii="Arial" w:hAnsi="Arial"/>
          <w:sz w:val="24"/>
        </w:rPr>
      </w:pPr>
    </w:p>
    <w:p w:rsidR="00D55E88" w:rsidRDefault="00F30781" w:rsidP="00712089">
      <w:pPr>
        <w:rPr>
          <w:rFonts w:ascii="Arial" w:hAnsi="Arial"/>
          <w:sz w:val="24"/>
        </w:rPr>
      </w:pPr>
      <w:r>
        <w:rPr>
          <w:rFonts w:ascii="Arial" w:hAnsi="Arial"/>
          <w:sz w:val="24"/>
        </w:rPr>
        <w:t>Arrangements should be in place for</w:t>
      </w:r>
      <w:r w:rsidR="00D55E88">
        <w:rPr>
          <w:rFonts w:ascii="Arial" w:hAnsi="Arial"/>
          <w:sz w:val="24"/>
        </w:rPr>
        <w:t>:</w:t>
      </w:r>
    </w:p>
    <w:p w:rsidR="00D55E88" w:rsidRDefault="00D55E88" w:rsidP="00712089">
      <w:pPr>
        <w:rPr>
          <w:rFonts w:ascii="Arial" w:hAnsi="Arial"/>
          <w:sz w:val="24"/>
        </w:rPr>
      </w:pPr>
    </w:p>
    <w:p w:rsidR="00F30781" w:rsidRPr="00C844FD" w:rsidRDefault="00D55E88" w:rsidP="00712089">
      <w:pPr>
        <w:rPr>
          <w:rFonts w:ascii="Arial" w:hAnsi="Arial"/>
          <w:i/>
          <w:sz w:val="24"/>
        </w:rPr>
      </w:pPr>
      <w:r w:rsidRPr="00C844FD">
        <w:rPr>
          <w:rFonts w:ascii="Arial" w:hAnsi="Arial"/>
          <w:i/>
          <w:sz w:val="24"/>
        </w:rPr>
        <w:t>T</w:t>
      </w:r>
      <w:r w:rsidR="00F30781" w:rsidRPr="00C844FD">
        <w:rPr>
          <w:rFonts w:ascii="Arial" w:hAnsi="Arial"/>
          <w:i/>
          <w:sz w:val="24"/>
        </w:rPr>
        <w:t>he formal measurement of performance of the investments, investment managers and advisers.</w:t>
      </w:r>
    </w:p>
    <w:p w:rsidR="00B42660" w:rsidRPr="00C844FD" w:rsidRDefault="00B42660" w:rsidP="00712089">
      <w:pPr>
        <w:rPr>
          <w:rFonts w:ascii="Arial" w:hAnsi="Arial"/>
          <w:i/>
          <w:sz w:val="24"/>
        </w:rPr>
      </w:pPr>
    </w:p>
    <w:p w:rsidR="003A5EF3" w:rsidRPr="00C844FD" w:rsidRDefault="00F30781" w:rsidP="00712089">
      <w:pPr>
        <w:tabs>
          <w:tab w:val="left" w:pos="-1440"/>
        </w:tabs>
        <w:rPr>
          <w:rFonts w:ascii="Arial" w:hAnsi="Arial" w:cs="Arial"/>
          <w:b/>
          <w:i/>
          <w:sz w:val="24"/>
          <w:szCs w:val="24"/>
        </w:rPr>
      </w:pPr>
      <w:r w:rsidRPr="00C844FD">
        <w:rPr>
          <w:rFonts w:ascii="Arial" w:hAnsi="Arial"/>
          <w:i/>
          <w:sz w:val="24"/>
        </w:rPr>
        <w:lastRenderedPageBreak/>
        <w:t>Administering authorities should also periodically make a formal assessment of their own effectiveness as a decision-making body and report on this to scheme members</w:t>
      </w:r>
      <w:r w:rsidR="00C844FD" w:rsidRPr="00C844FD">
        <w:rPr>
          <w:rFonts w:ascii="Arial" w:hAnsi="Arial"/>
          <w:i/>
          <w:sz w:val="24"/>
        </w:rPr>
        <w:t>.</w:t>
      </w:r>
    </w:p>
    <w:p w:rsidR="0091172F" w:rsidRDefault="0091172F" w:rsidP="00712089">
      <w:pPr>
        <w:tabs>
          <w:tab w:val="left" w:pos="-1440"/>
        </w:tabs>
        <w:rPr>
          <w:rFonts w:ascii="Arial" w:hAnsi="Arial" w:cs="Arial"/>
          <w:b/>
          <w:sz w:val="24"/>
          <w:szCs w:val="24"/>
        </w:rPr>
      </w:pPr>
    </w:p>
    <w:p w:rsidR="00B5182C" w:rsidRDefault="00D26D45" w:rsidP="00712089">
      <w:pPr>
        <w:tabs>
          <w:tab w:val="left" w:pos="-1440"/>
        </w:tabs>
        <w:rPr>
          <w:rFonts w:ascii="Arial" w:hAnsi="Arial" w:cs="Arial"/>
          <w:sz w:val="24"/>
          <w:szCs w:val="24"/>
        </w:rPr>
      </w:pPr>
      <w:r w:rsidRPr="00D26D45">
        <w:rPr>
          <w:rFonts w:ascii="Arial" w:hAnsi="Arial" w:cs="Arial"/>
          <w:sz w:val="24"/>
          <w:szCs w:val="24"/>
        </w:rPr>
        <w:t xml:space="preserve">In setting </w:t>
      </w:r>
      <w:r>
        <w:rPr>
          <w:rFonts w:ascii="Arial" w:hAnsi="Arial" w:cs="Arial"/>
          <w:sz w:val="24"/>
          <w:szCs w:val="24"/>
        </w:rPr>
        <w:t xml:space="preserve">the overall investment objective and asset allocation and in the award </w:t>
      </w:r>
      <w:r w:rsidR="00151D5E">
        <w:rPr>
          <w:rFonts w:ascii="Arial" w:hAnsi="Arial" w:cs="Arial"/>
          <w:sz w:val="24"/>
          <w:szCs w:val="24"/>
        </w:rPr>
        <w:t>and in the award of mandates to individual investment managers the Pension Fund Sub-Committee has set benchmarks for each asset class.</w:t>
      </w:r>
    </w:p>
    <w:p w:rsidR="00B5182C" w:rsidRDefault="00B5182C" w:rsidP="00712089">
      <w:pPr>
        <w:tabs>
          <w:tab w:val="left" w:pos="-1440"/>
        </w:tabs>
        <w:rPr>
          <w:rFonts w:ascii="Arial" w:hAnsi="Arial" w:cs="Arial"/>
          <w:sz w:val="24"/>
          <w:szCs w:val="24"/>
        </w:rPr>
      </w:pPr>
    </w:p>
    <w:p w:rsidR="00D26D45" w:rsidRPr="00D26D45" w:rsidRDefault="00265874" w:rsidP="00712089">
      <w:pPr>
        <w:tabs>
          <w:tab w:val="left" w:pos="-1440"/>
        </w:tabs>
        <w:rPr>
          <w:rFonts w:ascii="Arial" w:hAnsi="Arial" w:cs="Arial"/>
          <w:sz w:val="24"/>
          <w:szCs w:val="24"/>
        </w:rPr>
      </w:pPr>
      <w:r>
        <w:rPr>
          <w:rFonts w:ascii="Arial" w:hAnsi="Arial" w:cs="Arial"/>
          <w:sz w:val="24"/>
          <w:szCs w:val="24"/>
        </w:rPr>
        <w:t>The different benchmarks culminate in the specific benchmark for the Fund, which is determined by the core asset allocation, which has been made with reference to the Fund’s investment objectives.</w:t>
      </w:r>
    </w:p>
    <w:p w:rsidR="003A5EF3" w:rsidRPr="00B4747C" w:rsidRDefault="003A5EF3" w:rsidP="00712089">
      <w:pPr>
        <w:tabs>
          <w:tab w:val="left" w:pos="-1440"/>
        </w:tabs>
        <w:ind w:left="709" w:hanging="709"/>
        <w:rPr>
          <w:rFonts w:ascii="Arial" w:hAnsi="Arial" w:cs="Arial"/>
          <w:sz w:val="24"/>
          <w:szCs w:val="24"/>
        </w:rPr>
      </w:pPr>
    </w:p>
    <w:p w:rsidR="00777FF6" w:rsidRDefault="00137594" w:rsidP="00712089">
      <w:pPr>
        <w:tabs>
          <w:tab w:val="left" w:pos="-1440"/>
        </w:tabs>
        <w:rPr>
          <w:rFonts w:ascii="Arial" w:hAnsi="Arial" w:cs="Arial"/>
          <w:sz w:val="24"/>
          <w:szCs w:val="24"/>
        </w:rPr>
      </w:pPr>
      <w:r>
        <w:rPr>
          <w:rFonts w:ascii="Arial" w:hAnsi="Arial" w:cs="Arial"/>
          <w:sz w:val="24"/>
          <w:szCs w:val="24"/>
        </w:rPr>
        <w:t xml:space="preserve">The Fund engages </w:t>
      </w:r>
      <w:r w:rsidR="003C1940">
        <w:rPr>
          <w:rFonts w:ascii="Arial" w:hAnsi="Arial" w:cs="Arial"/>
          <w:sz w:val="24"/>
          <w:szCs w:val="24"/>
        </w:rPr>
        <w:t xml:space="preserve">the </w:t>
      </w:r>
      <w:r w:rsidR="003A5EF3" w:rsidRPr="00B4747C">
        <w:rPr>
          <w:rFonts w:ascii="Arial" w:hAnsi="Arial" w:cs="Arial"/>
          <w:sz w:val="24"/>
          <w:szCs w:val="24"/>
        </w:rPr>
        <w:t xml:space="preserve">WM </w:t>
      </w:r>
      <w:r w:rsidR="0064062B">
        <w:rPr>
          <w:rFonts w:ascii="Arial" w:hAnsi="Arial" w:cs="Arial"/>
          <w:sz w:val="24"/>
          <w:szCs w:val="24"/>
        </w:rPr>
        <w:t>Company</w:t>
      </w:r>
      <w:r w:rsidR="003A5EF3">
        <w:rPr>
          <w:rFonts w:ascii="Arial" w:hAnsi="Arial" w:cs="Arial"/>
          <w:sz w:val="24"/>
          <w:szCs w:val="24"/>
        </w:rPr>
        <w:t xml:space="preserve"> </w:t>
      </w:r>
      <w:r w:rsidR="003C1940">
        <w:rPr>
          <w:rFonts w:ascii="Arial" w:hAnsi="Arial" w:cs="Arial"/>
          <w:sz w:val="24"/>
          <w:szCs w:val="24"/>
        </w:rPr>
        <w:t xml:space="preserve">to provide </w:t>
      </w:r>
      <w:r w:rsidR="003A5EF3" w:rsidRPr="00B4747C">
        <w:rPr>
          <w:rFonts w:ascii="Arial" w:hAnsi="Arial" w:cs="Arial"/>
          <w:sz w:val="24"/>
          <w:szCs w:val="24"/>
        </w:rPr>
        <w:t xml:space="preserve">an independent </w:t>
      </w:r>
      <w:r w:rsidR="00777FF6">
        <w:rPr>
          <w:rFonts w:ascii="Arial" w:hAnsi="Arial" w:cs="Arial"/>
          <w:sz w:val="24"/>
          <w:szCs w:val="24"/>
        </w:rPr>
        <w:t xml:space="preserve">measurement of investment </w:t>
      </w:r>
      <w:r w:rsidR="007B7F18">
        <w:rPr>
          <w:rFonts w:ascii="Arial" w:hAnsi="Arial" w:cs="Arial"/>
          <w:sz w:val="24"/>
          <w:szCs w:val="24"/>
        </w:rPr>
        <w:t xml:space="preserve">managers’ </w:t>
      </w:r>
      <w:r w:rsidR="00777FF6">
        <w:rPr>
          <w:rFonts w:ascii="Arial" w:hAnsi="Arial" w:cs="Arial"/>
          <w:sz w:val="24"/>
          <w:szCs w:val="24"/>
        </w:rPr>
        <w:t>returns</w:t>
      </w:r>
      <w:r w:rsidR="004F3F95">
        <w:rPr>
          <w:rFonts w:ascii="Arial" w:hAnsi="Arial" w:cs="Arial"/>
          <w:sz w:val="24"/>
          <w:szCs w:val="24"/>
        </w:rPr>
        <w:t xml:space="preserve"> at q</w:t>
      </w:r>
      <w:r w:rsidR="007B7F18">
        <w:rPr>
          <w:rFonts w:ascii="Arial" w:hAnsi="Arial" w:cs="Arial"/>
          <w:sz w:val="24"/>
          <w:szCs w:val="24"/>
        </w:rPr>
        <w:t xml:space="preserve">uarterly and annual intervals. </w:t>
      </w:r>
      <w:r w:rsidR="00777FF6">
        <w:rPr>
          <w:rFonts w:ascii="Arial" w:hAnsi="Arial" w:cs="Arial"/>
          <w:sz w:val="24"/>
          <w:szCs w:val="24"/>
        </w:rPr>
        <w:t>These are used for comparison purposes against specific and peer group benchmarks.</w:t>
      </w:r>
      <w:r w:rsidR="0064062B">
        <w:rPr>
          <w:rFonts w:ascii="Arial" w:hAnsi="Arial" w:cs="Arial"/>
          <w:sz w:val="24"/>
          <w:szCs w:val="24"/>
        </w:rPr>
        <w:t xml:space="preserve"> The reporting from the WM Company </w:t>
      </w:r>
      <w:r w:rsidR="00A26F2F">
        <w:rPr>
          <w:rFonts w:ascii="Arial" w:hAnsi="Arial" w:cs="Arial"/>
          <w:sz w:val="24"/>
          <w:szCs w:val="24"/>
        </w:rPr>
        <w:t>also comprises performance attribution broken down by asset class, and the impacts of asset allocation and stock selection.</w:t>
      </w:r>
    </w:p>
    <w:p w:rsidR="00777FF6" w:rsidRDefault="00777FF6" w:rsidP="00712089">
      <w:pPr>
        <w:tabs>
          <w:tab w:val="left" w:pos="-1440"/>
        </w:tabs>
        <w:rPr>
          <w:rFonts w:ascii="Arial" w:hAnsi="Arial" w:cs="Arial"/>
          <w:sz w:val="24"/>
          <w:szCs w:val="24"/>
        </w:rPr>
      </w:pPr>
    </w:p>
    <w:p w:rsidR="00B5182C" w:rsidRPr="00351949" w:rsidRDefault="00B5182C" w:rsidP="00712089">
      <w:pPr>
        <w:tabs>
          <w:tab w:val="left" w:pos="-1440"/>
        </w:tabs>
        <w:rPr>
          <w:rFonts w:ascii="Arial" w:hAnsi="Arial" w:cs="Arial"/>
          <w:sz w:val="24"/>
          <w:szCs w:val="24"/>
        </w:rPr>
      </w:pPr>
      <w:r w:rsidRPr="00351949">
        <w:rPr>
          <w:rFonts w:ascii="Arial" w:hAnsi="Arial" w:cs="Arial"/>
          <w:sz w:val="24"/>
          <w:szCs w:val="24"/>
        </w:rPr>
        <w:t>LGPS regulations state that the administering authority should review, at least every three months, the investments made by managers and should have regard to professional advice. The Myners’ review has emphasised the importance of monitoring dealing costs – these will be reviewed with other aspects of investment.</w:t>
      </w:r>
    </w:p>
    <w:p w:rsidR="00B5182C" w:rsidRPr="00351949" w:rsidRDefault="00B5182C" w:rsidP="00712089">
      <w:pPr>
        <w:tabs>
          <w:tab w:val="left" w:pos="-1440"/>
        </w:tabs>
        <w:rPr>
          <w:rFonts w:ascii="Arial" w:hAnsi="Arial" w:cs="Arial"/>
          <w:sz w:val="24"/>
          <w:szCs w:val="24"/>
        </w:rPr>
      </w:pPr>
    </w:p>
    <w:p w:rsidR="003A5EF3" w:rsidRPr="00351949" w:rsidRDefault="003A5EF3" w:rsidP="00712089">
      <w:pPr>
        <w:tabs>
          <w:tab w:val="left" w:pos="-1440"/>
        </w:tabs>
        <w:rPr>
          <w:rFonts w:ascii="Arial" w:hAnsi="Arial" w:cs="Arial"/>
          <w:sz w:val="24"/>
          <w:szCs w:val="24"/>
        </w:rPr>
      </w:pPr>
      <w:r w:rsidRPr="00351949">
        <w:rPr>
          <w:rFonts w:ascii="Arial" w:hAnsi="Arial" w:cs="Arial"/>
          <w:sz w:val="24"/>
          <w:szCs w:val="24"/>
        </w:rPr>
        <w:t>Reports are produced quarterly and annually to allow proper consideration of performance over both the short and medium term. If a manager consistently underperforms in relation to their benchmark over a ‘substantial’ period (defined as two years), a review of the mandate will be considered.</w:t>
      </w:r>
    </w:p>
    <w:p w:rsidR="003A5EF3" w:rsidRPr="00351949" w:rsidRDefault="003A5EF3" w:rsidP="00712089">
      <w:pPr>
        <w:tabs>
          <w:tab w:val="left" w:pos="-1440"/>
        </w:tabs>
        <w:rPr>
          <w:rFonts w:ascii="Arial" w:hAnsi="Arial" w:cs="Arial"/>
          <w:sz w:val="24"/>
          <w:szCs w:val="24"/>
        </w:rPr>
      </w:pPr>
    </w:p>
    <w:p w:rsidR="003A5EF3" w:rsidRPr="00351949" w:rsidRDefault="00B713C6" w:rsidP="00712089">
      <w:pPr>
        <w:tabs>
          <w:tab w:val="left" w:pos="-1440"/>
        </w:tabs>
        <w:rPr>
          <w:rFonts w:ascii="Arial" w:hAnsi="Arial" w:cs="Arial"/>
          <w:sz w:val="24"/>
          <w:szCs w:val="24"/>
        </w:rPr>
      </w:pPr>
      <w:r>
        <w:rPr>
          <w:rFonts w:ascii="Arial" w:hAnsi="Arial" w:cs="Arial"/>
          <w:sz w:val="24"/>
          <w:szCs w:val="24"/>
        </w:rPr>
        <w:t>The Chief Finance</w:t>
      </w:r>
      <w:r w:rsidR="009A1B29">
        <w:rPr>
          <w:rFonts w:ascii="Arial" w:hAnsi="Arial" w:cs="Arial"/>
          <w:sz w:val="24"/>
          <w:szCs w:val="24"/>
        </w:rPr>
        <w:t xml:space="preserve"> Officer</w:t>
      </w:r>
      <w:r w:rsidR="003A5EF3" w:rsidRPr="00351949">
        <w:rPr>
          <w:rFonts w:ascii="Arial" w:hAnsi="Arial" w:cs="Arial"/>
          <w:sz w:val="24"/>
          <w:szCs w:val="24"/>
        </w:rPr>
        <w:t xml:space="preserve"> monitors managers’ activity on a daily, monthly and quarterly basis, and is in regular contact with investment houses. The Pension Fund Sub-Committee receives quarterly reports from the investment managers and the </w:t>
      </w:r>
      <w:r>
        <w:rPr>
          <w:rFonts w:ascii="Arial" w:hAnsi="Arial" w:cs="Arial"/>
          <w:sz w:val="24"/>
          <w:szCs w:val="24"/>
        </w:rPr>
        <w:t>Chief Finance</w:t>
      </w:r>
      <w:r w:rsidR="009A1B29">
        <w:rPr>
          <w:rFonts w:ascii="Arial" w:hAnsi="Arial" w:cs="Arial"/>
          <w:sz w:val="24"/>
          <w:szCs w:val="24"/>
        </w:rPr>
        <w:t xml:space="preserve"> Officer</w:t>
      </w:r>
      <w:r w:rsidR="003A5EF3" w:rsidRPr="00351949">
        <w:rPr>
          <w:rFonts w:ascii="Arial" w:hAnsi="Arial" w:cs="Arial"/>
          <w:sz w:val="24"/>
          <w:szCs w:val="24"/>
        </w:rPr>
        <w:t xml:space="preserve"> detailing activ</w:t>
      </w:r>
      <w:r>
        <w:rPr>
          <w:rFonts w:ascii="Arial" w:hAnsi="Arial" w:cs="Arial"/>
          <w:sz w:val="24"/>
          <w:szCs w:val="24"/>
        </w:rPr>
        <w:t>ity and investment performance.</w:t>
      </w:r>
    </w:p>
    <w:p w:rsidR="003A5EF3" w:rsidRPr="00351949" w:rsidRDefault="003A5EF3" w:rsidP="00712089">
      <w:pPr>
        <w:tabs>
          <w:tab w:val="left" w:pos="-1440"/>
        </w:tabs>
        <w:rPr>
          <w:rFonts w:ascii="Arial" w:hAnsi="Arial" w:cs="Arial"/>
          <w:sz w:val="24"/>
          <w:szCs w:val="24"/>
        </w:rPr>
      </w:pPr>
    </w:p>
    <w:p w:rsidR="003A5EF3" w:rsidRPr="00351949" w:rsidRDefault="003A5EF3" w:rsidP="00712089">
      <w:pPr>
        <w:tabs>
          <w:tab w:val="left" w:pos="-1440"/>
        </w:tabs>
        <w:rPr>
          <w:rFonts w:ascii="Arial" w:hAnsi="Arial" w:cs="Arial"/>
          <w:sz w:val="24"/>
          <w:szCs w:val="24"/>
        </w:rPr>
      </w:pPr>
      <w:r w:rsidRPr="00351949">
        <w:rPr>
          <w:rFonts w:ascii="Arial" w:hAnsi="Arial" w:cs="Arial"/>
          <w:sz w:val="24"/>
          <w:szCs w:val="24"/>
        </w:rPr>
        <w:t>The Pension Fund Sub-Committee will review the performance of the Fund’s Independent Adviser on a triennial basis, looking at the quality of advice and inputs made.</w:t>
      </w:r>
    </w:p>
    <w:p w:rsidR="003A5EF3" w:rsidRPr="00351949" w:rsidRDefault="003A5EF3" w:rsidP="00712089">
      <w:pPr>
        <w:tabs>
          <w:tab w:val="left" w:pos="-1440"/>
        </w:tabs>
        <w:rPr>
          <w:rFonts w:ascii="Arial" w:hAnsi="Arial" w:cs="Arial"/>
          <w:sz w:val="24"/>
          <w:szCs w:val="24"/>
        </w:rPr>
      </w:pPr>
    </w:p>
    <w:p w:rsidR="003A5EF3" w:rsidRPr="00351949" w:rsidRDefault="003A5EF3" w:rsidP="00712089">
      <w:pPr>
        <w:tabs>
          <w:tab w:val="left" w:pos="-1440"/>
        </w:tabs>
        <w:rPr>
          <w:rFonts w:ascii="Arial" w:hAnsi="Arial" w:cs="Arial"/>
          <w:sz w:val="24"/>
          <w:szCs w:val="24"/>
        </w:rPr>
      </w:pPr>
      <w:r w:rsidRPr="00351949">
        <w:rPr>
          <w:rFonts w:ascii="Arial" w:hAnsi="Arial" w:cs="Arial"/>
          <w:sz w:val="24"/>
          <w:szCs w:val="24"/>
        </w:rPr>
        <w:t xml:space="preserve">The Pension Fund Sub-Committee (trustees) will agree an annual and three year business plan to ensure that all areas of activity, including member training and development, are adequately examined and reviewed. The Pension Fund Sub-Committee will review its own performance on an annual basis, looking at the performance of the Fund overall and progress against the business plan.    </w:t>
      </w:r>
    </w:p>
    <w:p w:rsidR="00534E09" w:rsidRDefault="00534E09">
      <w:pPr>
        <w:rPr>
          <w:rFonts w:ascii="Arial" w:hAnsi="Arial" w:cs="Arial"/>
          <w:sz w:val="24"/>
          <w:szCs w:val="24"/>
        </w:rPr>
      </w:pPr>
      <w:r>
        <w:rPr>
          <w:rFonts w:ascii="Arial" w:hAnsi="Arial" w:cs="Arial"/>
          <w:sz w:val="24"/>
          <w:szCs w:val="24"/>
        </w:rPr>
        <w:br w:type="page"/>
      </w:r>
    </w:p>
    <w:p w:rsidR="003A5EF3" w:rsidRPr="00351949" w:rsidRDefault="003A5EF3" w:rsidP="00712089">
      <w:pPr>
        <w:tabs>
          <w:tab w:val="left" w:pos="-1440"/>
        </w:tabs>
        <w:rPr>
          <w:rFonts w:ascii="Arial" w:hAnsi="Arial" w:cs="Arial"/>
          <w:sz w:val="24"/>
          <w:szCs w:val="24"/>
        </w:rPr>
      </w:pPr>
      <w:r w:rsidRPr="00351949">
        <w:rPr>
          <w:rFonts w:ascii="Arial" w:hAnsi="Arial" w:cs="Arial"/>
          <w:sz w:val="24"/>
          <w:szCs w:val="24"/>
        </w:rPr>
        <w:lastRenderedPageBreak/>
        <w:t xml:space="preserve">The appointment of the investment managers will be reviewed regularly by the Pension Fund Sub-Committee to consider the desirability of continuing or terminating the appointment.  Decisions will be based on monitoring the investment performance and processes at quarterly and other meetings. </w:t>
      </w:r>
    </w:p>
    <w:p w:rsidR="003A5EF3" w:rsidRPr="00351949" w:rsidRDefault="003A5EF3" w:rsidP="00712089">
      <w:pPr>
        <w:rPr>
          <w:rFonts w:ascii="Arial" w:hAnsi="Arial" w:cs="Arial"/>
          <w:sz w:val="24"/>
          <w:szCs w:val="24"/>
        </w:rPr>
      </w:pPr>
    </w:p>
    <w:p w:rsidR="003A5EF3" w:rsidRPr="00351949" w:rsidRDefault="003A5EF3" w:rsidP="00712089">
      <w:pPr>
        <w:tabs>
          <w:tab w:val="left" w:pos="-1440"/>
        </w:tabs>
        <w:spacing w:after="120"/>
        <w:ind w:left="720" w:hanging="720"/>
        <w:rPr>
          <w:rFonts w:ascii="Arial" w:hAnsi="Arial" w:cs="Arial"/>
          <w:sz w:val="24"/>
          <w:szCs w:val="24"/>
        </w:rPr>
      </w:pPr>
      <w:r w:rsidRPr="00351949">
        <w:rPr>
          <w:rFonts w:ascii="Arial" w:hAnsi="Arial" w:cs="Arial"/>
          <w:sz w:val="24"/>
          <w:szCs w:val="24"/>
        </w:rPr>
        <w:t>Amongst the criteria by which managers will be selected are:</w:t>
      </w:r>
    </w:p>
    <w:p w:rsidR="003A5EF3" w:rsidRPr="00351949" w:rsidRDefault="003A5EF3" w:rsidP="00712089">
      <w:pPr>
        <w:pStyle w:val="ListParagraph"/>
        <w:widowControl w:val="0"/>
        <w:numPr>
          <w:ilvl w:val="0"/>
          <w:numId w:val="18"/>
        </w:numPr>
        <w:tabs>
          <w:tab w:val="left" w:pos="-1440"/>
        </w:tabs>
        <w:spacing w:after="120"/>
        <w:rPr>
          <w:rFonts w:ascii="Arial" w:hAnsi="Arial" w:cs="Arial"/>
          <w:sz w:val="24"/>
          <w:szCs w:val="24"/>
        </w:rPr>
      </w:pPr>
      <w:r w:rsidRPr="00351949">
        <w:rPr>
          <w:rFonts w:ascii="Arial" w:hAnsi="Arial" w:cs="Arial"/>
          <w:sz w:val="24"/>
          <w:szCs w:val="24"/>
        </w:rPr>
        <w:t>Investment process, including investment philosophy, research, the asset allocation process, controls on stock selection, and risk controls</w:t>
      </w:r>
    </w:p>
    <w:p w:rsidR="003A5EF3" w:rsidRPr="00351949" w:rsidRDefault="003A5EF3" w:rsidP="00712089">
      <w:pPr>
        <w:widowControl w:val="0"/>
        <w:numPr>
          <w:ilvl w:val="0"/>
          <w:numId w:val="18"/>
        </w:numPr>
        <w:spacing w:after="120"/>
        <w:rPr>
          <w:rFonts w:ascii="Arial" w:hAnsi="Arial" w:cs="Arial"/>
          <w:sz w:val="24"/>
          <w:szCs w:val="24"/>
        </w:rPr>
      </w:pPr>
      <w:r w:rsidRPr="00351949">
        <w:rPr>
          <w:rFonts w:ascii="Arial" w:hAnsi="Arial" w:cs="Arial"/>
          <w:sz w:val="24"/>
          <w:szCs w:val="24"/>
        </w:rPr>
        <w:t>Past performance, including spread of results and volatility</w:t>
      </w:r>
    </w:p>
    <w:p w:rsidR="003A5EF3" w:rsidRPr="00351949" w:rsidRDefault="003A5EF3" w:rsidP="00712089">
      <w:pPr>
        <w:widowControl w:val="0"/>
        <w:numPr>
          <w:ilvl w:val="0"/>
          <w:numId w:val="18"/>
        </w:numPr>
        <w:tabs>
          <w:tab w:val="left" w:pos="-1440"/>
        </w:tabs>
        <w:spacing w:after="120"/>
        <w:rPr>
          <w:rFonts w:ascii="Arial" w:hAnsi="Arial" w:cs="Arial"/>
          <w:sz w:val="24"/>
          <w:szCs w:val="24"/>
        </w:rPr>
      </w:pPr>
      <w:r w:rsidRPr="00351949">
        <w:rPr>
          <w:rFonts w:ascii="Arial" w:hAnsi="Arial" w:cs="Arial"/>
          <w:sz w:val="24"/>
          <w:szCs w:val="24"/>
        </w:rPr>
        <w:t>Personnel, including levels of experience, staff turnover, and the individual managers offered</w:t>
      </w:r>
    </w:p>
    <w:p w:rsidR="003A5EF3" w:rsidRPr="00351949" w:rsidRDefault="003A5EF3" w:rsidP="00712089">
      <w:pPr>
        <w:widowControl w:val="0"/>
        <w:numPr>
          <w:ilvl w:val="0"/>
          <w:numId w:val="18"/>
        </w:numPr>
        <w:tabs>
          <w:tab w:val="left" w:pos="-1440"/>
        </w:tabs>
        <w:spacing w:after="120"/>
        <w:rPr>
          <w:rFonts w:ascii="Arial" w:hAnsi="Arial" w:cs="Arial"/>
          <w:sz w:val="24"/>
          <w:szCs w:val="24"/>
        </w:rPr>
      </w:pPr>
      <w:r w:rsidRPr="00351949">
        <w:rPr>
          <w:rFonts w:ascii="Arial" w:hAnsi="Arial" w:cs="Arial"/>
          <w:sz w:val="24"/>
          <w:szCs w:val="24"/>
        </w:rPr>
        <w:t>Administration, including systems, contacts, references from other customers, and the ability to meet requirements on reporting</w:t>
      </w:r>
    </w:p>
    <w:p w:rsidR="003A5EF3" w:rsidRPr="00351949" w:rsidRDefault="003A5EF3" w:rsidP="00712089">
      <w:pPr>
        <w:widowControl w:val="0"/>
        <w:numPr>
          <w:ilvl w:val="0"/>
          <w:numId w:val="18"/>
        </w:numPr>
        <w:tabs>
          <w:tab w:val="left" w:pos="-1440"/>
        </w:tabs>
        <w:spacing w:after="120"/>
        <w:rPr>
          <w:rFonts w:ascii="Arial" w:hAnsi="Arial" w:cs="Arial"/>
          <w:sz w:val="24"/>
          <w:szCs w:val="24"/>
        </w:rPr>
      </w:pPr>
      <w:r w:rsidRPr="00351949">
        <w:rPr>
          <w:rFonts w:ascii="Arial" w:hAnsi="Arial" w:cs="Arial"/>
          <w:sz w:val="24"/>
          <w:szCs w:val="24"/>
        </w:rPr>
        <w:t>Resources, including the number of professionals employed, the number of funds serviced, the number of funds gained or lost over the last 5 years, and the controls on over-rapid growth</w:t>
      </w:r>
    </w:p>
    <w:p w:rsidR="003A5EF3" w:rsidRPr="00351949" w:rsidRDefault="003A5EF3" w:rsidP="00712089">
      <w:pPr>
        <w:widowControl w:val="0"/>
        <w:numPr>
          <w:ilvl w:val="0"/>
          <w:numId w:val="18"/>
        </w:numPr>
        <w:tabs>
          <w:tab w:val="left" w:pos="-1440"/>
        </w:tabs>
        <w:rPr>
          <w:rFonts w:ascii="Arial" w:hAnsi="Arial" w:cs="Arial"/>
          <w:sz w:val="24"/>
          <w:szCs w:val="24"/>
        </w:rPr>
      </w:pPr>
      <w:r w:rsidRPr="00351949">
        <w:rPr>
          <w:rFonts w:ascii="Arial" w:hAnsi="Arial" w:cs="Arial"/>
          <w:sz w:val="24"/>
          <w:szCs w:val="24"/>
        </w:rPr>
        <w:t>Professional judgement.</w:t>
      </w:r>
    </w:p>
    <w:p w:rsidR="003A5EF3" w:rsidRPr="00351949" w:rsidRDefault="003A5EF3" w:rsidP="00712089">
      <w:pPr>
        <w:rPr>
          <w:rFonts w:ascii="Arial" w:hAnsi="Arial" w:cs="Arial"/>
          <w:sz w:val="24"/>
          <w:szCs w:val="24"/>
        </w:rPr>
      </w:pPr>
    </w:p>
    <w:p w:rsidR="003A5EF3" w:rsidRDefault="003A5EF3" w:rsidP="00712089">
      <w:pPr>
        <w:tabs>
          <w:tab w:val="left" w:pos="-1440"/>
        </w:tabs>
        <w:rPr>
          <w:rFonts w:ascii="Arial" w:hAnsi="Arial" w:cs="Arial"/>
          <w:sz w:val="24"/>
          <w:szCs w:val="24"/>
        </w:rPr>
      </w:pPr>
      <w:r w:rsidRPr="00351949">
        <w:rPr>
          <w:rFonts w:ascii="Arial" w:hAnsi="Arial" w:cs="Arial"/>
          <w:sz w:val="24"/>
          <w:szCs w:val="24"/>
        </w:rPr>
        <w:t>A manager may be replaced if, amongst other things, they fail to meet the investment objectives or it is believed that they are not capable of achieving the performance objectives in the future. Consistent underperformance over a two-year period would automatically place the manager’s mandate under review.</w:t>
      </w:r>
    </w:p>
    <w:p w:rsidR="003A5EF3" w:rsidRDefault="003A5EF3" w:rsidP="00712089">
      <w:pPr>
        <w:tabs>
          <w:tab w:val="left" w:pos="-1440"/>
        </w:tabs>
        <w:ind w:left="720" w:hanging="720"/>
        <w:rPr>
          <w:rFonts w:ascii="Arial" w:hAnsi="Arial" w:cs="Arial"/>
          <w:sz w:val="24"/>
          <w:szCs w:val="24"/>
        </w:rPr>
      </w:pPr>
    </w:p>
    <w:p w:rsidR="00534318" w:rsidRDefault="00534318">
      <w:pPr>
        <w:rPr>
          <w:rFonts w:ascii="Arial" w:hAnsi="Arial" w:cs="Arial"/>
          <w:b/>
          <w:sz w:val="24"/>
          <w:szCs w:val="24"/>
        </w:rPr>
      </w:pPr>
    </w:p>
    <w:p w:rsidR="003A5EF3" w:rsidRPr="005C3164" w:rsidRDefault="003A5EF3" w:rsidP="00712089">
      <w:pPr>
        <w:tabs>
          <w:tab w:val="left" w:pos="-1440"/>
        </w:tabs>
        <w:ind w:left="720" w:hanging="720"/>
        <w:rPr>
          <w:rFonts w:ascii="Arial" w:hAnsi="Arial" w:cs="Arial"/>
          <w:b/>
          <w:sz w:val="24"/>
          <w:szCs w:val="24"/>
        </w:rPr>
      </w:pPr>
      <w:r>
        <w:rPr>
          <w:rFonts w:ascii="Arial" w:hAnsi="Arial" w:cs="Arial"/>
          <w:b/>
          <w:sz w:val="24"/>
          <w:szCs w:val="24"/>
        </w:rPr>
        <w:t>Responsible ownership</w:t>
      </w:r>
    </w:p>
    <w:p w:rsidR="003A5EF3" w:rsidRDefault="003A5EF3" w:rsidP="00712089">
      <w:pPr>
        <w:tabs>
          <w:tab w:val="left" w:pos="-1440"/>
        </w:tabs>
        <w:rPr>
          <w:rFonts w:ascii="Arial" w:hAnsi="Arial" w:cs="Arial"/>
          <w:b/>
          <w:sz w:val="24"/>
          <w:szCs w:val="24"/>
        </w:rPr>
      </w:pPr>
    </w:p>
    <w:p w:rsidR="006A777A" w:rsidRDefault="006A777A" w:rsidP="00712089">
      <w:pPr>
        <w:ind w:left="720" w:hanging="720"/>
        <w:rPr>
          <w:rFonts w:ascii="Arial" w:hAnsi="Arial"/>
          <w:sz w:val="24"/>
        </w:rPr>
      </w:pPr>
      <w:r>
        <w:rPr>
          <w:rFonts w:ascii="Arial" w:hAnsi="Arial"/>
          <w:sz w:val="24"/>
        </w:rPr>
        <w:t>Administering authorities should:</w:t>
      </w:r>
    </w:p>
    <w:p w:rsidR="00066630" w:rsidRDefault="00066630" w:rsidP="00712089">
      <w:pPr>
        <w:rPr>
          <w:rFonts w:ascii="Arial" w:hAnsi="Arial"/>
          <w:sz w:val="24"/>
        </w:rPr>
      </w:pPr>
    </w:p>
    <w:p w:rsidR="00066630" w:rsidRPr="00486D22" w:rsidRDefault="0067203D" w:rsidP="00712089">
      <w:pPr>
        <w:rPr>
          <w:rFonts w:ascii="Arial" w:hAnsi="Arial"/>
          <w:i/>
          <w:sz w:val="24"/>
        </w:rPr>
      </w:pPr>
      <w:r w:rsidRPr="00486D22">
        <w:rPr>
          <w:rFonts w:ascii="Arial" w:hAnsi="Arial"/>
          <w:i/>
          <w:sz w:val="24"/>
        </w:rPr>
        <w:t>R</w:t>
      </w:r>
      <w:r w:rsidR="006A777A" w:rsidRPr="00486D22">
        <w:rPr>
          <w:rFonts w:ascii="Arial" w:hAnsi="Arial"/>
          <w:i/>
          <w:sz w:val="24"/>
        </w:rPr>
        <w:t>ecognise and ensure that their partners in the investment chain adopt the Financial Reporting Council’s (FRC) UK Stewardship Code;</w:t>
      </w:r>
    </w:p>
    <w:p w:rsidR="00066630" w:rsidRPr="00486D22" w:rsidRDefault="00066630" w:rsidP="00712089">
      <w:pPr>
        <w:rPr>
          <w:rFonts w:ascii="Arial" w:hAnsi="Arial"/>
          <w:i/>
          <w:sz w:val="24"/>
        </w:rPr>
      </w:pPr>
    </w:p>
    <w:p w:rsidR="006A777A" w:rsidRPr="00486D22" w:rsidRDefault="0067203D" w:rsidP="00712089">
      <w:pPr>
        <w:rPr>
          <w:rFonts w:ascii="Arial" w:hAnsi="Arial"/>
          <w:i/>
          <w:sz w:val="24"/>
        </w:rPr>
      </w:pPr>
      <w:r w:rsidRPr="00486D22">
        <w:rPr>
          <w:rFonts w:ascii="Arial" w:hAnsi="Arial"/>
          <w:i/>
          <w:sz w:val="24"/>
        </w:rPr>
        <w:t>I</w:t>
      </w:r>
      <w:r w:rsidR="006A777A" w:rsidRPr="00486D22">
        <w:rPr>
          <w:rFonts w:ascii="Arial" w:hAnsi="Arial"/>
          <w:i/>
          <w:sz w:val="24"/>
        </w:rPr>
        <w:t>nclude a statement of their policy on responsible ownership in the Statement of Investment Principles; and</w:t>
      </w:r>
    </w:p>
    <w:p w:rsidR="00066630" w:rsidRPr="00486D22" w:rsidRDefault="00066630" w:rsidP="00712089">
      <w:pPr>
        <w:rPr>
          <w:rFonts w:ascii="Arial" w:hAnsi="Arial"/>
          <w:i/>
          <w:sz w:val="24"/>
        </w:rPr>
      </w:pPr>
    </w:p>
    <w:p w:rsidR="006A777A" w:rsidRPr="00486D22" w:rsidRDefault="0067203D" w:rsidP="00712089">
      <w:pPr>
        <w:tabs>
          <w:tab w:val="left" w:pos="-1440"/>
        </w:tabs>
        <w:rPr>
          <w:rFonts w:ascii="Arial" w:hAnsi="Arial" w:cs="Arial"/>
          <w:b/>
          <w:i/>
          <w:sz w:val="24"/>
          <w:szCs w:val="24"/>
        </w:rPr>
      </w:pPr>
      <w:r w:rsidRPr="00486D22">
        <w:rPr>
          <w:rFonts w:ascii="Arial" w:hAnsi="Arial"/>
          <w:i/>
          <w:sz w:val="24"/>
        </w:rPr>
        <w:t>R</w:t>
      </w:r>
      <w:r w:rsidR="006A777A" w:rsidRPr="00486D22">
        <w:rPr>
          <w:rFonts w:ascii="Arial" w:hAnsi="Arial"/>
          <w:i/>
          <w:sz w:val="24"/>
        </w:rPr>
        <w:t>eport periodically to scheme members on the discharge of such responsibilities</w:t>
      </w:r>
      <w:r w:rsidR="00486D22" w:rsidRPr="00486D22">
        <w:rPr>
          <w:rFonts w:ascii="Arial" w:hAnsi="Arial"/>
          <w:i/>
          <w:sz w:val="24"/>
        </w:rPr>
        <w:t>.</w:t>
      </w:r>
    </w:p>
    <w:p w:rsidR="006A777A" w:rsidRDefault="006A777A" w:rsidP="00712089">
      <w:pPr>
        <w:tabs>
          <w:tab w:val="left" w:pos="-1440"/>
        </w:tabs>
        <w:rPr>
          <w:rFonts w:ascii="Arial" w:hAnsi="Arial" w:cs="Arial"/>
          <w:b/>
          <w:sz w:val="24"/>
          <w:szCs w:val="24"/>
        </w:rPr>
      </w:pPr>
    </w:p>
    <w:p w:rsidR="00083143" w:rsidRDefault="003A5EF3" w:rsidP="00712089">
      <w:pPr>
        <w:rPr>
          <w:rFonts w:ascii="Arial" w:hAnsi="Arial" w:cs="Arial"/>
          <w:sz w:val="24"/>
          <w:szCs w:val="24"/>
        </w:rPr>
      </w:pPr>
      <w:r>
        <w:rPr>
          <w:rFonts w:ascii="Arial" w:hAnsi="Arial" w:cs="Arial"/>
          <w:sz w:val="24"/>
          <w:szCs w:val="24"/>
        </w:rPr>
        <w:t xml:space="preserve">The Pension Fund Sub-Committee has instructed its managers to </w:t>
      </w:r>
      <w:r w:rsidRPr="00D15E4A">
        <w:rPr>
          <w:rFonts w:ascii="Arial" w:hAnsi="Arial" w:cs="Arial"/>
          <w:sz w:val="24"/>
          <w:szCs w:val="24"/>
        </w:rPr>
        <w:t xml:space="preserve">exercise the Fund’s responsibility to vote on </w:t>
      </w:r>
      <w:r>
        <w:rPr>
          <w:rFonts w:ascii="Arial" w:hAnsi="Arial" w:cs="Arial"/>
          <w:sz w:val="24"/>
          <w:szCs w:val="24"/>
        </w:rPr>
        <w:t>corporate governance issues</w:t>
      </w:r>
      <w:r w:rsidRPr="00D15E4A">
        <w:rPr>
          <w:rFonts w:ascii="Arial" w:hAnsi="Arial" w:cs="Arial"/>
          <w:sz w:val="24"/>
          <w:szCs w:val="24"/>
        </w:rPr>
        <w:t xml:space="preserve"> wherever possible.</w:t>
      </w:r>
      <w:r>
        <w:rPr>
          <w:rFonts w:ascii="Arial" w:hAnsi="Arial" w:cs="Arial"/>
          <w:sz w:val="24"/>
          <w:szCs w:val="24"/>
        </w:rPr>
        <w:t xml:space="preserve"> </w:t>
      </w:r>
      <w:r w:rsidRPr="00D15E4A">
        <w:rPr>
          <w:rFonts w:ascii="Arial" w:hAnsi="Arial" w:cs="Arial"/>
          <w:sz w:val="24"/>
          <w:szCs w:val="24"/>
        </w:rPr>
        <w:t>They have also been instructed to intervene in companies that are failing and thus jeopardising the Fund’s interests, by voting or by contacting company management direct.</w:t>
      </w:r>
    </w:p>
    <w:p w:rsidR="00083143" w:rsidRDefault="00083143">
      <w:pPr>
        <w:rPr>
          <w:rFonts w:ascii="Arial" w:hAnsi="Arial" w:cs="Arial"/>
          <w:sz w:val="24"/>
          <w:szCs w:val="24"/>
        </w:rPr>
      </w:pPr>
      <w:r>
        <w:rPr>
          <w:rFonts w:ascii="Arial" w:hAnsi="Arial" w:cs="Arial"/>
          <w:sz w:val="24"/>
          <w:szCs w:val="24"/>
        </w:rPr>
        <w:br w:type="page"/>
      </w:r>
    </w:p>
    <w:p w:rsidR="003A5EF3" w:rsidRDefault="003A5EF3" w:rsidP="00712089">
      <w:pPr>
        <w:rPr>
          <w:rFonts w:ascii="Arial" w:hAnsi="Arial" w:cs="Arial"/>
          <w:sz w:val="24"/>
          <w:szCs w:val="24"/>
        </w:rPr>
      </w:pPr>
      <w:r>
        <w:rPr>
          <w:rFonts w:ascii="Arial" w:hAnsi="Arial" w:cs="Arial"/>
          <w:sz w:val="24"/>
          <w:szCs w:val="24"/>
        </w:rPr>
        <w:lastRenderedPageBreak/>
        <w:t>All managers adopt the Council of Insititutional Shareholders’ Committee Statement of Principles on ‘The Responsibilities of Institutional Shareholders and Agents’. M</w:t>
      </w:r>
      <w:r w:rsidRPr="00AD31B5">
        <w:rPr>
          <w:rFonts w:ascii="Arial" w:hAnsi="Arial" w:cs="Arial"/>
          <w:sz w:val="24"/>
          <w:szCs w:val="24"/>
        </w:rPr>
        <w:t>anager</w:t>
      </w:r>
      <w:r>
        <w:rPr>
          <w:rFonts w:ascii="Arial" w:hAnsi="Arial" w:cs="Arial"/>
          <w:sz w:val="24"/>
          <w:szCs w:val="24"/>
        </w:rPr>
        <w:t>s do</w:t>
      </w:r>
      <w:r w:rsidRPr="00AD31B5">
        <w:rPr>
          <w:rFonts w:ascii="Arial" w:hAnsi="Arial" w:cs="Arial"/>
          <w:sz w:val="24"/>
          <w:szCs w:val="24"/>
        </w:rPr>
        <w:t xml:space="preserve"> not make moral j</w:t>
      </w:r>
      <w:r>
        <w:rPr>
          <w:rFonts w:ascii="Arial" w:hAnsi="Arial" w:cs="Arial"/>
          <w:sz w:val="24"/>
          <w:szCs w:val="24"/>
        </w:rPr>
        <w:t>udgements on individual stocks.</w:t>
      </w:r>
    </w:p>
    <w:p w:rsidR="003A5EF3" w:rsidRPr="00E63507" w:rsidRDefault="003A5EF3" w:rsidP="00712089">
      <w:pPr>
        <w:tabs>
          <w:tab w:val="left" w:pos="-1440"/>
        </w:tabs>
        <w:ind w:left="720" w:hanging="720"/>
        <w:rPr>
          <w:rFonts w:ascii="Arial" w:hAnsi="Arial" w:cs="Arial"/>
          <w:sz w:val="24"/>
          <w:szCs w:val="24"/>
        </w:rPr>
      </w:pPr>
    </w:p>
    <w:p w:rsidR="003A5EF3" w:rsidRPr="00E63507" w:rsidRDefault="003A5EF3" w:rsidP="00712089">
      <w:pPr>
        <w:tabs>
          <w:tab w:val="left" w:pos="-1440"/>
        </w:tabs>
        <w:rPr>
          <w:rFonts w:ascii="Arial" w:hAnsi="Arial" w:cs="Arial"/>
          <w:sz w:val="24"/>
          <w:szCs w:val="24"/>
        </w:rPr>
      </w:pPr>
      <w:r>
        <w:rPr>
          <w:rFonts w:ascii="Arial" w:hAnsi="Arial" w:cs="Arial"/>
          <w:sz w:val="24"/>
          <w:szCs w:val="24"/>
        </w:rPr>
        <w:t>The Brent</w:t>
      </w:r>
      <w:r w:rsidRPr="00E63507">
        <w:rPr>
          <w:rFonts w:ascii="Arial" w:hAnsi="Arial" w:cs="Arial"/>
          <w:sz w:val="24"/>
          <w:szCs w:val="24"/>
        </w:rPr>
        <w:t xml:space="preserve"> Pension Fund has an overriding fiduciary duty in law to invest Fund monies to achieve the best possible financial return for the Fund consistent with an acceptable level of risk. However, the Fund recognises that companies can enhance their long-term performance and increase their financial returns by adopting positive social, environmental and ethical principles in planning and running their activities. The Fund has delegated to the external investment managers responsibility for taking social, environmental and ethical considerations into account when assessing the financial potential and suitability of investments.</w:t>
      </w:r>
    </w:p>
    <w:p w:rsidR="003A5EF3" w:rsidRPr="00E63507" w:rsidRDefault="003A5EF3" w:rsidP="00712089">
      <w:pPr>
        <w:tabs>
          <w:tab w:val="left" w:pos="-1440"/>
        </w:tabs>
        <w:ind w:left="720" w:hanging="720"/>
        <w:rPr>
          <w:rFonts w:ascii="Arial" w:hAnsi="Arial" w:cs="Arial"/>
          <w:sz w:val="24"/>
          <w:szCs w:val="24"/>
        </w:rPr>
      </w:pPr>
    </w:p>
    <w:p w:rsidR="003A5EF3" w:rsidRPr="00E63507" w:rsidRDefault="003A5EF3" w:rsidP="00712089">
      <w:pPr>
        <w:tabs>
          <w:tab w:val="left" w:pos="-1440"/>
        </w:tabs>
        <w:rPr>
          <w:rFonts w:ascii="Arial" w:hAnsi="Arial" w:cs="Arial"/>
          <w:sz w:val="24"/>
          <w:szCs w:val="24"/>
        </w:rPr>
      </w:pPr>
      <w:r w:rsidRPr="00E63507">
        <w:rPr>
          <w:rFonts w:ascii="Arial" w:hAnsi="Arial" w:cs="Arial"/>
          <w:sz w:val="24"/>
          <w:szCs w:val="24"/>
        </w:rPr>
        <w:t>Each investment manager is asked to work positively with companies to promote forward-looking social, environmental and ethical standards. This should not, however, deflect from the primary objective of achieving the best possible financial return for the Fund, in accordance with the Fund’s fiduciary duty.</w:t>
      </w:r>
    </w:p>
    <w:p w:rsidR="003A5EF3" w:rsidRDefault="003A5EF3" w:rsidP="00712089">
      <w:pPr>
        <w:tabs>
          <w:tab w:val="left" w:pos="-1440"/>
        </w:tabs>
        <w:ind w:left="720" w:hanging="720"/>
        <w:rPr>
          <w:rFonts w:ascii="Arial" w:hAnsi="Arial" w:cs="Arial"/>
          <w:sz w:val="24"/>
          <w:szCs w:val="24"/>
        </w:rPr>
      </w:pPr>
    </w:p>
    <w:p w:rsidR="003A5EF3" w:rsidRDefault="003A5EF3" w:rsidP="00712089">
      <w:pPr>
        <w:tabs>
          <w:tab w:val="left" w:pos="-1440"/>
        </w:tabs>
        <w:rPr>
          <w:rFonts w:ascii="Arial" w:hAnsi="Arial" w:cs="Arial"/>
          <w:sz w:val="24"/>
          <w:szCs w:val="24"/>
        </w:rPr>
      </w:pPr>
      <w:r>
        <w:rPr>
          <w:rFonts w:ascii="Arial" w:hAnsi="Arial" w:cs="Arial"/>
          <w:sz w:val="24"/>
          <w:szCs w:val="24"/>
        </w:rPr>
        <w:t>In line with the above, fund managers are instructed not to invest segregated elements of their portfolio in companies that generate over half of their income from tobacco products, due to the risk that tobacco companies may face large liabilities from outstanding court actions.</w:t>
      </w:r>
    </w:p>
    <w:p w:rsidR="003A5EF3" w:rsidRDefault="003A5EF3" w:rsidP="00712089">
      <w:pPr>
        <w:tabs>
          <w:tab w:val="left" w:pos="-1440"/>
        </w:tabs>
        <w:rPr>
          <w:rFonts w:ascii="Arial" w:hAnsi="Arial" w:cs="Arial"/>
          <w:sz w:val="24"/>
          <w:szCs w:val="24"/>
        </w:rPr>
      </w:pPr>
    </w:p>
    <w:p w:rsidR="004D0062" w:rsidRDefault="004D0062" w:rsidP="00712089">
      <w:pPr>
        <w:tabs>
          <w:tab w:val="left" w:pos="-1440"/>
        </w:tabs>
        <w:rPr>
          <w:rFonts w:ascii="Arial" w:hAnsi="Arial" w:cs="Arial"/>
          <w:b/>
          <w:sz w:val="24"/>
          <w:szCs w:val="24"/>
        </w:rPr>
      </w:pPr>
    </w:p>
    <w:p w:rsidR="003A5EF3" w:rsidRPr="00B4747C" w:rsidRDefault="003A5EF3" w:rsidP="00712089">
      <w:pPr>
        <w:tabs>
          <w:tab w:val="left" w:pos="-1440"/>
        </w:tabs>
        <w:rPr>
          <w:rFonts w:ascii="Arial" w:hAnsi="Arial" w:cs="Arial"/>
          <w:b/>
          <w:sz w:val="24"/>
          <w:szCs w:val="24"/>
        </w:rPr>
      </w:pPr>
      <w:r>
        <w:rPr>
          <w:rFonts w:ascii="Arial" w:hAnsi="Arial" w:cs="Arial"/>
          <w:b/>
          <w:sz w:val="24"/>
          <w:szCs w:val="24"/>
        </w:rPr>
        <w:t>Transparency and reporting</w:t>
      </w:r>
    </w:p>
    <w:p w:rsidR="003A5EF3" w:rsidRDefault="003A5EF3" w:rsidP="00712089">
      <w:pPr>
        <w:tabs>
          <w:tab w:val="left" w:pos="-1440"/>
        </w:tabs>
        <w:rPr>
          <w:rFonts w:ascii="Arial" w:hAnsi="Arial" w:cs="Arial"/>
          <w:b/>
          <w:sz w:val="24"/>
          <w:szCs w:val="24"/>
        </w:rPr>
      </w:pPr>
    </w:p>
    <w:p w:rsidR="0068428A" w:rsidRDefault="0068428A" w:rsidP="00712089">
      <w:pPr>
        <w:ind w:left="720" w:hanging="720"/>
        <w:rPr>
          <w:rFonts w:ascii="Arial" w:hAnsi="Arial"/>
          <w:sz w:val="24"/>
        </w:rPr>
      </w:pPr>
      <w:r>
        <w:rPr>
          <w:rFonts w:ascii="Arial" w:hAnsi="Arial"/>
          <w:sz w:val="24"/>
        </w:rPr>
        <w:t>Administering authorities should:</w:t>
      </w:r>
    </w:p>
    <w:p w:rsidR="00F1532A" w:rsidRDefault="00F1532A" w:rsidP="00712089">
      <w:pPr>
        <w:ind w:left="720" w:hanging="720"/>
        <w:rPr>
          <w:rFonts w:ascii="Arial" w:hAnsi="Arial"/>
          <w:sz w:val="24"/>
        </w:rPr>
      </w:pPr>
    </w:p>
    <w:p w:rsidR="0068428A" w:rsidRPr="00F445EB" w:rsidRDefault="00F1532A" w:rsidP="00712089">
      <w:pPr>
        <w:rPr>
          <w:rFonts w:ascii="Arial" w:hAnsi="Arial"/>
          <w:i/>
          <w:sz w:val="24"/>
        </w:rPr>
      </w:pPr>
      <w:r w:rsidRPr="00F445EB">
        <w:rPr>
          <w:rFonts w:ascii="Arial" w:hAnsi="Arial"/>
          <w:i/>
          <w:sz w:val="24"/>
        </w:rPr>
        <w:t>A</w:t>
      </w:r>
      <w:r w:rsidR="0068428A" w:rsidRPr="00F445EB">
        <w:rPr>
          <w:rFonts w:ascii="Arial" w:hAnsi="Arial"/>
          <w:i/>
          <w:sz w:val="24"/>
        </w:rPr>
        <w:t>ct in a transparent manner, communicating with stakeholders on issues relating to their management of investment, its governance and risks, including performance against stated objectives;</w:t>
      </w:r>
      <w:r w:rsidRPr="00F445EB">
        <w:rPr>
          <w:rFonts w:ascii="Arial" w:hAnsi="Arial"/>
          <w:i/>
          <w:sz w:val="24"/>
        </w:rPr>
        <w:t xml:space="preserve"> and</w:t>
      </w:r>
    </w:p>
    <w:p w:rsidR="00F1532A" w:rsidRPr="00F445EB" w:rsidRDefault="00F1532A" w:rsidP="00712089">
      <w:pPr>
        <w:rPr>
          <w:rFonts w:ascii="Arial" w:hAnsi="Arial"/>
          <w:i/>
          <w:sz w:val="24"/>
        </w:rPr>
      </w:pPr>
    </w:p>
    <w:p w:rsidR="0068428A" w:rsidRPr="00F445EB" w:rsidRDefault="00F1532A" w:rsidP="00712089">
      <w:pPr>
        <w:tabs>
          <w:tab w:val="left" w:pos="-1440"/>
        </w:tabs>
        <w:rPr>
          <w:rFonts w:ascii="Arial" w:hAnsi="Arial" w:cs="Arial"/>
          <w:b/>
          <w:i/>
          <w:sz w:val="24"/>
          <w:szCs w:val="24"/>
        </w:rPr>
      </w:pPr>
      <w:r w:rsidRPr="00F445EB">
        <w:rPr>
          <w:rFonts w:ascii="Arial" w:hAnsi="Arial"/>
          <w:i/>
          <w:sz w:val="24"/>
        </w:rPr>
        <w:t>P</w:t>
      </w:r>
      <w:r w:rsidR="0068428A" w:rsidRPr="00F445EB">
        <w:rPr>
          <w:rFonts w:ascii="Arial" w:hAnsi="Arial"/>
          <w:i/>
          <w:sz w:val="24"/>
        </w:rPr>
        <w:t>rovide regular communication to scheme members in the form they consider most appropriate</w:t>
      </w:r>
      <w:r w:rsidRPr="00F445EB">
        <w:rPr>
          <w:rFonts w:ascii="Arial" w:hAnsi="Arial"/>
          <w:i/>
          <w:sz w:val="24"/>
        </w:rPr>
        <w:t>.</w:t>
      </w:r>
    </w:p>
    <w:p w:rsidR="0068428A" w:rsidRPr="0096349E" w:rsidRDefault="0068428A" w:rsidP="00712089">
      <w:pPr>
        <w:tabs>
          <w:tab w:val="left" w:pos="-1440"/>
        </w:tabs>
        <w:rPr>
          <w:rFonts w:ascii="Arial" w:hAnsi="Arial" w:cs="Arial"/>
          <w:sz w:val="24"/>
          <w:szCs w:val="24"/>
        </w:rPr>
      </w:pPr>
    </w:p>
    <w:p w:rsidR="0096349E" w:rsidRPr="0096349E" w:rsidRDefault="0096349E" w:rsidP="00712089">
      <w:pPr>
        <w:tabs>
          <w:tab w:val="left" w:pos="-1440"/>
        </w:tabs>
        <w:rPr>
          <w:rFonts w:ascii="Arial" w:hAnsi="Arial" w:cs="Arial"/>
          <w:sz w:val="24"/>
          <w:szCs w:val="24"/>
        </w:rPr>
      </w:pPr>
      <w:r w:rsidRPr="0096349E">
        <w:rPr>
          <w:rFonts w:ascii="Arial" w:hAnsi="Arial" w:cs="Arial"/>
          <w:sz w:val="24"/>
          <w:szCs w:val="24"/>
        </w:rPr>
        <w:t xml:space="preserve">The </w:t>
      </w:r>
      <w:r>
        <w:rPr>
          <w:rFonts w:ascii="Arial" w:hAnsi="Arial" w:cs="Arial"/>
          <w:sz w:val="24"/>
          <w:szCs w:val="24"/>
        </w:rPr>
        <w:t xml:space="preserve">decision-making structure for the Fund has been set out </w:t>
      </w:r>
      <w:r w:rsidR="00854C9A">
        <w:rPr>
          <w:rFonts w:ascii="Arial" w:hAnsi="Arial" w:cs="Arial"/>
          <w:sz w:val="24"/>
          <w:szCs w:val="24"/>
        </w:rPr>
        <w:t xml:space="preserve">earlier. The key decision-making </w:t>
      </w:r>
      <w:r w:rsidR="00262E76">
        <w:rPr>
          <w:rFonts w:ascii="Arial" w:hAnsi="Arial" w:cs="Arial"/>
          <w:sz w:val="24"/>
          <w:szCs w:val="24"/>
        </w:rPr>
        <w:t xml:space="preserve">forum is the Pension Fund Sub-Committee. The minutes of this Sub-Committee are available to the public through the Brent Council website at: </w:t>
      </w:r>
      <w:hyperlink r:id="rId10" w:history="1">
        <w:r w:rsidR="00262E76" w:rsidRPr="00F54A83">
          <w:rPr>
            <w:rStyle w:val="Hyperlink"/>
            <w:rFonts w:ascii="Arial" w:hAnsi="Arial" w:cs="Arial"/>
            <w:sz w:val="24"/>
            <w:szCs w:val="24"/>
          </w:rPr>
          <w:t>www.brent.gov.uk</w:t>
        </w:r>
      </w:hyperlink>
      <w:r w:rsidR="00262E76">
        <w:rPr>
          <w:rFonts w:ascii="Arial" w:hAnsi="Arial" w:cs="Arial"/>
          <w:sz w:val="24"/>
          <w:szCs w:val="24"/>
        </w:rPr>
        <w:t>.</w:t>
      </w:r>
    </w:p>
    <w:p w:rsidR="0096349E" w:rsidRPr="009E7929" w:rsidRDefault="0096349E" w:rsidP="00712089">
      <w:pPr>
        <w:tabs>
          <w:tab w:val="left" w:pos="-1440"/>
        </w:tabs>
        <w:rPr>
          <w:rFonts w:ascii="Arial" w:hAnsi="Arial" w:cs="Arial"/>
          <w:sz w:val="24"/>
          <w:szCs w:val="24"/>
        </w:rPr>
      </w:pPr>
    </w:p>
    <w:p w:rsidR="00364883" w:rsidRPr="009E7929" w:rsidRDefault="009E7929" w:rsidP="00712089">
      <w:pPr>
        <w:tabs>
          <w:tab w:val="left" w:pos="-1440"/>
        </w:tabs>
        <w:rPr>
          <w:rFonts w:ascii="Arial" w:hAnsi="Arial" w:cs="Arial"/>
          <w:sz w:val="24"/>
          <w:szCs w:val="24"/>
        </w:rPr>
      </w:pPr>
      <w:r w:rsidRPr="009E7929">
        <w:rPr>
          <w:rFonts w:ascii="Arial" w:hAnsi="Arial" w:cs="Arial"/>
          <w:sz w:val="24"/>
          <w:szCs w:val="24"/>
        </w:rPr>
        <w:t>The</w:t>
      </w:r>
      <w:r>
        <w:rPr>
          <w:rFonts w:ascii="Arial" w:hAnsi="Arial" w:cs="Arial"/>
          <w:sz w:val="24"/>
          <w:szCs w:val="24"/>
        </w:rPr>
        <w:t xml:space="preserve"> Fund’s SIP and other documents relating to investment decision-making and performance will be made available to stakeholders on request.</w:t>
      </w:r>
    </w:p>
    <w:p w:rsidR="008E2214" w:rsidRDefault="008E2214">
      <w:pPr>
        <w:rPr>
          <w:rFonts w:ascii="Arial" w:hAnsi="Arial" w:cs="Arial"/>
          <w:sz w:val="24"/>
          <w:szCs w:val="24"/>
        </w:rPr>
      </w:pPr>
      <w:r>
        <w:rPr>
          <w:rFonts w:ascii="Arial" w:hAnsi="Arial" w:cs="Arial"/>
          <w:sz w:val="24"/>
          <w:szCs w:val="24"/>
        </w:rPr>
        <w:br w:type="page"/>
      </w:r>
    </w:p>
    <w:p w:rsidR="00364883" w:rsidRDefault="00DC4A2F" w:rsidP="00712089">
      <w:pPr>
        <w:tabs>
          <w:tab w:val="left" w:pos="-1440"/>
        </w:tabs>
        <w:rPr>
          <w:rFonts w:ascii="Arial" w:hAnsi="Arial" w:cs="Arial"/>
          <w:sz w:val="24"/>
          <w:szCs w:val="24"/>
        </w:rPr>
      </w:pPr>
      <w:r>
        <w:rPr>
          <w:rFonts w:ascii="Arial" w:hAnsi="Arial" w:cs="Arial"/>
          <w:sz w:val="24"/>
          <w:szCs w:val="24"/>
        </w:rPr>
        <w:lastRenderedPageBreak/>
        <w:t>In accordance with LGPS (Administration) Regulations 2008, the Brent Pension Fund has published a Communications Policy Statement which describes the Fund’s policy on:</w:t>
      </w:r>
    </w:p>
    <w:p w:rsidR="00DC4A2F" w:rsidRDefault="00DC4A2F" w:rsidP="00712089">
      <w:pPr>
        <w:tabs>
          <w:tab w:val="left" w:pos="-1440"/>
        </w:tabs>
        <w:rPr>
          <w:rFonts w:ascii="Arial" w:hAnsi="Arial" w:cs="Arial"/>
          <w:sz w:val="24"/>
          <w:szCs w:val="24"/>
        </w:rPr>
      </w:pPr>
    </w:p>
    <w:p w:rsidR="00FE6735" w:rsidRDefault="00571063" w:rsidP="00712089">
      <w:pPr>
        <w:pStyle w:val="ListParagraph"/>
        <w:numPr>
          <w:ilvl w:val="0"/>
          <w:numId w:val="7"/>
        </w:numPr>
        <w:rPr>
          <w:rFonts w:ascii="Arial" w:hAnsi="Arial" w:cs="Arial"/>
          <w:sz w:val="24"/>
          <w:szCs w:val="24"/>
        </w:rPr>
      </w:pPr>
      <w:r>
        <w:rPr>
          <w:rFonts w:ascii="Arial" w:hAnsi="Arial" w:cs="Arial"/>
          <w:sz w:val="24"/>
          <w:szCs w:val="24"/>
        </w:rPr>
        <w:t>p</w:t>
      </w:r>
      <w:r w:rsidR="00FE6735">
        <w:rPr>
          <w:rFonts w:ascii="Arial" w:hAnsi="Arial" w:cs="Arial"/>
          <w:sz w:val="24"/>
          <w:szCs w:val="24"/>
        </w:rPr>
        <w:t>roviding information to members, employers and representatives</w:t>
      </w:r>
    </w:p>
    <w:p w:rsidR="00FE6735" w:rsidRPr="00E620F3" w:rsidRDefault="00FE6735" w:rsidP="00712089">
      <w:pPr>
        <w:rPr>
          <w:rFonts w:ascii="Arial" w:hAnsi="Arial" w:cs="Arial"/>
          <w:sz w:val="24"/>
          <w:szCs w:val="24"/>
        </w:rPr>
      </w:pPr>
    </w:p>
    <w:p w:rsidR="00FE6735" w:rsidRDefault="00571063" w:rsidP="00712089">
      <w:pPr>
        <w:pStyle w:val="ListParagraph"/>
        <w:numPr>
          <w:ilvl w:val="0"/>
          <w:numId w:val="7"/>
        </w:numPr>
        <w:rPr>
          <w:rFonts w:ascii="Arial" w:hAnsi="Arial" w:cs="Arial"/>
          <w:sz w:val="24"/>
          <w:szCs w:val="24"/>
        </w:rPr>
      </w:pPr>
      <w:r>
        <w:rPr>
          <w:rFonts w:ascii="Arial" w:hAnsi="Arial" w:cs="Arial"/>
          <w:sz w:val="24"/>
          <w:szCs w:val="24"/>
        </w:rPr>
        <w:t>the format, frequency and method of distributing such information</w:t>
      </w:r>
    </w:p>
    <w:p w:rsidR="00FE6735" w:rsidRPr="00E620F3" w:rsidRDefault="00FE6735" w:rsidP="00712089">
      <w:pPr>
        <w:pStyle w:val="ListParagraph"/>
        <w:rPr>
          <w:rFonts w:ascii="Arial" w:hAnsi="Arial" w:cs="Arial"/>
          <w:sz w:val="24"/>
          <w:szCs w:val="24"/>
        </w:rPr>
      </w:pPr>
    </w:p>
    <w:p w:rsidR="00FE6735" w:rsidRPr="00E620F3" w:rsidRDefault="00571063" w:rsidP="00712089">
      <w:pPr>
        <w:pStyle w:val="ListParagraph"/>
        <w:numPr>
          <w:ilvl w:val="0"/>
          <w:numId w:val="7"/>
        </w:numPr>
        <w:rPr>
          <w:rFonts w:ascii="Arial" w:hAnsi="Arial" w:cs="Arial"/>
          <w:sz w:val="24"/>
          <w:szCs w:val="24"/>
        </w:rPr>
      </w:pPr>
      <w:r>
        <w:rPr>
          <w:rFonts w:ascii="Arial" w:hAnsi="Arial" w:cs="Arial"/>
          <w:sz w:val="24"/>
          <w:szCs w:val="24"/>
        </w:rPr>
        <w:t>the promotion of the Fund to prospective members and their employing bodies</w:t>
      </w:r>
      <w:r w:rsidR="00FE6735">
        <w:rPr>
          <w:rFonts w:ascii="Arial" w:hAnsi="Arial" w:cs="Arial"/>
          <w:sz w:val="24"/>
          <w:szCs w:val="24"/>
        </w:rPr>
        <w:t>.</w:t>
      </w:r>
    </w:p>
    <w:p w:rsidR="00FE6735" w:rsidRDefault="00FE6735" w:rsidP="00712089">
      <w:pPr>
        <w:rPr>
          <w:rFonts w:ascii="Arial" w:hAnsi="Arial" w:cs="Arial"/>
          <w:sz w:val="24"/>
          <w:szCs w:val="24"/>
        </w:rPr>
      </w:pPr>
    </w:p>
    <w:p w:rsidR="00FE6735" w:rsidRDefault="0005104E" w:rsidP="00712089">
      <w:pPr>
        <w:tabs>
          <w:tab w:val="left" w:pos="-1440"/>
        </w:tabs>
        <w:rPr>
          <w:rFonts w:ascii="Arial" w:hAnsi="Arial" w:cs="Arial"/>
          <w:sz w:val="24"/>
          <w:szCs w:val="24"/>
        </w:rPr>
      </w:pPr>
      <w:r>
        <w:rPr>
          <w:rFonts w:ascii="Arial" w:hAnsi="Arial" w:cs="Arial"/>
          <w:sz w:val="24"/>
          <w:szCs w:val="24"/>
        </w:rPr>
        <w:t>The Fund will continue to develop its website, which it considers to be its primary communications channel.</w:t>
      </w:r>
    </w:p>
    <w:p w:rsidR="00880956" w:rsidRDefault="00880956">
      <w:pPr>
        <w:rPr>
          <w:rFonts w:ascii="Arial" w:hAnsi="Arial" w:cs="Arial"/>
          <w:sz w:val="24"/>
          <w:szCs w:val="24"/>
        </w:rPr>
      </w:pPr>
      <w:r>
        <w:rPr>
          <w:rFonts w:ascii="Arial" w:hAnsi="Arial" w:cs="Arial"/>
          <w:sz w:val="24"/>
          <w:szCs w:val="24"/>
        </w:rPr>
        <w:br w:type="page"/>
      </w:r>
    </w:p>
    <w:p w:rsidR="00B6756B" w:rsidRPr="00734D7A" w:rsidRDefault="00880956" w:rsidP="0088644B">
      <w:pPr>
        <w:tabs>
          <w:tab w:val="left" w:pos="-1440"/>
        </w:tabs>
        <w:jc w:val="both"/>
        <w:rPr>
          <w:rFonts w:ascii="Arial" w:hAnsi="Arial" w:cs="Arial"/>
          <w:b/>
          <w:sz w:val="28"/>
          <w:szCs w:val="28"/>
        </w:rPr>
      </w:pPr>
      <w:r w:rsidRPr="00734D7A">
        <w:rPr>
          <w:rFonts w:ascii="Arial" w:hAnsi="Arial" w:cs="Arial"/>
          <w:b/>
          <w:sz w:val="28"/>
          <w:szCs w:val="28"/>
        </w:rPr>
        <w:lastRenderedPageBreak/>
        <w:t>Glossary</w:t>
      </w:r>
    </w:p>
    <w:p w:rsidR="00880956" w:rsidRDefault="00880956" w:rsidP="0088644B">
      <w:pPr>
        <w:tabs>
          <w:tab w:val="left" w:pos="-1440"/>
        </w:tabs>
        <w:jc w:val="both"/>
        <w:rPr>
          <w:rFonts w:ascii="Arial" w:hAnsi="Arial" w:cs="Arial"/>
          <w:b/>
          <w:sz w:val="24"/>
          <w:szCs w:val="24"/>
        </w:rPr>
      </w:pPr>
    </w:p>
    <w:p w:rsidR="00CC1F0E" w:rsidRDefault="00CC1F0E" w:rsidP="0088644B">
      <w:pPr>
        <w:tabs>
          <w:tab w:val="left" w:pos="-1440"/>
        </w:tabs>
        <w:jc w:val="both"/>
        <w:rPr>
          <w:rFonts w:ascii="Arial" w:hAnsi="Arial" w:cs="Arial"/>
          <w:b/>
          <w:sz w:val="24"/>
          <w:szCs w:val="24"/>
        </w:rPr>
      </w:pPr>
    </w:p>
    <w:p w:rsidR="00880956" w:rsidRPr="003E0646" w:rsidRDefault="00CC1F0E" w:rsidP="00FC3302">
      <w:pPr>
        <w:tabs>
          <w:tab w:val="left" w:pos="-1440"/>
        </w:tabs>
        <w:rPr>
          <w:rFonts w:ascii="Arial" w:hAnsi="Arial" w:cs="Arial"/>
          <w:b/>
          <w:sz w:val="24"/>
          <w:szCs w:val="24"/>
        </w:rPr>
      </w:pPr>
      <w:r w:rsidRPr="003E0646">
        <w:rPr>
          <w:rFonts w:ascii="Arial" w:hAnsi="Arial" w:cs="Arial"/>
          <w:b/>
          <w:sz w:val="24"/>
          <w:szCs w:val="24"/>
        </w:rPr>
        <w:t>Active Management</w:t>
      </w:r>
    </w:p>
    <w:p w:rsidR="00CC1F0E" w:rsidRDefault="00CC1F0E" w:rsidP="00FC3302">
      <w:pPr>
        <w:tabs>
          <w:tab w:val="left" w:pos="-1440"/>
        </w:tabs>
        <w:rPr>
          <w:rFonts w:ascii="Arial" w:hAnsi="Arial" w:cs="Arial"/>
          <w:sz w:val="24"/>
          <w:szCs w:val="24"/>
        </w:rPr>
      </w:pPr>
      <w:r>
        <w:rPr>
          <w:rFonts w:ascii="Arial" w:hAnsi="Arial" w:cs="Arial"/>
          <w:sz w:val="24"/>
          <w:szCs w:val="24"/>
        </w:rPr>
        <w:t>A style of investment management which seeks to provide outperformance of a relevant benchmark through either asset allocation, market timing or stock selection (or a combination of these). Directly contrasted with passive management that seeks to replicate the performance of a selected benchmark.</w:t>
      </w:r>
    </w:p>
    <w:p w:rsidR="003E0646" w:rsidRDefault="003E0646" w:rsidP="00FC3302">
      <w:pPr>
        <w:tabs>
          <w:tab w:val="left" w:pos="-1440"/>
        </w:tabs>
        <w:rPr>
          <w:rFonts w:ascii="Arial" w:hAnsi="Arial" w:cs="Arial"/>
          <w:sz w:val="24"/>
          <w:szCs w:val="24"/>
        </w:rPr>
      </w:pPr>
    </w:p>
    <w:p w:rsidR="003E0646" w:rsidRPr="003E0646" w:rsidRDefault="003E0646" w:rsidP="00FC3302">
      <w:pPr>
        <w:tabs>
          <w:tab w:val="left" w:pos="-1440"/>
        </w:tabs>
        <w:rPr>
          <w:rFonts w:ascii="Arial" w:hAnsi="Arial" w:cs="Arial"/>
          <w:b/>
          <w:sz w:val="24"/>
          <w:szCs w:val="24"/>
        </w:rPr>
      </w:pPr>
      <w:r w:rsidRPr="003E0646">
        <w:rPr>
          <w:rFonts w:ascii="Arial" w:hAnsi="Arial" w:cs="Arial"/>
          <w:b/>
          <w:sz w:val="24"/>
          <w:szCs w:val="24"/>
        </w:rPr>
        <w:t>Actuarial Valuation</w:t>
      </w:r>
    </w:p>
    <w:p w:rsidR="003E0646" w:rsidRDefault="00A34ADA" w:rsidP="00FC3302">
      <w:pPr>
        <w:tabs>
          <w:tab w:val="left" w:pos="-1440"/>
        </w:tabs>
        <w:rPr>
          <w:rFonts w:ascii="Arial" w:hAnsi="Arial" w:cs="Arial"/>
          <w:sz w:val="24"/>
          <w:szCs w:val="24"/>
        </w:rPr>
      </w:pPr>
      <w:r>
        <w:rPr>
          <w:rFonts w:ascii="Arial" w:hAnsi="Arial" w:cs="Arial"/>
          <w:sz w:val="24"/>
          <w:szCs w:val="24"/>
        </w:rPr>
        <w:t>A review of the Pension Fund by a qualified Actuary, which takes place every three years to ensure that employers’ contributions are sufficient to maintain the solvency of the Fund in the long term.</w:t>
      </w:r>
    </w:p>
    <w:p w:rsidR="00A34ADA" w:rsidRDefault="00A34ADA" w:rsidP="00FC3302">
      <w:pPr>
        <w:tabs>
          <w:tab w:val="left" w:pos="-1440"/>
        </w:tabs>
        <w:rPr>
          <w:rFonts w:ascii="Arial" w:hAnsi="Arial" w:cs="Arial"/>
          <w:sz w:val="24"/>
          <w:szCs w:val="24"/>
        </w:rPr>
      </w:pPr>
    </w:p>
    <w:p w:rsidR="00A34ADA" w:rsidRPr="00723A72" w:rsidRDefault="00A34ADA" w:rsidP="00FC3302">
      <w:pPr>
        <w:tabs>
          <w:tab w:val="left" w:pos="-1440"/>
        </w:tabs>
        <w:rPr>
          <w:rFonts w:ascii="Arial" w:hAnsi="Arial" w:cs="Arial"/>
          <w:b/>
          <w:sz w:val="24"/>
          <w:szCs w:val="24"/>
        </w:rPr>
      </w:pPr>
      <w:r w:rsidRPr="00723A72">
        <w:rPr>
          <w:rFonts w:ascii="Arial" w:hAnsi="Arial" w:cs="Arial"/>
          <w:b/>
          <w:sz w:val="24"/>
          <w:szCs w:val="24"/>
        </w:rPr>
        <w:t>Actuary</w:t>
      </w:r>
    </w:p>
    <w:p w:rsidR="00425AB0" w:rsidRDefault="00A34ADA" w:rsidP="00FC3302">
      <w:pPr>
        <w:tabs>
          <w:tab w:val="left" w:pos="-1440"/>
        </w:tabs>
        <w:rPr>
          <w:rFonts w:ascii="Arial" w:hAnsi="Arial" w:cs="Arial"/>
          <w:sz w:val="24"/>
          <w:szCs w:val="24"/>
        </w:rPr>
      </w:pPr>
      <w:r>
        <w:rPr>
          <w:rFonts w:ascii="Arial" w:hAnsi="Arial" w:cs="Arial"/>
          <w:sz w:val="24"/>
          <w:szCs w:val="24"/>
        </w:rPr>
        <w:t xml:space="preserve">An independent qualified consultant who </w:t>
      </w:r>
      <w:r w:rsidR="00D10F45">
        <w:rPr>
          <w:rFonts w:ascii="Arial" w:hAnsi="Arial" w:cs="Arial"/>
          <w:sz w:val="24"/>
          <w:szCs w:val="24"/>
        </w:rPr>
        <w:t xml:space="preserve">carries out the Actuarial Valuation </w:t>
      </w:r>
      <w:r w:rsidR="00425AB0">
        <w:rPr>
          <w:rFonts w:ascii="Arial" w:hAnsi="Arial" w:cs="Arial"/>
          <w:sz w:val="24"/>
          <w:szCs w:val="24"/>
        </w:rPr>
        <w:t>and advises on new investment strategies.</w:t>
      </w:r>
    </w:p>
    <w:p w:rsidR="00A34ADA" w:rsidRDefault="00A34ADA" w:rsidP="00FC3302">
      <w:pPr>
        <w:tabs>
          <w:tab w:val="left" w:pos="-1440"/>
        </w:tabs>
        <w:rPr>
          <w:rFonts w:ascii="Arial" w:hAnsi="Arial" w:cs="Arial"/>
          <w:sz w:val="24"/>
          <w:szCs w:val="24"/>
        </w:rPr>
      </w:pPr>
    </w:p>
    <w:p w:rsidR="00A34ADA" w:rsidRPr="00723A72" w:rsidRDefault="00A34ADA" w:rsidP="00FC3302">
      <w:pPr>
        <w:tabs>
          <w:tab w:val="left" w:pos="-1440"/>
        </w:tabs>
        <w:rPr>
          <w:rFonts w:ascii="Arial" w:hAnsi="Arial" w:cs="Arial"/>
          <w:b/>
          <w:sz w:val="24"/>
          <w:szCs w:val="24"/>
        </w:rPr>
      </w:pPr>
      <w:r w:rsidRPr="00723A72">
        <w:rPr>
          <w:rFonts w:ascii="Arial" w:hAnsi="Arial" w:cs="Arial"/>
          <w:b/>
          <w:sz w:val="24"/>
          <w:szCs w:val="24"/>
        </w:rPr>
        <w:t>Administering Authority</w:t>
      </w:r>
    </w:p>
    <w:p w:rsidR="00A34ADA" w:rsidRDefault="00A34ADA" w:rsidP="00FC3302">
      <w:pPr>
        <w:tabs>
          <w:tab w:val="left" w:pos="-1440"/>
        </w:tabs>
        <w:rPr>
          <w:rFonts w:ascii="Arial" w:hAnsi="Arial" w:cs="Arial"/>
          <w:sz w:val="24"/>
          <w:szCs w:val="24"/>
        </w:rPr>
      </w:pPr>
      <w:r>
        <w:rPr>
          <w:rFonts w:ascii="Arial" w:hAnsi="Arial" w:cs="Arial"/>
          <w:sz w:val="24"/>
          <w:szCs w:val="24"/>
        </w:rPr>
        <w:t xml:space="preserve">A local authority required to maintain a pension fund under LGPS regulations. Within the geographical boundary of </w:t>
      </w:r>
      <w:r w:rsidR="00723A72">
        <w:rPr>
          <w:rFonts w:ascii="Arial" w:hAnsi="Arial" w:cs="Arial"/>
          <w:sz w:val="24"/>
          <w:szCs w:val="24"/>
        </w:rPr>
        <w:t>the London Borough of Brent this is Brent Council.</w:t>
      </w:r>
    </w:p>
    <w:p w:rsidR="00723A72" w:rsidRDefault="00723A72" w:rsidP="00FC3302">
      <w:pPr>
        <w:tabs>
          <w:tab w:val="left" w:pos="-1440"/>
        </w:tabs>
        <w:rPr>
          <w:rFonts w:ascii="Arial" w:hAnsi="Arial" w:cs="Arial"/>
          <w:sz w:val="24"/>
          <w:szCs w:val="24"/>
        </w:rPr>
      </w:pPr>
    </w:p>
    <w:p w:rsidR="00723A72" w:rsidRPr="008375EE" w:rsidRDefault="00CA3138" w:rsidP="00FC3302">
      <w:pPr>
        <w:tabs>
          <w:tab w:val="left" w:pos="-1440"/>
        </w:tabs>
        <w:rPr>
          <w:rFonts w:ascii="Arial" w:hAnsi="Arial" w:cs="Arial"/>
          <w:b/>
          <w:sz w:val="24"/>
          <w:szCs w:val="24"/>
        </w:rPr>
      </w:pPr>
      <w:r w:rsidRPr="008375EE">
        <w:rPr>
          <w:rFonts w:ascii="Arial" w:hAnsi="Arial" w:cs="Arial"/>
          <w:b/>
          <w:sz w:val="24"/>
          <w:szCs w:val="24"/>
        </w:rPr>
        <w:t>Admitted Bodies</w:t>
      </w:r>
    </w:p>
    <w:p w:rsidR="00CA3138" w:rsidRDefault="00CA3138" w:rsidP="00FC3302">
      <w:pPr>
        <w:tabs>
          <w:tab w:val="left" w:pos="-1440"/>
        </w:tabs>
        <w:rPr>
          <w:rFonts w:ascii="Arial" w:hAnsi="Arial" w:cs="Arial"/>
          <w:sz w:val="24"/>
          <w:szCs w:val="24"/>
        </w:rPr>
      </w:pPr>
      <w:r>
        <w:rPr>
          <w:rFonts w:ascii="Arial" w:hAnsi="Arial" w:cs="Arial"/>
          <w:sz w:val="24"/>
          <w:szCs w:val="24"/>
        </w:rPr>
        <w:t>An organisation, which, under the Pension Scheme Regulations, is able to apply to the Administering Authority to join the Scheme (e.g., a contractor providing services to the Council or another scheduled body). Upon acceptance, an Admission Agreement is prepared admitting the organisation and allowing its employees to join.</w:t>
      </w:r>
    </w:p>
    <w:p w:rsidR="009E3A23" w:rsidRDefault="009E3A23" w:rsidP="00FC3302">
      <w:pPr>
        <w:tabs>
          <w:tab w:val="left" w:pos="-1440"/>
        </w:tabs>
        <w:rPr>
          <w:rFonts w:ascii="Arial" w:hAnsi="Arial" w:cs="Arial"/>
          <w:sz w:val="24"/>
          <w:szCs w:val="24"/>
        </w:rPr>
      </w:pPr>
    </w:p>
    <w:p w:rsidR="009E3A23" w:rsidRPr="008375EE" w:rsidRDefault="0055057D" w:rsidP="009E3A23">
      <w:pPr>
        <w:tabs>
          <w:tab w:val="left" w:pos="-1440"/>
        </w:tabs>
        <w:rPr>
          <w:rFonts w:ascii="Arial" w:hAnsi="Arial" w:cs="Arial"/>
          <w:b/>
          <w:sz w:val="24"/>
          <w:szCs w:val="24"/>
        </w:rPr>
      </w:pPr>
      <w:r>
        <w:rPr>
          <w:rFonts w:ascii="Arial" w:hAnsi="Arial" w:cs="Arial"/>
          <w:b/>
          <w:sz w:val="24"/>
          <w:szCs w:val="24"/>
        </w:rPr>
        <w:t>Alternative I</w:t>
      </w:r>
      <w:r w:rsidR="009E3A23">
        <w:rPr>
          <w:rFonts w:ascii="Arial" w:hAnsi="Arial" w:cs="Arial"/>
          <w:b/>
          <w:sz w:val="24"/>
          <w:szCs w:val="24"/>
        </w:rPr>
        <w:t>nvestments</w:t>
      </w:r>
    </w:p>
    <w:p w:rsidR="009E3A23" w:rsidRDefault="009E3A23" w:rsidP="009E3A23">
      <w:pPr>
        <w:tabs>
          <w:tab w:val="left" w:pos="-1440"/>
        </w:tabs>
        <w:rPr>
          <w:rFonts w:ascii="Arial" w:hAnsi="Arial" w:cs="Arial"/>
          <w:sz w:val="24"/>
          <w:szCs w:val="24"/>
        </w:rPr>
      </w:pPr>
      <w:r>
        <w:rPr>
          <w:rFonts w:ascii="Arial" w:hAnsi="Arial" w:cs="Arial"/>
          <w:sz w:val="24"/>
          <w:szCs w:val="24"/>
        </w:rPr>
        <w:t>Less traditional investments where risks can be greater but potential returns higher over the long term, for example investments in private equity partnerships, hedge funds, commodities, foreign currency and futures.</w:t>
      </w:r>
    </w:p>
    <w:p w:rsidR="00CA3138" w:rsidRDefault="00CA3138" w:rsidP="00FC3302">
      <w:pPr>
        <w:tabs>
          <w:tab w:val="left" w:pos="-1440"/>
        </w:tabs>
        <w:rPr>
          <w:rFonts w:ascii="Arial" w:hAnsi="Arial" w:cs="Arial"/>
          <w:sz w:val="24"/>
          <w:szCs w:val="24"/>
        </w:rPr>
      </w:pPr>
    </w:p>
    <w:p w:rsidR="00CA3138" w:rsidRPr="008375EE" w:rsidRDefault="008375EE" w:rsidP="00FC3302">
      <w:pPr>
        <w:tabs>
          <w:tab w:val="left" w:pos="-1440"/>
        </w:tabs>
        <w:rPr>
          <w:rFonts w:ascii="Arial" w:hAnsi="Arial" w:cs="Arial"/>
          <w:b/>
          <w:sz w:val="24"/>
          <w:szCs w:val="24"/>
        </w:rPr>
      </w:pPr>
      <w:r w:rsidRPr="008375EE">
        <w:rPr>
          <w:rFonts w:ascii="Arial" w:hAnsi="Arial" w:cs="Arial"/>
          <w:b/>
          <w:sz w:val="24"/>
          <w:szCs w:val="24"/>
        </w:rPr>
        <w:t>Asset Allocation / Asset Mix</w:t>
      </w:r>
    </w:p>
    <w:p w:rsidR="008375EE" w:rsidRDefault="008375EE" w:rsidP="00FC3302">
      <w:pPr>
        <w:tabs>
          <w:tab w:val="left" w:pos="-1440"/>
        </w:tabs>
        <w:rPr>
          <w:rFonts w:ascii="Arial" w:hAnsi="Arial" w:cs="Arial"/>
          <w:sz w:val="24"/>
          <w:szCs w:val="24"/>
        </w:rPr>
      </w:pPr>
      <w:r>
        <w:rPr>
          <w:rFonts w:ascii="Arial" w:hAnsi="Arial" w:cs="Arial"/>
          <w:sz w:val="24"/>
          <w:szCs w:val="24"/>
        </w:rPr>
        <w:t>The apportionment of the Fund’s assets between asset classes and/or markets. Asset allocation may be either strategic, i.e., long term, or Tactical, i.e., short term, aiming to take advantage of relative market movements.</w:t>
      </w:r>
    </w:p>
    <w:p w:rsidR="008375EE" w:rsidRDefault="008375EE" w:rsidP="00FC3302">
      <w:pPr>
        <w:tabs>
          <w:tab w:val="left" w:pos="-1440"/>
        </w:tabs>
        <w:rPr>
          <w:rFonts w:ascii="Arial" w:hAnsi="Arial" w:cs="Arial"/>
          <w:sz w:val="24"/>
          <w:szCs w:val="24"/>
        </w:rPr>
      </w:pPr>
    </w:p>
    <w:p w:rsidR="008375EE" w:rsidRPr="008375EE" w:rsidRDefault="008375EE" w:rsidP="00FC3302">
      <w:pPr>
        <w:tabs>
          <w:tab w:val="left" w:pos="-1440"/>
        </w:tabs>
        <w:rPr>
          <w:rFonts w:ascii="Arial" w:hAnsi="Arial" w:cs="Arial"/>
          <w:b/>
          <w:sz w:val="24"/>
          <w:szCs w:val="24"/>
        </w:rPr>
      </w:pPr>
      <w:r w:rsidRPr="008375EE">
        <w:rPr>
          <w:rFonts w:ascii="Arial" w:hAnsi="Arial" w:cs="Arial"/>
          <w:b/>
          <w:sz w:val="24"/>
          <w:szCs w:val="24"/>
        </w:rPr>
        <w:t>Auditor</w:t>
      </w:r>
    </w:p>
    <w:p w:rsidR="008375EE" w:rsidRDefault="008375EE" w:rsidP="00FC3302">
      <w:pPr>
        <w:tabs>
          <w:tab w:val="left" w:pos="-1440"/>
        </w:tabs>
        <w:rPr>
          <w:rFonts w:ascii="Arial" w:hAnsi="Arial" w:cs="Arial"/>
          <w:sz w:val="24"/>
          <w:szCs w:val="24"/>
        </w:rPr>
      </w:pPr>
      <w:r>
        <w:rPr>
          <w:rFonts w:ascii="Arial" w:hAnsi="Arial" w:cs="Arial"/>
          <w:sz w:val="24"/>
          <w:szCs w:val="24"/>
        </w:rPr>
        <w:t>An independent qualified accountant who is required to verify and agree the Pension Fund Accounts and issue an opinion on their accuracy.</w:t>
      </w:r>
    </w:p>
    <w:p w:rsidR="00B13BBE" w:rsidRDefault="00B13BBE">
      <w:pPr>
        <w:rPr>
          <w:rFonts w:ascii="Arial" w:hAnsi="Arial" w:cs="Arial"/>
          <w:sz w:val="24"/>
          <w:szCs w:val="24"/>
        </w:rPr>
      </w:pPr>
      <w:r>
        <w:rPr>
          <w:rFonts w:ascii="Arial" w:hAnsi="Arial" w:cs="Arial"/>
          <w:sz w:val="24"/>
          <w:szCs w:val="24"/>
        </w:rPr>
        <w:br w:type="page"/>
      </w:r>
    </w:p>
    <w:p w:rsidR="00CA532B" w:rsidRDefault="00CA532B"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lastRenderedPageBreak/>
        <w:t>AVCs</w:t>
      </w:r>
    </w:p>
    <w:p w:rsidR="00CA532B" w:rsidRPr="00CA532B" w:rsidRDefault="00CA532B" w:rsidP="00FC3302">
      <w:pPr>
        <w:autoSpaceDE w:val="0"/>
        <w:autoSpaceDN w:val="0"/>
        <w:adjustRightInd w:val="0"/>
        <w:rPr>
          <w:rFonts w:ascii="Arial" w:hAnsi="Arial" w:cs="Arial"/>
          <w:bCs/>
          <w:sz w:val="24"/>
          <w:szCs w:val="24"/>
          <w:lang w:eastAsia="en-GB"/>
        </w:rPr>
      </w:pPr>
      <w:r>
        <w:rPr>
          <w:rFonts w:ascii="Arial" w:hAnsi="Arial" w:cs="Arial"/>
          <w:bCs/>
          <w:sz w:val="24"/>
          <w:szCs w:val="24"/>
          <w:lang w:eastAsia="en-GB"/>
        </w:rPr>
        <w:t>Additional voluntary contributions – paid by a contributor who decides to supplement his or her pension by paying extra contributions to the scheme’s AVC providers (Clerical Medical and Equitable Life).</w:t>
      </w:r>
    </w:p>
    <w:p w:rsidR="00CA532B" w:rsidRDefault="00CA532B" w:rsidP="00FC3302">
      <w:pPr>
        <w:autoSpaceDE w:val="0"/>
        <w:autoSpaceDN w:val="0"/>
        <w:adjustRightInd w:val="0"/>
        <w:rPr>
          <w:rFonts w:ascii="Arial" w:hAnsi="Arial" w:cs="Arial"/>
          <w:b/>
          <w:bCs/>
          <w:sz w:val="24"/>
          <w:szCs w:val="24"/>
          <w:lang w:eastAsia="en-GB"/>
        </w:rPr>
      </w:pPr>
    </w:p>
    <w:p w:rsidR="00A95212" w:rsidRPr="00852B8E" w:rsidRDefault="00A95212" w:rsidP="00FC3302">
      <w:pPr>
        <w:autoSpaceDE w:val="0"/>
        <w:autoSpaceDN w:val="0"/>
        <w:adjustRightInd w:val="0"/>
        <w:rPr>
          <w:rFonts w:ascii="Arial" w:hAnsi="Arial" w:cs="Arial"/>
          <w:b/>
          <w:bCs/>
          <w:sz w:val="24"/>
          <w:szCs w:val="24"/>
          <w:lang w:eastAsia="en-GB"/>
        </w:rPr>
      </w:pPr>
      <w:r w:rsidRPr="00852B8E">
        <w:rPr>
          <w:rFonts w:ascii="Arial" w:hAnsi="Arial" w:cs="Arial"/>
          <w:b/>
          <w:bCs/>
          <w:sz w:val="24"/>
          <w:szCs w:val="24"/>
          <w:lang w:eastAsia="en-GB"/>
        </w:rPr>
        <w:t>Benchmark</w:t>
      </w:r>
    </w:p>
    <w:p w:rsidR="00A95212" w:rsidRDefault="00A95212" w:rsidP="00FC3302">
      <w:pPr>
        <w:autoSpaceDE w:val="0"/>
        <w:autoSpaceDN w:val="0"/>
        <w:adjustRightInd w:val="0"/>
        <w:rPr>
          <w:rFonts w:ascii="Arial" w:hAnsi="Arial" w:cs="Arial"/>
          <w:sz w:val="24"/>
          <w:szCs w:val="24"/>
          <w:lang w:eastAsia="en-GB"/>
        </w:rPr>
      </w:pPr>
      <w:r w:rsidRPr="00852B8E">
        <w:rPr>
          <w:rFonts w:ascii="Arial" w:hAnsi="Arial" w:cs="Arial"/>
          <w:sz w:val="24"/>
          <w:szCs w:val="24"/>
          <w:lang w:eastAsia="en-GB"/>
        </w:rPr>
        <w:t>A “notional” fund or model portfolio which is developed to provide a standard against</w:t>
      </w:r>
      <w:r w:rsidR="00852B8E">
        <w:rPr>
          <w:rFonts w:ascii="Arial" w:hAnsi="Arial" w:cs="Arial"/>
          <w:sz w:val="24"/>
          <w:szCs w:val="24"/>
          <w:lang w:eastAsia="en-GB"/>
        </w:rPr>
        <w:t xml:space="preserve"> </w:t>
      </w:r>
      <w:r w:rsidRPr="00852B8E">
        <w:rPr>
          <w:rFonts w:ascii="Arial" w:hAnsi="Arial" w:cs="Arial"/>
          <w:sz w:val="24"/>
          <w:szCs w:val="24"/>
          <w:lang w:eastAsia="en-GB"/>
        </w:rPr>
        <w:t>which a manager’s performance is measured</w:t>
      </w:r>
      <w:r w:rsidR="00852B8E">
        <w:rPr>
          <w:rFonts w:ascii="Arial" w:hAnsi="Arial" w:cs="Arial"/>
          <w:sz w:val="24"/>
          <w:szCs w:val="24"/>
          <w:lang w:eastAsia="en-GB"/>
        </w:rPr>
        <w:t>,</w:t>
      </w:r>
      <w:r w:rsidRPr="00852B8E">
        <w:rPr>
          <w:rFonts w:ascii="Arial" w:hAnsi="Arial" w:cs="Arial"/>
          <w:sz w:val="24"/>
          <w:szCs w:val="24"/>
          <w:lang w:eastAsia="en-GB"/>
        </w:rPr>
        <w:t xml:space="preserve"> e.g.</w:t>
      </w:r>
      <w:r w:rsidR="00852B8E">
        <w:rPr>
          <w:rFonts w:ascii="Arial" w:hAnsi="Arial" w:cs="Arial"/>
          <w:sz w:val="24"/>
          <w:szCs w:val="24"/>
          <w:lang w:eastAsia="en-GB"/>
        </w:rPr>
        <w:t>,</w:t>
      </w:r>
      <w:r w:rsidRPr="00852B8E">
        <w:rPr>
          <w:rFonts w:ascii="Arial" w:hAnsi="Arial" w:cs="Arial"/>
          <w:sz w:val="24"/>
          <w:szCs w:val="24"/>
          <w:lang w:eastAsia="en-GB"/>
        </w:rPr>
        <w:t xml:space="preserve"> for a global equity fund the benchmark</w:t>
      </w:r>
      <w:r w:rsidR="00852B8E">
        <w:rPr>
          <w:rFonts w:ascii="Arial" w:hAnsi="Arial" w:cs="Arial"/>
          <w:sz w:val="24"/>
          <w:szCs w:val="24"/>
          <w:lang w:eastAsia="en-GB"/>
        </w:rPr>
        <w:t xml:space="preserve"> </w:t>
      </w:r>
      <w:r w:rsidRPr="00852B8E">
        <w:rPr>
          <w:rFonts w:ascii="Arial" w:hAnsi="Arial" w:cs="Arial"/>
          <w:sz w:val="24"/>
          <w:szCs w:val="24"/>
          <w:lang w:eastAsia="en-GB"/>
        </w:rPr>
        <w:t xml:space="preserve">against which it will be measured could be made up </w:t>
      </w:r>
      <w:r w:rsidR="00147174">
        <w:rPr>
          <w:rFonts w:ascii="Arial" w:hAnsi="Arial" w:cs="Arial"/>
          <w:sz w:val="24"/>
          <w:szCs w:val="24"/>
          <w:lang w:eastAsia="en-GB"/>
        </w:rPr>
        <w:t>7</w:t>
      </w:r>
      <w:r w:rsidR="00CA76ED">
        <w:rPr>
          <w:rFonts w:ascii="Arial" w:hAnsi="Arial" w:cs="Arial"/>
          <w:sz w:val="24"/>
          <w:szCs w:val="24"/>
          <w:lang w:eastAsia="en-GB"/>
        </w:rPr>
        <w:t>0%/</w:t>
      </w:r>
      <w:r w:rsidR="00147174">
        <w:rPr>
          <w:rFonts w:ascii="Arial" w:hAnsi="Arial" w:cs="Arial"/>
          <w:sz w:val="24"/>
          <w:szCs w:val="24"/>
          <w:lang w:eastAsia="en-GB"/>
        </w:rPr>
        <w:t>3</w:t>
      </w:r>
      <w:r w:rsidR="00CA76ED">
        <w:rPr>
          <w:rFonts w:ascii="Arial" w:hAnsi="Arial" w:cs="Arial"/>
          <w:sz w:val="24"/>
          <w:szCs w:val="24"/>
          <w:lang w:eastAsia="en-GB"/>
        </w:rPr>
        <w:t>0% by overseas equities/</w:t>
      </w:r>
      <w:r w:rsidR="00147174">
        <w:rPr>
          <w:rFonts w:ascii="Arial" w:hAnsi="Arial" w:cs="Arial"/>
          <w:sz w:val="24"/>
          <w:szCs w:val="24"/>
          <w:lang w:eastAsia="en-GB"/>
        </w:rPr>
        <w:t>UK equities</w:t>
      </w:r>
      <w:r w:rsidR="00CA76ED">
        <w:rPr>
          <w:rFonts w:ascii="Arial" w:hAnsi="Arial" w:cs="Arial"/>
          <w:sz w:val="24"/>
          <w:szCs w:val="24"/>
          <w:lang w:eastAsia="en-GB"/>
        </w:rPr>
        <w:t>.</w:t>
      </w:r>
      <w:r w:rsidRPr="00852B8E">
        <w:rPr>
          <w:rFonts w:ascii="Arial" w:hAnsi="Arial" w:cs="Arial"/>
          <w:sz w:val="24"/>
          <w:szCs w:val="24"/>
          <w:lang w:eastAsia="en-GB"/>
        </w:rPr>
        <w:t xml:space="preserve"> A target return is generally expressed as some margin over the benchmark.</w:t>
      </w:r>
    </w:p>
    <w:p w:rsidR="00C7722F" w:rsidRPr="00852B8E" w:rsidRDefault="00C7722F" w:rsidP="00FC3302">
      <w:pPr>
        <w:autoSpaceDE w:val="0"/>
        <w:autoSpaceDN w:val="0"/>
        <w:adjustRightInd w:val="0"/>
        <w:rPr>
          <w:rFonts w:ascii="Arial" w:hAnsi="Arial" w:cs="Arial"/>
          <w:sz w:val="24"/>
          <w:szCs w:val="24"/>
          <w:lang w:eastAsia="en-GB"/>
        </w:rPr>
      </w:pPr>
    </w:p>
    <w:p w:rsidR="00A95212" w:rsidRPr="00852B8E" w:rsidRDefault="00A95212" w:rsidP="00FC3302">
      <w:pPr>
        <w:autoSpaceDE w:val="0"/>
        <w:autoSpaceDN w:val="0"/>
        <w:adjustRightInd w:val="0"/>
        <w:rPr>
          <w:rFonts w:ascii="Arial" w:hAnsi="Arial" w:cs="Arial"/>
          <w:b/>
          <w:bCs/>
          <w:sz w:val="24"/>
          <w:szCs w:val="24"/>
          <w:lang w:eastAsia="en-GB"/>
        </w:rPr>
      </w:pPr>
      <w:r w:rsidRPr="00852B8E">
        <w:rPr>
          <w:rFonts w:ascii="Arial" w:hAnsi="Arial" w:cs="Arial"/>
          <w:b/>
          <w:bCs/>
          <w:sz w:val="24"/>
          <w:szCs w:val="24"/>
          <w:lang w:eastAsia="en-GB"/>
        </w:rPr>
        <w:t>Bond</w:t>
      </w:r>
    </w:p>
    <w:p w:rsidR="00A95212" w:rsidRPr="00852B8E" w:rsidRDefault="00A95212" w:rsidP="00FC3302">
      <w:pPr>
        <w:autoSpaceDE w:val="0"/>
        <w:autoSpaceDN w:val="0"/>
        <w:adjustRightInd w:val="0"/>
        <w:rPr>
          <w:rFonts w:ascii="Arial" w:hAnsi="Arial" w:cs="Arial"/>
          <w:sz w:val="24"/>
          <w:szCs w:val="24"/>
        </w:rPr>
      </w:pPr>
      <w:r w:rsidRPr="00852B8E">
        <w:rPr>
          <w:rFonts w:ascii="Arial" w:hAnsi="Arial" w:cs="Arial"/>
          <w:sz w:val="24"/>
          <w:szCs w:val="24"/>
          <w:lang w:eastAsia="en-GB"/>
        </w:rPr>
        <w:t>A certificate of debt, paying a fixed rate of interest</w:t>
      </w:r>
      <w:r w:rsidR="00AE2478">
        <w:rPr>
          <w:rFonts w:ascii="Arial" w:hAnsi="Arial" w:cs="Arial"/>
          <w:sz w:val="24"/>
          <w:szCs w:val="24"/>
          <w:lang w:eastAsia="en-GB"/>
        </w:rPr>
        <w:t xml:space="preserve"> for a defined period of time</w:t>
      </w:r>
      <w:r w:rsidRPr="00852B8E">
        <w:rPr>
          <w:rFonts w:ascii="Arial" w:hAnsi="Arial" w:cs="Arial"/>
          <w:sz w:val="24"/>
          <w:szCs w:val="24"/>
          <w:lang w:eastAsia="en-GB"/>
        </w:rPr>
        <w:t>, issued by companies, governments or</w:t>
      </w:r>
      <w:r w:rsidR="007A71AA">
        <w:rPr>
          <w:rFonts w:ascii="Arial" w:hAnsi="Arial" w:cs="Arial"/>
          <w:sz w:val="24"/>
          <w:szCs w:val="24"/>
          <w:lang w:eastAsia="en-GB"/>
        </w:rPr>
        <w:t xml:space="preserve"> </w:t>
      </w:r>
      <w:r w:rsidRPr="00852B8E">
        <w:rPr>
          <w:rFonts w:ascii="Arial" w:hAnsi="Arial" w:cs="Arial"/>
          <w:sz w:val="24"/>
          <w:szCs w:val="24"/>
          <w:lang w:eastAsia="en-GB"/>
        </w:rPr>
        <w:t>government agencies.</w:t>
      </w:r>
    </w:p>
    <w:p w:rsidR="00A95212" w:rsidRDefault="00A95212" w:rsidP="00FC3302">
      <w:pPr>
        <w:tabs>
          <w:tab w:val="left" w:pos="-1440"/>
        </w:tabs>
        <w:rPr>
          <w:rFonts w:ascii="Arial" w:hAnsi="Arial" w:cs="Arial"/>
          <w:sz w:val="24"/>
          <w:szCs w:val="24"/>
        </w:rPr>
      </w:pPr>
    </w:p>
    <w:p w:rsidR="0055057D" w:rsidRPr="00852B8E" w:rsidRDefault="0055057D" w:rsidP="0055057D">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Bulk Transfer</w:t>
      </w:r>
    </w:p>
    <w:p w:rsidR="0055057D" w:rsidRDefault="0055057D" w:rsidP="0055057D">
      <w:pPr>
        <w:tabs>
          <w:tab w:val="left" w:pos="-1440"/>
        </w:tabs>
        <w:rPr>
          <w:rFonts w:ascii="Arial" w:hAnsi="Arial" w:cs="Arial"/>
          <w:sz w:val="24"/>
          <w:szCs w:val="24"/>
          <w:lang w:eastAsia="en-GB"/>
        </w:rPr>
      </w:pPr>
      <w:r w:rsidRPr="00852B8E">
        <w:rPr>
          <w:rFonts w:ascii="Arial" w:hAnsi="Arial" w:cs="Arial"/>
          <w:sz w:val="24"/>
          <w:szCs w:val="24"/>
          <w:lang w:eastAsia="en-GB"/>
        </w:rPr>
        <w:t>A</w:t>
      </w:r>
      <w:r>
        <w:rPr>
          <w:rFonts w:ascii="Arial" w:hAnsi="Arial" w:cs="Arial"/>
          <w:sz w:val="24"/>
          <w:szCs w:val="24"/>
          <w:lang w:eastAsia="en-GB"/>
        </w:rPr>
        <w:t xml:space="preserve"> transfer of a group of members agreed by and taking place between two pension schemes.</w:t>
      </w:r>
    </w:p>
    <w:p w:rsidR="00E434D2" w:rsidRDefault="00E434D2" w:rsidP="0055057D">
      <w:pPr>
        <w:tabs>
          <w:tab w:val="left" w:pos="-1440"/>
        </w:tabs>
        <w:rPr>
          <w:rFonts w:ascii="Arial" w:hAnsi="Arial" w:cs="Arial"/>
          <w:sz w:val="24"/>
          <w:szCs w:val="24"/>
          <w:lang w:eastAsia="en-GB"/>
        </w:rPr>
      </w:pPr>
    </w:p>
    <w:p w:rsidR="00E434D2" w:rsidRPr="00D20A42" w:rsidRDefault="00E434D2" w:rsidP="0055057D">
      <w:pPr>
        <w:tabs>
          <w:tab w:val="left" w:pos="-1440"/>
        </w:tabs>
        <w:rPr>
          <w:rFonts w:ascii="Arial" w:hAnsi="Arial" w:cs="Arial"/>
          <w:b/>
          <w:sz w:val="24"/>
          <w:szCs w:val="24"/>
          <w:lang w:eastAsia="en-GB"/>
        </w:rPr>
      </w:pPr>
      <w:r w:rsidRPr="00D20A42">
        <w:rPr>
          <w:rFonts w:ascii="Arial" w:hAnsi="Arial" w:cs="Arial"/>
          <w:b/>
          <w:sz w:val="24"/>
          <w:szCs w:val="24"/>
          <w:lang w:eastAsia="en-GB"/>
        </w:rPr>
        <w:t>Cessation Valuation</w:t>
      </w:r>
    </w:p>
    <w:p w:rsidR="00E434D2" w:rsidRDefault="00E434D2" w:rsidP="0055057D">
      <w:pPr>
        <w:tabs>
          <w:tab w:val="left" w:pos="-1440"/>
        </w:tabs>
        <w:rPr>
          <w:rFonts w:ascii="Arial" w:hAnsi="Arial" w:cs="Arial"/>
          <w:sz w:val="24"/>
          <w:szCs w:val="24"/>
          <w:lang w:eastAsia="en-GB"/>
        </w:rPr>
      </w:pPr>
      <w:r>
        <w:rPr>
          <w:rFonts w:ascii="Arial" w:hAnsi="Arial" w:cs="Arial"/>
          <w:sz w:val="24"/>
          <w:szCs w:val="24"/>
          <w:lang w:eastAsia="en-GB"/>
        </w:rPr>
        <w:t>A calculation carried out by the Actuary when an employer leaves the Fund, which may result in a final deficit payment becoming due</w:t>
      </w:r>
      <w:r w:rsidR="00D20A42">
        <w:rPr>
          <w:rFonts w:ascii="Arial" w:hAnsi="Arial" w:cs="Arial"/>
          <w:sz w:val="24"/>
          <w:szCs w:val="24"/>
          <w:lang w:eastAsia="en-GB"/>
        </w:rPr>
        <w:t xml:space="preserve"> to the Fund.</w:t>
      </w:r>
    </w:p>
    <w:p w:rsidR="00D20A42" w:rsidRDefault="00D20A42" w:rsidP="0055057D">
      <w:pPr>
        <w:tabs>
          <w:tab w:val="left" w:pos="-1440"/>
        </w:tabs>
        <w:rPr>
          <w:rFonts w:ascii="Arial" w:hAnsi="Arial" w:cs="Arial"/>
          <w:sz w:val="24"/>
          <w:szCs w:val="24"/>
          <w:lang w:eastAsia="en-GB"/>
        </w:rPr>
      </w:pPr>
    </w:p>
    <w:p w:rsidR="00D20A42" w:rsidRPr="00D20A42" w:rsidRDefault="00D20A42" w:rsidP="00D20A42">
      <w:pPr>
        <w:tabs>
          <w:tab w:val="left" w:pos="-1440"/>
        </w:tabs>
        <w:rPr>
          <w:rFonts w:ascii="Arial" w:hAnsi="Arial" w:cs="Arial"/>
          <w:b/>
          <w:sz w:val="24"/>
          <w:szCs w:val="24"/>
          <w:lang w:eastAsia="en-GB"/>
        </w:rPr>
      </w:pPr>
      <w:r>
        <w:rPr>
          <w:rFonts w:ascii="Arial" w:hAnsi="Arial" w:cs="Arial"/>
          <w:b/>
          <w:sz w:val="24"/>
          <w:szCs w:val="24"/>
          <w:lang w:eastAsia="en-GB"/>
        </w:rPr>
        <w:t>Commuta</w:t>
      </w:r>
      <w:r w:rsidRPr="00D20A42">
        <w:rPr>
          <w:rFonts w:ascii="Arial" w:hAnsi="Arial" w:cs="Arial"/>
          <w:b/>
          <w:sz w:val="24"/>
          <w:szCs w:val="24"/>
          <w:lang w:eastAsia="en-GB"/>
        </w:rPr>
        <w:t>tion</w:t>
      </w:r>
    </w:p>
    <w:p w:rsidR="00D20A42" w:rsidRDefault="00D20A42" w:rsidP="00D20A42">
      <w:pPr>
        <w:tabs>
          <w:tab w:val="left" w:pos="-1440"/>
        </w:tabs>
        <w:rPr>
          <w:rFonts w:ascii="Arial" w:hAnsi="Arial" w:cs="Arial"/>
          <w:sz w:val="24"/>
          <w:szCs w:val="24"/>
          <w:lang w:eastAsia="en-GB"/>
        </w:rPr>
      </w:pPr>
      <w:r>
        <w:rPr>
          <w:rFonts w:ascii="Arial" w:hAnsi="Arial" w:cs="Arial"/>
          <w:sz w:val="24"/>
          <w:szCs w:val="24"/>
          <w:lang w:eastAsia="en-GB"/>
        </w:rPr>
        <w:t>The conversion of an annual pension entitlement into a lump sum on retirement.</w:t>
      </w:r>
    </w:p>
    <w:p w:rsidR="0087081B" w:rsidRDefault="0087081B" w:rsidP="00D20A42">
      <w:pPr>
        <w:tabs>
          <w:tab w:val="left" w:pos="-1440"/>
        </w:tabs>
        <w:rPr>
          <w:rFonts w:ascii="Arial" w:hAnsi="Arial" w:cs="Arial"/>
          <w:sz w:val="24"/>
          <w:szCs w:val="24"/>
          <w:lang w:eastAsia="en-GB"/>
        </w:rPr>
      </w:pPr>
    </w:p>
    <w:p w:rsidR="0087081B" w:rsidRPr="0087081B" w:rsidRDefault="0087081B" w:rsidP="00D20A42">
      <w:pPr>
        <w:tabs>
          <w:tab w:val="left" w:pos="-1440"/>
        </w:tabs>
        <w:rPr>
          <w:rFonts w:ascii="Arial" w:hAnsi="Arial" w:cs="Arial"/>
          <w:b/>
          <w:sz w:val="24"/>
          <w:szCs w:val="24"/>
          <w:lang w:eastAsia="en-GB"/>
        </w:rPr>
      </w:pPr>
      <w:r w:rsidRPr="0087081B">
        <w:rPr>
          <w:rFonts w:ascii="Arial" w:hAnsi="Arial" w:cs="Arial"/>
          <w:b/>
          <w:sz w:val="24"/>
          <w:szCs w:val="24"/>
          <w:lang w:eastAsia="en-GB"/>
        </w:rPr>
        <w:t>Co</w:t>
      </w:r>
      <w:r w:rsidR="00D2718A">
        <w:rPr>
          <w:rFonts w:ascii="Arial" w:hAnsi="Arial" w:cs="Arial"/>
          <w:b/>
          <w:sz w:val="24"/>
          <w:szCs w:val="24"/>
          <w:lang w:eastAsia="en-GB"/>
        </w:rPr>
        <w:t>ntingent L</w:t>
      </w:r>
      <w:r w:rsidRPr="0087081B">
        <w:rPr>
          <w:rFonts w:ascii="Arial" w:hAnsi="Arial" w:cs="Arial"/>
          <w:b/>
          <w:sz w:val="24"/>
          <w:szCs w:val="24"/>
          <w:lang w:eastAsia="en-GB"/>
        </w:rPr>
        <w:t>iability</w:t>
      </w:r>
    </w:p>
    <w:p w:rsidR="0087081B" w:rsidRDefault="0087081B" w:rsidP="00D20A42">
      <w:pPr>
        <w:tabs>
          <w:tab w:val="left" w:pos="-1440"/>
        </w:tabs>
        <w:rPr>
          <w:rFonts w:ascii="Arial" w:hAnsi="Arial" w:cs="Arial"/>
          <w:sz w:val="24"/>
          <w:szCs w:val="24"/>
        </w:rPr>
      </w:pPr>
      <w:r>
        <w:rPr>
          <w:rFonts w:ascii="Arial" w:hAnsi="Arial" w:cs="Arial"/>
          <w:sz w:val="24"/>
          <w:szCs w:val="24"/>
          <w:lang w:eastAsia="en-GB"/>
        </w:rPr>
        <w:t>A possible loss, subject to confirmation by an event after the Balance Sheet date, where the outcome is uncertain in terms of cost.</w:t>
      </w:r>
    </w:p>
    <w:p w:rsidR="00B27687" w:rsidRDefault="00B27687" w:rsidP="00FC3302">
      <w:pPr>
        <w:autoSpaceDE w:val="0"/>
        <w:autoSpaceDN w:val="0"/>
        <w:adjustRightInd w:val="0"/>
        <w:rPr>
          <w:rFonts w:ascii="Arial" w:hAnsi="Arial" w:cs="Arial"/>
          <w:b/>
          <w:bCs/>
          <w:sz w:val="24"/>
          <w:szCs w:val="24"/>
          <w:lang w:eastAsia="en-GB"/>
        </w:rPr>
      </w:pPr>
    </w:p>
    <w:p w:rsidR="00EF0214" w:rsidRDefault="00D2718A"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Deferred M</w:t>
      </w:r>
      <w:r w:rsidR="00EF0214">
        <w:rPr>
          <w:rFonts w:ascii="Arial" w:hAnsi="Arial" w:cs="Arial"/>
          <w:b/>
          <w:bCs/>
          <w:sz w:val="24"/>
          <w:szCs w:val="24"/>
          <w:lang w:eastAsia="en-GB"/>
        </w:rPr>
        <w:t>ember</w:t>
      </w:r>
    </w:p>
    <w:p w:rsidR="00EF0214" w:rsidRDefault="00EF0214" w:rsidP="00FC3302">
      <w:pPr>
        <w:autoSpaceDE w:val="0"/>
        <w:autoSpaceDN w:val="0"/>
        <w:adjustRightInd w:val="0"/>
        <w:rPr>
          <w:rFonts w:ascii="Arial" w:hAnsi="Arial" w:cs="Arial"/>
          <w:bCs/>
          <w:sz w:val="24"/>
          <w:szCs w:val="24"/>
          <w:lang w:eastAsia="en-GB"/>
        </w:rPr>
      </w:pPr>
      <w:r w:rsidRPr="00C04A00">
        <w:rPr>
          <w:rFonts w:ascii="Arial" w:hAnsi="Arial" w:cs="Arial"/>
          <w:bCs/>
          <w:sz w:val="24"/>
          <w:szCs w:val="24"/>
          <w:lang w:eastAsia="en-GB"/>
        </w:rPr>
        <w:t xml:space="preserve">A </w:t>
      </w:r>
      <w:r w:rsidR="00C04A00" w:rsidRPr="00C04A00">
        <w:rPr>
          <w:rFonts w:ascii="Arial" w:hAnsi="Arial" w:cs="Arial"/>
          <w:bCs/>
          <w:sz w:val="24"/>
          <w:szCs w:val="24"/>
          <w:lang w:eastAsia="en-GB"/>
        </w:rPr>
        <w:t xml:space="preserve">Pension Fund </w:t>
      </w:r>
      <w:r w:rsidR="00C04A00">
        <w:rPr>
          <w:rFonts w:ascii="Arial" w:hAnsi="Arial" w:cs="Arial"/>
          <w:bCs/>
          <w:sz w:val="24"/>
          <w:szCs w:val="24"/>
          <w:lang w:eastAsia="en-GB"/>
        </w:rPr>
        <w:t>member who no longer contributes to the Fund but has not yet retired.</w:t>
      </w:r>
    </w:p>
    <w:p w:rsidR="00ED6D74" w:rsidRDefault="00ED6D74" w:rsidP="00FC3302">
      <w:pPr>
        <w:autoSpaceDE w:val="0"/>
        <w:autoSpaceDN w:val="0"/>
        <w:adjustRightInd w:val="0"/>
        <w:rPr>
          <w:rFonts w:ascii="Arial" w:hAnsi="Arial" w:cs="Arial"/>
          <w:bCs/>
          <w:sz w:val="24"/>
          <w:szCs w:val="24"/>
          <w:lang w:eastAsia="en-GB"/>
        </w:rPr>
      </w:pPr>
    </w:p>
    <w:p w:rsidR="00ED6D74" w:rsidRDefault="00ED6D74" w:rsidP="00ED6D74">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Dividends</w:t>
      </w:r>
    </w:p>
    <w:p w:rsidR="00ED6D74" w:rsidRDefault="00D2718A" w:rsidP="00ED6D74">
      <w:pPr>
        <w:autoSpaceDE w:val="0"/>
        <w:autoSpaceDN w:val="0"/>
        <w:adjustRightInd w:val="0"/>
        <w:rPr>
          <w:rFonts w:ascii="Arial" w:hAnsi="Arial" w:cs="Arial"/>
          <w:bCs/>
          <w:sz w:val="24"/>
          <w:szCs w:val="24"/>
          <w:lang w:eastAsia="en-GB"/>
        </w:rPr>
      </w:pPr>
      <w:r>
        <w:rPr>
          <w:rFonts w:ascii="Arial" w:hAnsi="Arial" w:cs="Arial"/>
          <w:bCs/>
          <w:sz w:val="24"/>
          <w:szCs w:val="24"/>
          <w:lang w:eastAsia="en-GB"/>
        </w:rPr>
        <w:t>Income to the Fund on its holdings of UK and overseas shares.</w:t>
      </w:r>
    </w:p>
    <w:p w:rsidR="00D2718A" w:rsidRDefault="00D2718A" w:rsidP="00ED6D74">
      <w:pPr>
        <w:autoSpaceDE w:val="0"/>
        <w:autoSpaceDN w:val="0"/>
        <w:adjustRightInd w:val="0"/>
        <w:rPr>
          <w:rFonts w:ascii="Arial" w:hAnsi="Arial" w:cs="Arial"/>
          <w:bCs/>
          <w:sz w:val="24"/>
          <w:szCs w:val="24"/>
          <w:lang w:eastAsia="en-GB"/>
        </w:rPr>
      </w:pPr>
    </w:p>
    <w:p w:rsidR="00D2718A" w:rsidRDefault="00D2718A" w:rsidP="00D2718A">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Emerging Markets</w:t>
      </w:r>
    </w:p>
    <w:p w:rsidR="00D2718A" w:rsidRPr="00C04A00" w:rsidRDefault="00A435C0" w:rsidP="00D2718A">
      <w:pPr>
        <w:autoSpaceDE w:val="0"/>
        <w:autoSpaceDN w:val="0"/>
        <w:adjustRightInd w:val="0"/>
        <w:rPr>
          <w:rFonts w:ascii="Arial" w:hAnsi="Arial" w:cs="Arial"/>
          <w:bCs/>
          <w:sz w:val="24"/>
          <w:szCs w:val="24"/>
          <w:lang w:eastAsia="en-GB"/>
        </w:rPr>
      </w:pPr>
      <w:r>
        <w:rPr>
          <w:rFonts w:ascii="Arial" w:hAnsi="Arial" w:cs="Arial"/>
          <w:bCs/>
          <w:sz w:val="24"/>
          <w:szCs w:val="24"/>
          <w:lang w:eastAsia="en-GB"/>
        </w:rPr>
        <w:t>The financial markets of developing economies.</w:t>
      </w:r>
    </w:p>
    <w:p w:rsidR="00EF0214" w:rsidRDefault="00EF0214" w:rsidP="00FC3302">
      <w:pPr>
        <w:autoSpaceDE w:val="0"/>
        <w:autoSpaceDN w:val="0"/>
        <w:adjustRightInd w:val="0"/>
        <w:rPr>
          <w:rFonts w:ascii="Arial" w:hAnsi="Arial" w:cs="Arial"/>
          <w:b/>
          <w:bCs/>
          <w:sz w:val="24"/>
          <w:szCs w:val="24"/>
          <w:lang w:eastAsia="en-GB"/>
        </w:rPr>
      </w:pPr>
    </w:p>
    <w:p w:rsidR="00B2768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Equities</w:t>
      </w:r>
    </w:p>
    <w:p w:rsidR="002725D3" w:rsidRDefault="00A435C0" w:rsidP="00274982">
      <w:pPr>
        <w:autoSpaceDE w:val="0"/>
        <w:autoSpaceDN w:val="0"/>
        <w:adjustRightInd w:val="0"/>
        <w:rPr>
          <w:rFonts w:ascii="Arial" w:hAnsi="Arial" w:cs="Arial"/>
          <w:sz w:val="24"/>
          <w:szCs w:val="24"/>
          <w:lang w:eastAsia="en-GB"/>
        </w:rPr>
      </w:pPr>
      <w:r>
        <w:rPr>
          <w:rFonts w:ascii="Arial" w:hAnsi="Arial" w:cs="Arial"/>
          <w:sz w:val="24"/>
          <w:szCs w:val="24"/>
          <w:lang w:eastAsia="en-GB"/>
        </w:rPr>
        <w:t>S</w:t>
      </w:r>
      <w:r w:rsidR="009F5337">
        <w:rPr>
          <w:rFonts w:ascii="Arial" w:hAnsi="Arial" w:cs="Arial"/>
          <w:sz w:val="24"/>
          <w:szCs w:val="24"/>
          <w:lang w:eastAsia="en-GB"/>
        </w:rPr>
        <w:t>hares</w:t>
      </w:r>
      <w:r w:rsidR="002725D3" w:rsidRPr="00FF1E97">
        <w:rPr>
          <w:rFonts w:ascii="Arial" w:hAnsi="Arial" w:cs="Arial"/>
          <w:sz w:val="24"/>
          <w:szCs w:val="24"/>
          <w:lang w:eastAsia="en-GB"/>
        </w:rPr>
        <w:t xml:space="preserve"> in </w:t>
      </w:r>
      <w:r w:rsidR="009F5337">
        <w:rPr>
          <w:rFonts w:ascii="Arial" w:hAnsi="Arial" w:cs="Arial"/>
          <w:sz w:val="24"/>
          <w:szCs w:val="24"/>
          <w:lang w:eastAsia="en-GB"/>
        </w:rPr>
        <w:t xml:space="preserve">UK and overseas </w:t>
      </w:r>
      <w:r w:rsidR="002725D3" w:rsidRPr="00FF1E97">
        <w:rPr>
          <w:rFonts w:ascii="Arial" w:hAnsi="Arial" w:cs="Arial"/>
          <w:sz w:val="24"/>
          <w:szCs w:val="24"/>
          <w:lang w:eastAsia="en-GB"/>
        </w:rPr>
        <w:t>companies that ca</w:t>
      </w:r>
      <w:r w:rsidR="00A85AEB">
        <w:rPr>
          <w:rFonts w:ascii="Arial" w:hAnsi="Arial" w:cs="Arial"/>
          <w:sz w:val="24"/>
          <w:szCs w:val="24"/>
          <w:lang w:eastAsia="en-GB"/>
        </w:rPr>
        <w:t>n be traded on public markets.</w:t>
      </w:r>
    </w:p>
    <w:p w:rsidR="002C1E09" w:rsidRDefault="002C1E09">
      <w:pPr>
        <w:rPr>
          <w:rFonts w:ascii="Arial" w:hAnsi="Arial" w:cs="Arial"/>
          <w:b/>
          <w:bCs/>
          <w:sz w:val="24"/>
          <w:szCs w:val="24"/>
          <w:lang w:eastAsia="en-GB"/>
        </w:rPr>
      </w:pPr>
      <w:r>
        <w:rPr>
          <w:rFonts w:ascii="Arial" w:hAnsi="Arial" w:cs="Arial"/>
          <w:b/>
          <w:bCs/>
          <w:sz w:val="24"/>
          <w:szCs w:val="24"/>
          <w:lang w:eastAsia="en-GB"/>
        </w:rPr>
        <w:br w:type="page"/>
      </w: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lastRenderedPageBreak/>
        <w:t>Final Pay</w:t>
      </w:r>
    </w:p>
    <w:p w:rsidR="002725D3" w:rsidRDefault="002725D3"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This is the figure used to calculate most of a member’s pension benefits and is normally</w:t>
      </w:r>
      <w:r w:rsidR="005C4215">
        <w:rPr>
          <w:rFonts w:ascii="Arial" w:hAnsi="Arial" w:cs="Arial"/>
          <w:sz w:val="24"/>
          <w:szCs w:val="24"/>
          <w:lang w:eastAsia="en-GB"/>
        </w:rPr>
        <w:t xml:space="preserve"> </w:t>
      </w:r>
      <w:r w:rsidRPr="00FF1E97">
        <w:rPr>
          <w:rFonts w:ascii="Arial" w:hAnsi="Arial" w:cs="Arial"/>
          <w:sz w:val="24"/>
          <w:szCs w:val="24"/>
          <w:lang w:eastAsia="en-GB"/>
        </w:rPr>
        <w:t>their pay in the last year before they retire, or one of the previous two years’ pay if that</w:t>
      </w:r>
      <w:r w:rsidR="005C4215">
        <w:rPr>
          <w:rFonts w:ascii="Arial" w:hAnsi="Arial" w:cs="Arial"/>
          <w:sz w:val="24"/>
          <w:szCs w:val="24"/>
          <w:lang w:eastAsia="en-GB"/>
        </w:rPr>
        <w:t xml:space="preserve"> </w:t>
      </w:r>
      <w:r w:rsidRPr="00FF1E97">
        <w:rPr>
          <w:rFonts w:ascii="Arial" w:hAnsi="Arial" w:cs="Arial"/>
          <w:sz w:val="24"/>
          <w:szCs w:val="24"/>
          <w:lang w:eastAsia="en-GB"/>
        </w:rPr>
        <w:t>amount is higher. For a part</w:t>
      </w:r>
      <w:r w:rsidRPr="00FF1E97">
        <w:rPr>
          <w:rFonts w:ascii="Cambria Math" w:hAnsi="Cambria Math" w:cs="Cambria Math"/>
          <w:sz w:val="24"/>
          <w:szCs w:val="24"/>
          <w:lang w:eastAsia="en-GB"/>
        </w:rPr>
        <w:t>‐</w:t>
      </w:r>
      <w:r w:rsidRPr="00FF1E97">
        <w:rPr>
          <w:rFonts w:ascii="Arial" w:hAnsi="Arial" w:cs="Arial"/>
          <w:sz w:val="24"/>
          <w:szCs w:val="24"/>
          <w:lang w:eastAsia="en-GB"/>
        </w:rPr>
        <w:t>time employee, the figure used is normally the pay they would</w:t>
      </w:r>
      <w:r w:rsidR="005C4215">
        <w:rPr>
          <w:rFonts w:ascii="Arial" w:hAnsi="Arial" w:cs="Arial"/>
          <w:sz w:val="24"/>
          <w:szCs w:val="24"/>
          <w:lang w:eastAsia="en-GB"/>
        </w:rPr>
        <w:t xml:space="preserve"> </w:t>
      </w:r>
      <w:r w:rsidRPr="00FF1E97">
        <w:rPr>
          <w:rFonts w:ascii="Arial" w:hAnsi="Arial" w:cs="Arial"/>
          <w:sz w:val="24"/>
          <w:szCs w:val="24"/>
          <w:lang w:eastAsia="en-GB"/>
        </w:rPr>
        <w:t>have received had they worked whole time.</w:t>
      </w:r>
    </w:p>
    <w:p w:rsidR="005C4215" w:rsidRPr="00FF1E97" w:rsidRDefault="005C4215" w:rsidP="00FC3302">
      <w:pPr>
        <w:autoSpaceDE w:val="0"/>
        <w:autoSpaceDN w:val="0"/>
        <w:adjustRightInd w:val="0"/>
        <w:rPr>
          <w:rFonts w:ascii="Arial" w:hAnsi="Arial" w:cs="Arial"/>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Fixed Interest Securities</w:t>
      </w:r>
    </w:p>
    <w:p w:rsidR="002725D3" w:rsidRDefault="002725D3"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Investments in stocks mainly issued by governments, which guarantee a fixed rate of</w:t>
      </w:r>
      <w:r w:rsidR="005C4215">
        <w:rPr>
          <w:rFonts w:ascii="Arial" w:hAnsi="Arial" w:cs="Arial"/>
          <w:sz w:val="24"/>
          <w:szCs w:val="24"/>
          <w:lang w:eastAsia="en-GB"/>
        </w:rPr>
        <w:t xml:space="preserve"> </w:t>
      </w:r>
      <w:r w:rsidRPr="00FF1E97">
        <w:rPr>
          <w:rFonts w:ascii="Arial" w:hAnsi="Arial" w:cs="Arial"/>
          <w:sz w:val="24"/>
          <w:szCs w:val="24"/>
          <w:lang w:eastAsia="en-GB"/>
        </w:rPr>
        <w:t>interest.</w:t>
      </w:r>
    </w:p>
    <w:p w:rsidR="005C4215" w:rsidRPr="00FF1E97" w:rsidRDefault="005C4215" w:rsidP="00FC3302">
      <w:pPr>
        <w:autoSpaceDE w:val="0"/>
        <w:autoSpaceDN w:val="0"/>
        <w:adjustRightInd w:val="0"/>
        <w:rPr>
          <w:rFonts w:ascii="Arial" w:hAnsi="Arial" w:cs="Arial"/>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FTSE</w:t>
      </w:r>
    </w:p>
    <w:p w:rsidR="00A95212" w:rsidRPr="00FF1E97" w:rsidRDefault="002725D3"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company that specialises in index calculation. Although not part of a stock exchange, co</w:t>
      </w:r>
      <w:r w:rsidR="00CE5756">
        <w:rPr>
          <w:rFonts w:ascii="Arial" w:hAnsi="Arial" w:cs="Arial"/>
          <w:sz w:val="24"/>
          <w:szCs w:val="24"/>
          <w:lang w:eastAsia="en-GB"/>
        </w:rPr>
        <w:t>-</w:t>
      </w:r>
      <w:r w:rsidRPr="00FF1E97">
        <w:rPr>
          <w:rFonts w:ascii="Arial" w:hAnsi="Arial" w:cs="Arial"/>
          <w:sz w:val="24"/>
          <w:szCs w:val="24"/>
          <w:lang w:eastAsia="en-GB"/>
        </w:rPr>
        <w:t>owners</w:t>
      </w:r>
      <w:r w:rsidR="00CE5756">
        <w:rPr>
          <w:rFonts w:ascii="Arial" w:hAnsi="Arial" w:cs="Arial"/>
          <w:sz w:val="24"/>
          <w:szCs w:val="24"/>
          <w:lang w:eastAsia="en-GB"/>
        </w:rPr>
        <w:t xml:space="preserve"> </w:t>
      </w:r>
      <w:r w:rsidRPr="00FF1E97">
        <w:rPr>
          <w:rFonts w:ascii="Arial" w:hAnsi="Arial" w:cs="Arial"/>
          <w:sz w:val="24"/>
          <w:szCs w:val="24"/>
          <w:lang w:eastAsia="en-GB"/>
        </w:rPr>
        <w:t>include the London Stock Exchange and the Financial Times. They are best known</w:t>
      </w:r>
      <w:r w:rsidR="00CE5756">
        <w:rPr>
          <w:rFonts w:ascii="Arial" w:hAnsi="Arial" w:cs="Arial"/>
          <w:sz w:val="24"/>
          <w:szCs w:val="24"/>
          <w:lang w:eastAsia="en-GB"/>
        </w:rPr>
        <w:t xml:space="preserve"> </w:t>
      </w:r>
      <w:r w:rsidRPr="00FF1E97">
        <w:rPr>
          <w:rFonts w:ascii="Arial" w:hAnsi="Arial" w:cs="Arial"/>
          <w:sz w:val="24"/>
          <w:szCs w:val="24"/>
          <w:lang w:eastAsia="en-GB"/>
        </w:rPr>
        <w:t>for the FTSE 100, an index of the top 100 UK companies (ranked by size).</w:t>
      </w:r>
    </w:p>
    <w:p w:rsidR="002725D3" w:rsidRPr="00FF1E97" w:rsidRDefault="002725D3" w:rsidP="00FC3302">
      <w:pPr>
        <w:tabs>
          <w:tab w:val="left" w:pos="-1440"/>
        </w:tabs>
        <w:rPr>
          <w:rFonts w:ascii="Arial" w:hAnsi="Arial" w:cs="Arial"/>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Fund Manager</w:t>
      </w:r>
    </w:p>
    <w:p w:rsidR="002725D3" w:rsidRDefault="002725D3"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firm of profess</w:t>
      </w:r>
      <w:r w:rsidR="00CE5756">
        <w:rPr>
          <w:rFonts w:ascii="Arial" w:hAnsi="Arial" w:cs="Arial"/>
          <w:sz w:val="24"/>
          <w:szCs w:val="24"/>
          <w:lang w:eastAsia="en-GB"/>
        </w:rPr>
        <w:t>ionals appointed by the Pension Fund Sub-</w:t>
      </w:r>
      <w:r w:rsidRPr="00FF1E97">
        <w:rPr>
          <w:rFonts w:ascii="Arial" w:hAnsi="Arial" w:cs="Arial"/>
          <w:sz w:val="24"/>
          <w:szCs w:val="24"/>
          <w:lang w:eastAsia="en-GB"/>
        </w:rPr>
        <w:t>Committee to carry out day to day</w:t>
      </w:r>
      <w:r w:rsidR="00CE5756">
        <w:rPr>
          <w:rFonts w:ascii="Arial" w:hAnsi="Arial" w:cs="Arial"/>
          <w:sz w:val="24"/>
          <w:szCs w:val="24"/>
          <w:lang w:eastAsia="en-GB"/>
        </w:rPr>
        <w:t xml:space="preserve"> </w:t>
      </w:r>
      <w:r w:rsidRPr="00FF1E97">
        <w:rPr>
          <w:rFonts w:ascii="Arial" w:hAnsi="Arial" w:cs="Arial"/>
          <w:sz w:val="24"/>
          <w:szCs w:val="24"/>
          <w:lang w:eastAsia="en-GB"/>
        </w:rPr>
        <w:t>investment decisions for the Fund within the terms of their Investment Management</w:t>
      </w:r>
      <w:r w:rsidR="00CE5756">
        <w:rPr>
          <w:rFonts w:ascii="Arial" w:hAnsi="Arial" w:cs="Arial"/>
          <w:sz w:val="24"/>
          <w:szCs w:val="24"/>
          <w:lang w:eastAsia="en-GB"/>
        </w:rPr>
        <w:t xml:space="preserve"> </w:t>
      </w:r>
      <w:r w:rsidRPr="00FF1E97">
        <w:rPr>
          <w:rFonts w:ascii="Arial" w:hAnsi="Arial" w:cs="Arial"/>
          <w:sz w:val="24"/>
          <w:szCs w:val="24"/>
          <w:lang w:eastAsia="en-GB"/>
        </w:rPr>
        <w:t>Agreement.</w:t>
      </w:r>
    </w:p>
    <w:p w:rsidR="002C1E09" w:rsidRDefault="002C1E09" w:rsidP="00FC3302">
      <w:pPr>
        <w:autoSpaceDE w:val="0"/>
        <w:autoSpaceDN w:val="0"/>
        <w:adjustRightInd w:val="0"/>
        <w:rPr>
          <w:rFonts w:ascii="Arial" w:hAnsi="Arial" w:cs="Arial"/>
          <w:sz w:val="24"/>
          <w:szCs w:val="24"/>
          <w:lang w:eastAsia="en-GB"/>
        </w:rPr>
      </w:pPr>
    </w:p>
    <w:p w:rsidR="002C1E09" w:rsidRPr="000C6567" w:rsidRDefault="002C1E09" w:rsidP="00FC3302">
      <w:pPr>
        <w:autoSpaceDE w:val="0"/>
        <w:autoSpaceDN w:val="0"/>
        <w:adjustRightInd w:val="0"/>
        <w:rPr>
          <w:rFonts w:ascii="Arial" w:hAnsi="Arial" w:cs="Arial"/>
          <w:b/>
          <w:sz w:val="24"/>
          <w:szCs w:val="24"/>
          <w:lang w:eastAsia="en-GB"/>
        </w:rPr>
      </w:pPr>
      <w:r w:rsidRPr="000C6567">
        <w:rPr>
          <w:rFonts w:ascii="Arial" w:hAnsi="Arial" w:cs="Arial"/>
          <w:b/>
          <w:sz w:val="24"/>
          <w:szCs w:val="24"/>
          <w:lang w:eastAsia="en-GB"/>
        </w:rPr>
        <w:t>Funding Target</w:t>
      </w:r>
    </w:p>
    <w:p w:rsidR="002C1E09" w:rsidRPr="00FF1E97" w:rsidRDefault="002C1E09"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The amount of assets which the Fund needs to hold at any point in time to </w:t>
      </w:r>
      <w:r w:rsidR="000C6567">
        <w:rPr>
          <w:rFonts w:ascii="Arial" w:hAnsi="Arial" w:cs="Arial"/>
          <w:sz w:val="24"/>
          <w:szCs w:val="24"/>
          <w:lang w:eastAsia="en-GB"/>
        </w:rPr>
        <w:t>meet all benefits promised.</w:t>
      </w:r>
    </w:p>
    <w:p w:rsidR="002725D3" w:rsidRPr="00FF1E97" w:rsidRDefault="002725D3" w:rsidP="00FC3302">
      <w:pPr>
        <w:tabs>
          <w:tab w:val="left" w:pos="-1440"/>
        </w:tabs>
        <w:rPr>
          <w:rFonts w:ascii="Arial" w:hAnsi="Arial" w:cs="Arial"/>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Gilts</w:t>
      </w:r>
    </w:p>
    <w:p w:rsidR="002725D3" w:rsidRDefault="00B73719"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Fixed-interest b</w:t>
      </w:r>
      <w:r w:rsidR="002725D3" w:rsidRPr="00FF1E97">
        <w:rPr>
          <w:rFonts w:ascii="Arial" w:hAnsi="Arial" w:cs="Arial"/>
          <w:sz w:val="24"/>
          <w:szCs w:val="24"/>
          <w:lang w:eastAsia="en-GB"/>
        </w:rPr>
        <w:t>onds issued by the British government. They are the equivalent of U.S. Treasury securities</w:t>
      </w:r>
      <w:r w:rsidR="008464D4">
        <w:rPr>
          <w:rFonts w:ascii="Arial" w:hAnsi="Arial" w:cs="Arial"/>
          <w:sz w:val="24"/>
          <w:szCs w:val="24"/>
          <w:lang w:eastAsia="en-GB"/>
        </w:rPr>
        <w:t>.</w:t>
      </w:r>
    </w:p>
    <w:p w:rsidR="003831D0" w:rsidRDefault="003831D0" w:rsidP="00FC3302">
      <w:pPr>
        <w:autoSpaceDE w:val="0"/>
        <w:autoSpaceDN w:val="0"/>
        <w:adjustRightInd w:val="0"/>
        <w:rPr>
          <w:rFonts w:ascii="Arial" w:hAnsi="Arial" w:cs="Arial"/>
          <w:sz w:val="24"/>
          <w:szCs w:val="24"/>
          <w:lang w:eastAsia="en-GB"/>
        </w:rPr>
      </w:pPr>
    </w:p>
    <w:p w:rsidR="003831D0" w:rsidRPr="00FF1E97" w:rsidRDefault="003831D0" w:rsidP="003831D0">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 xml:space="preserve">Global </w:t>
      </w:r>
      <w:r w:rsidRPr="00FF1E97">
        <w:rPr>
          <w:rFonts w:ascii="Arial" w:hAnsi="Arial" w:cs="Arial"/>
          <w:b/>
          <w:bCs/>
          <w:sz w:val="24"/>
          <w:szCs w:val="24"/>
          <w:lang w:eastAsia="en-GB"/>
        </w:rPr>
        <w:t>Custodian</w:t>
      </w:r>
    </w:p>
    <w:p w:rsidR="0064032C" w:rsidRDefault="003831D0" w:rsidP="003831D0">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A bank that </w:t>
      </w:r>
      <w:r w:rsidR="0064032C">
        <w:rPr>
          <w:rFonts w:ascii="Arial" w:hAnsi="Arial" w:cs="Arial"/>
          <w:sz w:val="24"/>
          <w:szCs w:val="24"/>
          <w:lang w:eastAsia="en-GB"/>
        </w:rPr>
        <w:t>looks after the Fund’s</w:t>
      </w:r>
      <w:r w:rsidR="002A63DB">
        <w:rPr>
          <w:rFonts w:ascii="Arial" w:hAnsi="Arial" w:cs="Arial"/>
          <w:sz w:val="24"/>
          <w:szCs w:val="24"/>
          <w:lang w:eastAsia="en-GB"/>
        </w:rPr>
        <w:t xml:space="preserve"> </w:t>
      </w:r>
      <w:r w:rsidR="00824C0B">
        <w:rPr>
          <w:rFonts w:ascii="Arial" w:hAnsi="Arial" w:cs="Arial"/>
          <w:sz w:val="24"/>
          <w:szCs w:val="24"/>
          <w:lang w:eastAsia="en-GB"/>
        </w:rPr>
        <w:t xml:space="preserve">investments, implements investment transactions as instructed </w:t>
      </w:r>
      <w:r w:rsidR="00B74658">
        <w:rPr>
          <w:rFonts w:ascii="Arial" w:hAnsi="Arial" w:cs="Arial"/>
          <w:sz w:val="24"/>
          <w:szCs w:val="24"/>
          <w:lang w:eastAsia="en-GB"/>
        </w:rPr>
        <w:t>by the Fund’s managers and provides reporting</w:t>
      </w:r>
      <w:r w:rsidR="002E4A87">
        <w:rPr>
          <w:rFonts w:ascii="Arial" w:hAnsi="Arial" w:cs="Arial"/>
          <w:sz w:val="24"/>
          <w:szCs w:val="24"/>
          <w:lang w:eastAsia="en-GB"/>
        </w:rPr>
        <w:t>, performance and administrative services to the Fund.</w:t>
      </w:r>
    </w:p>
    <w:p w:rsidR="00B13BBE" w:rsidRDefault="00B13BBE">
      <w:pPr>
        <w:rPr>
          <w:rFonts w:ascii="Arial" w:hAnsi="Arial" w:cs="Arial"/>
          <w:b/>
          <w:bCs/>
          <w:sz w:val="24"/>
          <w:szCs w:val="24"/>
          <w:lang w:eastAsia="en-GB"/>
        </w:rPr>
      </w:pPr>
    </w:p>
    <w:p w:rsidR="00062718" w:rsidRDefault="00062718">
      <w:pPr>
        <w:rPr>
          <w:rFonts w:ascii="Arial" w:hAnsi="Arial" w:cs="Arial"/>
          <w:b/>
          <w:bCs/>
          <w:sz w:val="24"/>
          <w:szCs w:val="24"/>
          <w:lang w:eastAsia="en-GB"/>
        </w:rPr>
      </w:pPr>
      <w:r>
        <w:rPr>
          <w:rFonts w:ascii="Arial" w:hAnsi="Arial" w:cs="Arial"/>
          <w:b/>
          <w:bCs/>
          <w:sz w:val="24"/>
          <w:szCs w:val="24"/>
          <w:lang w:eastAsia="en-GB"/>
        </w:rPr>
        <w:t>Guarantor</w:t>
      </w:r>
    </w:p>
    <w:p w:rsidR="00062718" w:rsidRPr="00062718" w:rsidRDefault="00062718">
      <w:pPr>
        <w:rPr>
          <w:rFonts w:ascii="Arial" w:hAnsi="Arial" w:cs="Arial"/>
          <w:bCs/>
          <w:sz w:val="24"/>
          <w:szCs w:val="24"/>
          <w:lang w:eastAsia="en-GB"/>
        </w:rPr>
      </w:pPr>
      <w:r>
        <w:rPr>
          <w:rFonts w:ascii="Arial" w:hAnsi="Arial" w:cs="Arial"/>
          <w:bCs/>
          <w:sz w:val="24"/>
          <w:szCs w:val="24"/>
          <w:lang w:eastAsia="en-GB"/>
        </w:rPr>
        <w:t>A body which gua</w:t>
      </w:r>
      <w:r w:rsidR="007A32AE">
        <w:rPr>
          <w:rFonts w:ascii="Arial" w:hAnsi="Arial" w:cs="Arial"/>
          <w:bCs/>
          <w:sz w:val="24"/>
          <w:szCs w:val="24"/>
          <w:lang w:eastAsia="en-GB"/>
        </w:rPr>
        <w:t>rantees to pay for an Admitted B</w:t>
      </w:r>
      <w:r>
        <w:rPr>
          <w:rFonts w:ascii="Arial" w:hAnsi="Arial" w:cs="Arial"/>
          <w:bCs/>
          <w:sz w:val="24"/>
          <w:szCs w:val="24"/>
          <w:lang w:eastAsia="en-GB"/>
        </w:rPr>
        <w:t>ody’s liabilities in case of</w:t>
      </w:r>
      <w:r w:rsidR="007A32AE">
        <w:rPr>
          <w:rFonts w:ascii="Arial" w:hAnsi="Arial" w:cs="Arial"/>
          <w:bCs/>
          <w:sz w:val="24"/>
          <w:szCs w:val="24"/>
          <w:lang w:eastAsia="en-GB"/>
        </w:rPr>
        <w:t xml:space="preserve"> default. For any new Admitted B</w:t>
      </w:r>
      <w:r>
        <w:rPr>
          <w:rFonts w:ascii="Arial" w:hAnsi="Arial" w:cs="Arial"/>
          <w:bCs/>
          <w:sz w:val="24"/>
          <w:szCs w:val="24"/>
          <w:lang w:eastAsia="en-GB"/>
        </w:rPr>
        <w:t>ody wishing to join the Fund, the Administering Authority will require a Guarantor.</w:t>
      </w:r>
    </w:p>
    <w:p w:rsidR="00062718" w:rsidRDefault="00062718">
      <w:pPr>
        <w:rPr>
          <w:rFonts w:ascii="Arial" w:hAnsi="Arial" w:cs="Arial"/>
          <w:b/>
          <w:bCs/>
          <w:sz w:val="24"/>
          <w:szCs w:val="24"/>
          <w:lang w:eastAsia="en-GB"/>
        </w:rPr>
      </w:pPr>
    </w:p>
    <w:p w:rsidR="007A32AE" w:rsidRDefault="009708C7">
      <w:pPr>
        <w:rPr>
          <w:rFonts w:ascii="Arial" w:hAnsi="Arial" w:cs="Arial"/>
          <w:b/>
          <w:bCs/>
          <w:sz w:val="24"/>
          <w:szCs w:val="24"/>
          <w:lang w:eastAsia="en-GB"/>
        </w:rPr>
      </w:pPr>
      <w:r>
        <w:rPr>
          <w:rFonts w:ascii="Arial" w:hAnsi="Arial" w:cs="Arial"/>
          <w:b/>
          <w:bCs/>
          <w:sz w:val="24"/>
          <w:szCs w:val="24"/>
          <w:lang w:eastAsia="en-GB"/>
        </w:rPr>
        <w:t>Hedge F</w:t>
      </w:r>
      <w:r w:rsidR="007A32AE">
        <w:rPr>
          <w:rFonts w:ascii="Arial" w:hAnsi="Arial" w:cs="Arial"/>
          <w:b/>
          <w:bCs/>
          <w:sz w:val="24"/>
          <w:szCs w:val="24"/>
          <w:lang w:eastAsia="en-GB"/>
        </w:rPr>
        <w:t>und</w:t>
      </w:r>
    </w:p>
    <w:p w:rsidR="007A32AE" w:rsidRPr="007A32AE" w:rsidRDefault="00554B37">
      <w:pPr>
        <w:rPr>
          <w:rFonts w:ascii="Arial" w:hAnsi="Arial" w:cs="Arial"/>
          <w:bCs/>
          <w:sz w:val="24"/>
          <w:szCs w:val="24"/>
          <w:lang w:eastAsia="en-GB"/>
        </w:rPr>
      </w:pPr>
      <w:r>
        <w:rPr>
          <w:rFonts w:ascii="Arial" w:hAnsi="Arial" w:cs="Arial"/>
          <w:bCs/>
          <w:sz w:val="24"/>
          <w:szCs w:val="24"/>
          <w:lang w:eastAsia="en-GB"/>
        </w:rPr>
        <w:t>A specialist fund that seeks to generate consistent returns in all market conditions by exploiting opportunities resulting from inefficient markets.</w:t>
      </w:r>
    </w:p>
    <w:p w:rsidR="007A32AE" w:rsidRDefault="007A32AE">
      <w:pPr>
        <w:rPr>
          <w:rFonts w:ascii="Arial" w:hAnsi="Arial" w:cs="Arial"/>
          <w:b/>
          <w:bCs/>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Hedging</w:t>
      </w:r>
    </w:p>
    <w:p w:rsidR="002725D3" w:rsidRPr="00FF1E97" w:rsidRDefault="002725D3"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strategy which aims to eliminate a risk in an investment transaction (both upside and</w:t>
      </w:r>
      <w:r w:rsidR="008464D4">
        <w:rPr>
          <w:rFonts w:ascii="Arial" w:hAnsi="Arial" w:cs="Arial"/>
          <w:sz w:val="24"/>
          <w:szCs w:val="24"/>
          <w:lang w:eastAsia="en-GB"/>
        </w:rPr>
        <w:t xml:space="preserve"> </w:t>
      </w:r>
      <w:r w:rsidRPr="00FF1E97">
        <w:rPr>
          <w:rFonts w:ascii="Arial" w:hAnsi="Arial" w:cs="Arial"/>
          <w:sz w:val="24"/>
          <w:szCs w:val="24"/>
          <w:lang w:eastAsia="en-GB"/>
        </w:rPr>
        <w:t>downside potential). Often used in the context of overseas investments to eliminate the</w:t>
      </w:r>
      <w:r w:rsidR="008464D4">
        <w:rPr>
          <w:rFonts w:ascii="Arial" w:hAnsi="Arial" w:cs="Arial"/>
          <w:sz w:val="24"/>
          <w:szCs w:val="24"/>
          <w:lang w:eastAsia="en-GB"/>
        </w:rPr>
        <w:t xml:space="preserve"> </w:t>
      </w:r>
      <w:r w:rsidRPr="00FF1E97">
        <w:rPr>
          <w:rFonts w:ascii="Arial" w:hAnsi="Arial" w:cs="Arial"/>
          <w:sz w:val="24"/>
          <w:szCs w:val="24"/>
          <w:lang w:eastAsia="en-GB"/>
        </w:rPr>
        <w:t>impact of currency movements.</w:t>
      </w:r>
    </w:p>
    <w:p w:rsidR="009708C7" w:rsidRDefault="009708C7">
      <w:pPr>
        <w:rPr>
          <w:rFonts w:ascii="Arial" w:hAnsi="Arial" w:cs="Arial"/>
          <w:b/>
          <w:bCs/>
          <w:sz w:val="24"/>
          <w:szCs w:val="24"/>
          <w:lang w:eastAsia="en-GB"/>
        </w:rPr>
      </w:pPr>
      <w:r>
        <w:rPr>
          <w:rFonts w:ascii="Arial" w:hAnsi="Arial" w:cs="Arial"/>
          <w:b/>
          <w:bCs/>
          <w:sz w:val="24"/>
          <w:szCs w:val="24"/>
          <w:lang w:eastAsia="en-GB"/>
        </w:rPr>
        <w:br w:type="page"/>
      </w:r>
    </w:p>
    <w:p w:rsidR="009708C7" w:rsidRDefault="009708C7"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lastRenderedPageBreak/>
        <w:t>Income Yield</w:t>
      </w:r>
    </w:p>
    <w:p w:rsidR="009708C7" w:rsidRDefault="009708C7" w:rsidP="00FC3302">
      <w:pPr>
        <w:autoSpaceDE w:val="0"/>
        <w:autoSpaceDN w:val="0"/>
        <w:adjustRightInd w:val="0"/>
        <w:rPr>
          <w:rFonts w:ascii="Arial" w:hAnsi="Arial" w:cs="Arial"/>
          <w:bCs/>
          <w:sz w:val="24"/>
          <w:szCs w:val="24"/>
          <w:lang w:eastAsia="en-GB"/>
        </w:rPr>
      </w:pPr>
      <w:r>
        <w:rPr>
          <w:rFonts w:ascii="Arial" w:hAnsi="Arial" w:cs="Arial"/>
          <w:bCs/>
          <w:sz w:val="24"/>
          <w:szCs w:val="24"/>
          <w:lang w:eastAsia="en-GB"/>
        </w:rPr>
        <w:t>Annual income on an investment divided by its price and expressed as a percentage.</w:t>
      </w:r>
    </w:p>
    <w:p w:rsidR="009708C7" w:rsidRPr="009708C7" w:rsidRDefault="009708C7" w:rsidP="00FC3302">
      <w:pPr>
        <w:autoSpaceDE w:val="0"/>
        <w:autoSpaceDN w:val="0"/>
        <w:adjustRightInd w:val="0"/>
        <w:rPr>
          <w:rFonts w:ascii="Arial" w:hAnsi="Arial" w:cs="Arial"/>
          <w:bCs/>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Index</w:t>
      </w:r>
    </w:p>
    <w:p w:rsidR="002725D3" w:rsidRPr="00FF1E97" w:rsidRDefault="00B84358"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A measure of the value of a stock market based on a representative sample of stocks. </w:t>
      </w:r>
      <w:r w:rsidR="002725D3" w:rsidRPr="00FF1E97">
        <w:rPr>
          <w:rFonts w:ascii="Arial" w:hAnsi="Arial" w:cs="Arial"/>
          <w:sz w:val="24"/>
          <w:szCs w:val="24"/>
          <w:lang w:eastAsia="en-GB"/>
        </w:rPr>
        <w:t>A</w:t>
      </w:r>
      <w:r w:rsidR="0040046D">
        <w:rPr>
          <w:rFonts w:ascii="Arial" w:hAnsi="Arial" w:cs="Arial"/>
          <w:sz w:val="24"/>
          <w:szCs w:val="24"/>
          <w:lang w:eastAsia="en-GB"/>
        </w:rPr>
        <w:t>n index is often used as a</w:t>
      </w:r>
      <w:r w:rsidR="002725D3" w:rsidRPr="00FF1E97">
        <w:rPr>
          <w:rFonts w:ascii="Arial" w:hAnsi="Arial" w:cs="Arial"/>
          <w:sz w:val="24"/>
          <w:szCs w:val="24"/>
          <w:lang w:eastAsia="en-GB"/>
        </w:rPr>
        <w:t xml:space="preserve"> benchmark for the performance of a group of shares or bonds.</w:t>
      </w:r>
    </w:p>
    <w:p w:rsidR="008464D4" w:rsidRDefault="008464D4" w:rsidP="00FC3302">
      <w:pPr>
        <w:rPr>
          <w:rFonts w:ascii="Arial" w:hAnsi="Arial" w:cs="Arial"/>
          <w:b/>
          <w:bCs/>
          <w:sz w:val="24"/>
          <w:szCs w:val="24"/>
          <w:lang w:eastAsia="en-GB"/>
        </w:rPr>
      </w:pPr>
    </w:p>
    <w:p w:rsidR="002725D3" w:rsidRPr="00FF1E97" w:rsidRDefault="002725D3"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Index</w:t>
      </w:r>
      <w:r w:rsidRPr="00FF1E97">
        <w:rPr>
          <w:rFonts w:ascii="Cambria Math" w:hAnsi="Cambria Math" w:cs="Cambria Math"/>
          <w:b/>
          <w:bCs/>
          <w:sz w:val="24"/>
          <w:szCs w:val="24"/>
          <w:lang w:eastAsia="en-GB"/>
        </w:rPr>
        <w:t>‐</w:t>
      </w:r>
      <w:r w:rsidRPr="00FF1E97">
        <w:rPr>
          <w:rFonts w:ascii="Arial" w:hAnsi="Arial" w:cs="Arial"/>
          <w:b/>
          <w:bCs/>
          <w:sz w:val="24"/>
          <w:szCs w:val="24"/>
          <w:lang w:eastAsia="en-GB"/>
        </w:rPr>
        <w:t>Linked Securities</w:t>
      </w:r>
    </w:p>
    <w:p w:rsidR="00CC59BB" w:rsidRDefault="00CC59BB"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Investments which generate returns in line with an index.</w:t>
      </w:r>
    </w:p>
    <w:p w:rsidR="002725D3" w:rsidRPr="00FF1E97" w:rsidRDefault="002725D3" w:rsidP="00FC3302">
      <w:pPr>
        <w:tabs>
          <w:tab w:val="left" w:pos="-1440"/>
        </w:tabs>
        <w:rPr>
          <w:rFonts w:ascii="Arial" w:hAnsi="Arial" w:cs="Arial"/>
          <w:sz w:val="24"/>
          <w:szCs w:val="24"/>
          <w:lang w:eastAsia="en-GB"/>
        </w:rPr>
      </w:pPr>
    </w:p>
    <w:p w:rsidR="00361624" w:rsidRPr="00FF1E97" w:rsidRDefault="00CC59BB"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Investment Advise</w:t>
      </w:r>
      <w:r w:rsidR="00361624" w:rsidRPr="00FF1E97">
        <w:rPr>
          <w:rFonts w:ascii="Arial" w:hAnsi="Arial" w:cs="Arial"/>
          <w:b/>
          <w:bCs/>
          <w:sz w:val="24"/>
          <w:szCs w:val="24"/>
          <w:lang w:eastAsia="en-GB"/>
        </w:rPr>
        <w:t>r</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professionally qualified individual or company whose main livelihood is derived from</w:t>
      </w:r>
      <w:r w:rsidR="00EA1D45">
        <w:rPr>
          <w:rFonts w:ascii="Arial" w:hAnsi="Arial" w:cs="Arial"/>
          <w:sz w:val="24"/>
          <w:szCs w:val="24"/>
          <w:lang w:eastAsia="en-GB"/>
        </w:rPr>
        <w:t xml:space="preserve"> </w:t>
      </w:r>
      <w:r w:rsidRPr="00FF1E97">
        <w:rPr>
          <w:rFonts w:ascii="Arial" w:hAnsi="Arial" w:cs="Arial"/>
          <w:sz w:val="24"/>
          <w:szCs w:val="24"/>
          <w:lang w:eastAsia="en-GB"/>
        </w:rPr>
        <w:t>providing objective, impartial investment advice to companies, pension funds or</w:t>
      </w:r>
      <w:r w:rsidR="00EA1D45">
        <w:rPr>
          <w:rFonts w:ascii="Arial" w:hAnsi="Arial" w:cs="Arial"/>
          <w:sz w:val="24"/>
          <w:szCs w:val="24"/>
          <w:lang w:eastAsia="en-GB"/>
        </w:rPr>
        <w:t xml:space="preserve"> </w:t>
      </w:r>
      <w:r w:rsidRPr="00FF1E97">
        <w:rPr>
          <w:rFonts w:ascii="Arial" w:hAnsi="Arial" w:cs="Arial"/>
          <w:sz w:val="24"/>
          <w:szCs w:val="24"/>
          <w:lang w:eastAsia="en-GB"/>
        </w:rPr>
        <w:t>individuals.</w:t>
      </w:r>
    </w:p>
    <w:p w:rsidR="00EA1D45" w:rsidRDefault="00EA1D45" w:rsidP="00FC3302">
      <w:pPr>
        <w:autoSpaceDE w:val="0"/>
        <w:autoSpaceDN w:val="0"/>
        <w:adjustRightInd w:val="0"/>
        <w:rPr>
          <w:rFonts w:ascii="Arial" w:hAnsi="Arial" w:cs="Arial"/>
          <w:sz w:val="24"/>
          <w:szCs w:val="24"/>
          <w:lang w:eastAsia="en-GB"/>
        </w:rPr>
      </w:pPr>
    </w:p>
    <w:p w:rsidR="00273446" w:rsidRPr="00273446" w:rsidRDefault="00273446" w:rsidP="00FC3302">
      <w:pPr>
        <w:autoSpaceDE w:val="0"/>
        <w:autoSpaceDN w:val="0"/>
        <w:adjustRightInd w:val="0"/>
        <w:rPr>
          <w:rFonts w:ascii="Arial" w:hAnsi="Arial" w:cs="Arial"/>
          <w:b/>
          <w:sz w:val="24"/>
          <w:szCs w:val="24"/>
          <w:lang w:eastAsia="en-GB"/>
        </w:rPr>
      </w:pPr>
      <w:r w:rsidRPr="00273446">
        <w:rPr>
          <w:rFonts w:ascii="Arial" w:hAnsi="Arial" w:cs="Arial"/>
          <w:b/>
          <w:sz w:val="24"/>
          <w:szCs w:val="24"/>
          <w:lang w:eastAsia="en-GB"/>
        </w:rPr>
        <w:t>LGPS</w:t>
      </w:r>
    </w:p>
    <w:p w:rsidR="00273446" w:rsidRDefault="00273446"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Local Government Pension Scheme – a nationwide scheme for employees working in local government or working for other employers participating in the scheme.</w:t>
      </w:r>
    </w:p>
    <w:p w:rsidR="00043184" w:rsidRDefault="00043184" w:rsidP="00FC3302">
      <w:pPr>
        <w:autoSpaceDE w:val="0"/>
        <w:autoSpaceDN w:val="0"/>
        <w:adjustRightInd w:val="0"/>
        <w:rPr>
          <w:rFonts w:ascii="Arial" w:hAnsi="Arial" w:cs="Arial"/>
          <w:sz w:val="24"/>
          <w:szCs w:val="24"/>
          <w:lang w:eastAsia="en-GB"/>
        </w:rPr>
      </w:pPr>
    </w:p>
    <w:p w:rsidR="00043184" w:rsidRPr="00955725" w:rsidRDefault="00955725" w:rsidP="00FC3302">
      <w:pPr>
        <w:autoSpaceDE w:val="0"/>
        <w:autoSpaceDN w:val="0"/>
        <w:adjustRightInd w:val="0"/>
        <w:rPr>
          <w:rFonts w:ascii="Arial" w:hAnsi="Arial" w:cs="Arial"/>
          <w:b/>
          <w:sz w:val="24"/>
          <w:szCs w:val="24"/>
          <w:lang w:eastAsia="en-GB"/>
        </w:rPr>
      </w:pPr>
      <w:r w:rsidRPr="00955725">
        <w:rPr>
          <w:rFonts w:ascii="Arial" w:hAnsi="Arial" w:cs="Arial"/>
          <w:b/>
          <w:sz w:val="24"/>
          <w:szCs w:val="24"/>
          <w:lang w:eastAsia="en-GB"/>
        </w:rPr>
        <w:t>LIBOR</w:t>
      </w:r>
    </w:p>
    <w:p w:rsidR="00955725" w:rsidRDefault="00955725"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London Inter Bank Offer Rate – the interest rate that banks charge each other in the short-term international money market. It is often used as a benchmark to set other interest rates or to measure returns on investments.</w:t>
      </w:r>
    </w:p>
    <w:p w:rsidR="00273446" w:rsidRPr="00FF1E97" w:rsidRDefault="00273446" w:rsidP="00FC3302">
      <w:pPr>
        <w:autoSpaceDE w:val="0"/>
        <w:autoSpaceDN w:val="0"/>
        <w:adjustRightInd w:val="0"/>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Mandate</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set of instructions given to the fund manager by the client as to how a fund is to be</w:t>
      </w:r>
      <w:r w:rsidR="00EA1D45">
        <w:rPr>
          <w:rFonts w:ascii="Arial" w:hAnsi="Arial" w:cs="Arial"/>
          <w:sz w:val="24"/>
          <w:szCs w:val="24"/>
          <w:lang w:eastAsia="en-GB"/>
        </w:rPr>
        <w:t xml:space="preserve"> </w:t>
      </w:r>
      <w:r w:rsidRPr="00FF1E97">
        <w:rPr>
          <w:rFonts w:ascii="Arial" w:hAnsi="Arial" w:cs="Arial"/>
          <w:sz w:val="24"/>
          <w:szCs w:val="24"/>
          <w:lang w:eastAsia="en-GB"/>
        </w:rPr>
        <w:t>managed (e.g.</w:t>
      </w:r>
      <w:r w:rsidR="00EA1D45">
        <w:rPr>
          <w:rFonts w:ascii="Arial" w:hAnsi="Arial" w:cs="Arial"/>
          <w:sz w:val="24"/>
          <w:szCs w:val="24"/>
          <w:lang w:eastAsia="en-GB"/>
        </w:rPr>
        <w:t>,</w:t>
      </w:r>
      <w:r w:rsidRPr="00FF1E97">
        <w:rPr>
          <w:rFonts w:ascii="Arial" w:hAnsi="Arial" w:cs="Arial"/>
          <w:sz w:val="24"/>
          <w:szCs w:val="24"/>
          <w:lang w:eastAsia="en-GB"/>
        </w:rPr>
        <w:t xml:space="preserve"> targets for performance against a benchmark may be set or the manager</w:t>
      </w:r>
      <w:r w:rsidR="00EA1D45">
        <w:rPr>
          <w:rFonts w:ascii="Arial" w:hAnsi="Arial" w:cs="Arial"/>
          <w:sz w:val="24"/>
          <w:szCs w:val="24"/>
          <w:lang w:eastAsia="en-GB"/>
        </w:rPr>
        <w:t xml:space="preserve"> </w:t>
      </w:r>
      <w:r w:rsidRPr="00FF1E97">
        <w:rPr>
          <w:rFonts w:ascii="Arial" w:hAnsi="Arial" w:cs="Arial"/>
          <w:sz w:val="24"/>
          <w:szCs w:val="24"/>
          <w:lang w:eastAsia="en-GB"/>
        </w:rPr>
        <w:t>may be prohibited from investing in certain stocks or sectors).</w:t>
      </w:r>
    </w:p>
    <w:p w:rsidR="00EA1D45" w:rsidRPr="00FF1E97" w:rsidRDefault="00EA1D45" w:rsidP="00FC3302">
      <w:pPr>
        <w:autoSpaceDE w:val="0"/>
        <w:autoSpaceDN w:val="0"/>
        <w:adjustRightInd w:val="0"/>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Market Value</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The “on paper” value of a security at a specific point in time. It is calculated by multiplying</w:t>
      </w:r>
      <w:r w:rsidR="00EA1D45">
        <w:rPr>
          <w:rFonts w:ascii="Arial" w:hAnsi="Arial" w:cs="Arial"/>
          <w:sz w:val="24"/>
          <w:szCs w:val="24"/>
          <w:lang w:eastAsia="en-GB"/>
        </w:rPr>
        <w:t xml:space="preserve"> </w:t>
      </w:r>
      <w:r w:rsidRPr="00FF1E97">
        <w:rPr>
          <w:rFonts w:ascii="Arial" w:hAnsi="Arial" w:cs="Arial"/>
          <w:sz w:val="24"/>
          <w:szCs w:val="24"/>
          <w:lang w:eastAsia="en-GB"/>
        </w:rPr>
        <w:t>the number of shares held by market price of that share in sterling terms.</w:t>
      </w:r>
    </w:p>
    <w:p w:rsidR="004E7558" w:rsidRDefault="004E7558" w:rsidP="00FC3302">
      <w:pPr>
        <w:autoSpaceDE w:val="0"/>
        <w:autoSpaceDN w:val="0"/>
        <w:adjustRightInd w:val="0"/>
        <w:rPr>
          <w:rFonts w:ascii="Arial" w:hAnsi="Arial" w:cs="Arial"/>
          <w:sz w:val="24"/>
          <w:szCs w:val="24"/>
          <w:lang w:eastAsia="en-GB"/>
        </w:rPr>
      </w:pPr>
    </w:p>
    <w:p w:rsidR="004E7558" w:rsidRPr="004E7558" w:rsidRDefault="004E7558" w:rsidP="00FC3302">
      <w:pPr>
        <w:autoSpaceDE w:val="0"/>
        <w:autoSpaceDN w:val="0"/>
        <w:adjustRightInd w:val="0"/>
        <w:rPr>
          <w:rFonts w:ascii="Arial" w:hAnsi="Arial" w:cs="Arial"/>
          <w:b/>
          <w:sz w:val="24"/>
          <w:szCs w:val="24"/>
          <w:lang w:eastAsia="en-GB"/>
        </w:rPr>
      </w:pPr>
      <w:r w:rsidRPr="004E7558">
        <w:rPr>
          <w:rFonts w:ascii="Arial" w:hAnsi="Arial" w:cs="Arial"/>
          <w:b/>
          <w:sz w:val="24"/>
          <w:szCs w:val="24"/>
          <w:lang w:eastAsia="en-GB"/>
        </w:rPr>
        <w:t>Orphan Liabilities</w:t>
      </w:r>
    </w:p>
    <w:p w:rsidR="004E7558" w:rsidRDefault="004E7558"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Residual liabilities of employers from whom no further funding can be obtained.</w:t>
      </w:r>
    </w:p>
    <w:p w:rsidR="00EA1D45" w:rsidRPr="00FF1E97" w:rsidRDefault="00EA1D45" w:rsidP="00FC3302">
      <w:pPr>
        <w:autoSpaceDE w:val="0"/>
        <w:autoSpaceDN w:val="0"/>
        <w:adjustRightInd w:val="0"/>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Outperformance / underperformance</w:t>
      </w:r>
    </w:p>
    <w:p w:rsidR="002725D3" w:rsidRPr="00FF1E97"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The difference in returns gained by a particular fund against the “average” fund or an index</w:t>
      </w:r>
      <w:r w:rsidR="00EA1D45">
        <w:rPr>
          <w:rFonts w:ascii="Arial" w:hAnsi="Arial" w:cs="Arial"/>
          <w:sz w:val="24"/>
          <w:szCs w:val="24"/>
          <w:lang w:eastAsia="en-GB"/>
        </w:rPr>
        <w:t xml:space="preserve"> </w:t>
      </w:r>
      <w:r w:rsidRPr="00FF1E97">
        <w:rPr>
          <w:rFonts w:ascii="Arial" w:hAnsi="Arial" w:cs="Arial"/>
          <w:sz w:val="24"/>
          <w:szCs w:val="24"/>
          <w:lang w:eastAsia="en-GB"/>
        </w:rPr>
        <w:t>over a specified time period</w:t>
      </w:r>
      <w:r w:rsidR="00DD627D">
        <w:rPr>
          <w:rFonts w:ascii="Arial" w:hAnsi="Arial" w:cs="Arial"/>
          <w:sz w:val="24"/>
          <w:szCs w:val="24"/>
          <w:lang w:eastAsia="en-GB"/>
        </w:rPr>
        <w:t>,</w:t>
      </w:r>
      <w:r w:rsidRPr="00FF1E97">
        <w:rPr>
          <w:rFonts w:ascii="Arial" w:hAnsi="Arial" w:cs="Arial"/>
          <w:sz w:val="24"/>
          <w:szCs w:val="24"/>
          <w:lang w:eastAsia="en-GB"/>
        </w:rPr>
        <w:t xml:space="preserve"> i.e.</w:t>
      </w:r>
      <w:r w:rsidR="00DD627D">
        <w:rPr>
          <w:rFonts w:ascii="Arial" w:hAnsi="Arial" w:cs="Arial"/>
          <w:sz w:val="24"/>
          <w:szCs w:val="24"/>
          <w:lang w:eastAsia="en-GB"/>
        </w:rPr>
        <w:t>,</w:t>
      </w:r>
      <w:r w:rsidRPr="00FF1E97">
        <w:rPr>
          <w:rFonts w:ascii="Arial" w:hAnsi="Arial" w:cs="Arial"/>
          <w:sz w:val="24"/>
          <w:szCs w:val="24"/>
          <w:lang w:eastAsia="en-GB"/>
        </w:rPr>
        <w:t xml:space="preserve"> a target for a fund may be outperformance of a given</w:t>
      </w:r>
      <w:r w:rsidR="00DD627D">
        <w:rPr>
          <w:rFonts w:ascii="Arial" w:hAnsi="Arial" w:cs="Arial"/>
          <w:sz w:val="24"/>
          <w:szCs w:val="24"/>
          <w:lang w:eastAsia="en-GB"/>
        </w:rPr>
        <w:t xml:space="preserve"> </w:t>
      </w:r>
      <w:r w:rsidRPr="00FF1E97">
        <w:rPr>
          <w:rFonts w:ascii="Arial" w:hAnsi="Arial" w:cs="Arial"/>
          <w:sz w:val="24"/>
          <w:szCs w:val="24"/>
          <w:lang w:eastAsia="en-GB"/>
        </w:rPr>
        <w:t xml:space="preserve">benchmark over a </w:t>
      </w:r>
      <w:r w:rsidR="00DD627D">
        <w:rPr>
          <w:rFonts w:ascii="Arial" w:hAnsi="Arial" w:cs="Arial"/>
          <w:sz w:val="24"/>
          <w:szCs w:val="24"/>
          <w:lang w:eastAsia="en-GB"/>
        </w:rPr>
        <w:t>three</w:t>
      </w:r>
      <w:r w:rsidRPr="00FF1E97">
        <w:rPr>
          <w:rFonts w:ascii="Cambria Math" w:hAnsi="Cambria Math" w:cs="Cambria Math"/>
          <w:sz w:val="24"/>
          <w:szCs w:val="24"/>
          <w:lang w:eastAsia="en-GB"/>
        </w:rPr>
        <w:t>‐</w:t>
      </w:r>
      <w:r w:rsidRPr="00FF1E97">
        <w:rPr>
          <w:rFonts w:ascii="Arial" w:hAnsi="Arial" w:cs="Arial"/>
          <w:sz w:val="24"/>
          <w:szCs w:val="24"/>
          <w:lang w:eastAsia="en-GB"/>
        </w:rPr>
        <w:t>year period.</w:t>
      </w:r>
    </w:p>
    <w:p w:rsidR="000E0226" w:rsidRDefault="000E0226">
      <w:pPr>
        <w:rPr>
          <w:rFonts w:ascii="Arial" w:hAnsi="Arial" w:cs="Arial"/>
          <w:sz w:val="24"/>
          <w:szCs w:val="24"/>
          <w:lang w:eastAsia="en-GB"/>
        </w:rPr>
      </w:pPr>
      <w:r>
        <w:rPr>
          <w:rFonts w:ascii="Arial" w:hAnsi="Arial" w:cs="Arial"/>
          <w:sz w:val="24"/>
          <w:szCs w:val="24"/>
          <w:lang w:eastAsia="en-GB"/>
        </w:rPr>
        <w:br w:type="page"/>
      </w: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lastRenderedPageBreak/>
        <w:t>Performance</w:t>
      </w:r>
    </w:p>
    <w:p w:rsidR="00361624" w:rsidRPr="00FF1E97"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measure, usually expressed in percentage terms, of how well a fund has done over a</w:t>
      </w:r>
      <w:r w:rsidR="00DD627D">
        <w:rPr>
          <w:rFonts w:ascii="Arial" w:hAnsi="Arial" w:cs="Arial"/>
          <w:sz w:val="24"/>
          <w:szCs w:val="24"/>
          <w:lang w:eastAsia="en-GB"/>
        </w:rPr>
        <w:t xml:space="preserve"> </w:t>
      </w:r>
      <w:r w:rsidRPr="00FF1E97">
        <w:rPr>
          <w:rFonts w:ascii="Arial" w:hAnsi="Arial" w:cs="Arial"/>
          <w:sz w:val="24"/>
          <w:szCs w:val="24"/>
          <w:lang w:eastAsia="en-GB"/>
        </w:rPr>
        <w:t>particular time period – either in absolute terms or as measured against the “average”</w:t>
      </w:r>
      <w:r w:rsidR="00DD627D">
        <w:rPr>
          <w:rFonts w:ascii="Arial" w:hAnsi="Arial" w:cs="Arial"/>
          <w:sz w:val="24"/>
          <w:szCs w:val="24"/>
          <w:lang w:eastAsia="en-GB"/>
        </w:rPr>
        <w:t xml:space="preserve"> </w:t>
      </w:r>
      <w:r w:rsidRPr="00FF1E97">
        <w:rPr>
          <w:rFonts w:ascii="Arial" w:hAnsi="Arial" w:cs="Arial"/>
          <w:sz w:val="24"/>
          <w:szCs w:val="24"/>
          <w:lang w:eastAsia="en-GB"/>
        </w:rPr>
        <w:t>fund of a particular benchmark.</w:t>
      </w:r>
    </w:p>
    <w:p w:rsidR="00DD627D" w:rsidRDefault="00DD627D" w:rsidP="00FC3302">
      <w:pPr>
        <w:autoSpaceDE w:val="0"/>
        <w:autoSpaceDN w:val="0"/>
        <w:adjustRightInd w:val="0"/>
        <w:rPr>
          <w:rFonts w:ascii="Arial" w:hAnsi="Arial" w:cs="Arial"/>
          <w:b/>
          <w:bCs/>
          <w:sz w:val="24"/>
          <w:szCs w:val="24"/>
          <w:lang w:eastAsia="en-GB"/>
        </w:rPr>
      </w:pPr>
    </w:p>
    <w:p w:rsidR="000E0226" w:rsidRDefault="00D53780"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Pooled Investment Fund</w:t>
      </w:r>
    </w:p>
    <w:p w:rsidR="000E0226" w:rsidRPr="000E0226" w:rsidRDefault="000E0226" w:rsidP="00FC3302">
      <w:pPr>
        <w:autoSpaceDE w:val="0"/>
        <w:autoSpaceDN w:val="0"/>
        <w:adjustRightInd w:val="0"/>
        <w:rPr>
          <w:rFonts w:ascii="Arial" w:hAnsi="Arial" w:cs="Arial"/>
          <w:bCs/>
          <w:sz w:val="24"/>
          <w:szCs w:val="24"/>
          <w:lang w:eastAsia="en-GB"/>
        </w:rPr>
      </w:pPr>
      <w:r>
        <w:rPr>
          <w:rFonts w:ascii="Arial" w:hAnsi="Arial" w:cs="Arial"/>
          <w:bCs/>
          <w:sz w:val="24"/>
          <w:szCs w:val="24"/>
          <w:lang w:eastAsia="en-GB"/>
        </w:rPr>
        <w:t>A collective investment scheme that works by pooling money from different invididual investors.</w:t>
      </w:r>
    </w:p>
    <w:p w:rsidR="000E0226" w:rsidRDefault="000E0226" w:rsidP="00FC3302">
      <w:pPr>
        <w:autoSpaceDE w:val="0"/>
        <w:autoSpaceDN w:val="0"/>
        <w:adjustRightInd w:val="0"/>
        <w:rPr>
          <w:rFonts w:ascii="Arial" w:hAnsi="Arial" w:cs="Arial"/>
          <w:b/>
          <w:bCs/>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Portfolio</w:t>
      </w:r>
    </w:p>
    <w:p w:rsidR="00361624" w:rsidRPr="00FF1E97" w:rsidRDefault="00361624" w:rsidP="00FC3302">
      <w:pPr>
        <w:tabs>
          <w:tab w:val="left" w:pos="-1440"/>
        </w:tabs>
        <w:rPr>
          <w:rFonts w:ascii="Arial" w:hAnsi="Arial" w:cs="Arial"/>
          <w:sz w:val="24"/>
          <w:szCs w:val="24"/>
          <w:lang w:eastAsia="en-GB"/>
        </w:rPr>
      </w:pPr>
      <w:r w:rsidRPr="00FF1E97">
        <w:rPr>
          <w:rFonts w:ascii="Arial" w:hAnsi="Arial" w:cs="Arial"/>
          <w:sz w:val="24"/>
          <w:szCs w:val="24"/>
          <w:lang w:eastAsia="en-GB"/>
        </w:rPr>
        <w:t>Term used to describe all investments held.</w:t>
      </w:r>
    </w:p>
    <w:p w:rsidR="00361624" w:rsidRPr="00FF1E97" w:rsidRDefault="00361624" w:rsidP="00FC3302">
      <w:pPr>
        <w:tabs>
          <w:tab w:val="left" w:pos="-1440"/>
        </w:tabs>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Private Equity</w:t>
      </w:r>
    </w:p>
    <w:p w:rsidR="00361624" w:rsidRDefault="00D53780"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Mainly specialist pooled partnerships that invest in private companies not normally traded on public stock markets – these are often illiquid (i.e., not easily turned into cash) and higher-risk</w:t>
      </w:r>
      <w:r w:rsidR="005546F6">
        <w:rPr>
          <w:rFonts w:ascii="Arial" w:hAnsi="Arial" w:cs="Arial"/>
          <w:sz w:val="24"/>
          <w:szCs w:val="24"/>
          <w:lang w:eastAsia="en-GB"/>
        </w:rPr>
        <w:t xml:space="preserve"> investments that should provide high returns over the long term.</w:t>
      </w:r>
    </w:p>
    <w:p w:rsidR="005546F6" w:rsidRDefault="005546F6" w:rsidP="00FC3302">
      <w:pPr>
        <w:autoSpaceDE w:val="0"/>
        <w:autoSpaceDN w:val="0"/>
        <w:adjustRightInd w:val="0"/>
        <w:rPr>
          <w:rFonts w:ascii="Arial" w:hAnsi="Arial" w:cs="Arial"/>
          <w:sz w:val="24"/>
          <w:szCs w:val="24"/>
          <w:lang w:eastAsia="en-GB"/>
        </w:rPr>
      </w:pPr>
    </w:p>
    <w:p w:rsidR="005546F6" w:rsidRPr="00931CE9" w:rsidRDefault="005546F6" w:rsidP="00FC3302">
      <w:pPr>
        <w:autoSpaceDE w:val="0"/>
        <w:autoSpaceDN w:val="0"/>
        <w:adjustRightInd w:val="0"/>
        <w:rPr>
          <w:rFonts w:ascii="Arial" w:hAnsi="Arial" w:cs="Arial"/>
          <w:b/>
          <w:sz w:val="24"/>
          <w:szCs w:val="24"/>
          <w:lang w:eastAsia="en-GB"/>
        </w:rPr>
      </w:pPr>
      <w:r w:rsidRPr="00931CE9">
        <w:rPr>
          <w:rFonts w:ascii="Arial" w:hAnsi="Arial" w:cs="Arial"/>
          <w:b/>
          <w:sz w:val="24"/>
          <w:szCs w:val="24"/>
          <w:lang w:eastAsia="en-GB"/>
        </w:rPr>
        <w:t>Recovery Period</w:t>
      </w:r>
    </w:p>
    <w:p w:rsidR="005546F6" w:rsidRPr="00FF1E97" w:rsidRDefault="005546F6"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Timescale allowed over which surpluses or deficiencies to the Fund can be eliminated.</w:t>
      </w:r>
    </w:p>
    <w:p w:rsidR="00DD627D" w:rsidRDefault="00DD627D" w:rsidP="00FC3302">
      <w:pPr>
        <w:autoSpaceDE w:val="0"/>
        <w:autoSpaceDN w:val="0"/>
        <w:adjustRightInd w:val="0"/>
        <w:rPr>
          <w:rFonts w:ascii="Arial" w:hAnsi="Arial" w:cs="Arial"/>
          <w:b/>
          <w:bCs/>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Regulations</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The Scheme is governed by Reg</w:t>
      </w:r>
      <w:r w:rsidR="00DD627D">
        <w:rPr>
          <w:rFonts w:ascii="Arial" w:hAnsi="Arial" w:cs="Arial"/>
          <w:sz w:val="24"/>
          <w:szCs w:val="24"/>
          <w:lang w:eastAsia="en-GB"/>
        </w:rPr>
        <w:t xml:space="preserve">ulation approved by Parliament. </w:t>
      </w:r>
      <w:r w:rsidRPr="00FF1E97">
        <w:rPr>
          <w:rFonts w:ascii="Arial" w:hAnsi="Arial" w:cs="Arial"/>
          <w:sz w:val="24"/>
          <w:szCs w:val="24"/>
          <w:lang w:eastAsia="en-GB"/>
        </w:rPr>
        <w:t>Necessary amendments</w:t>
      </w:r>
      <w:r w:rsidR="00DD627D">
        <w:rPr>
          <w:rFonts w:ascii="Arial" w:hAnsi="Arial" w:cs="Arial"/>
          <w:sz w:val="24"/>
          <w:szCs w:val="24"/>
          <w:lang w:eastAsia="en-GB"/>
        </w:rPr>
        <w:t xml:space="preserve"> </w:t>
      </w:r>
      <w:r w:rsidRPr="00FF1E97">
        <w:rPr>
          <w:rFonts w:ascii="Arial" w:hAnsi="Arial" w:cs="Arial"/>
          <w:sz w:val="24"/>
          <w:szCs w:val="24"/>
          <w:lang w:eastAsia="en-GB"/>
        </w:rPr>
        <w:t>are made to these Regulations by means of Statutory Instruments.</w:t>
      </w:r>
    </w:p>
    <w:p w:rsidR="00B13BBE" w:rsidRDefault="00B13BBE">
      <w:pPr>
        <w:rPr>
          <w:rFonts w:ascii="Arial" w:hAnsi="Arial" w:cs="Arial"/>
          <w:b/>
          <w:bCs/>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Risk</w:t>
      </w:r>
    </w:p>
    <w:p w:rsidR="00361624" w:rsidRPr="00FF1E97"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Generally taken to mean the variability of returns. Investments with greater risk must</w:t>
      </w:r>
      <w:r w:rsidR="002B0155">
        <w:rPr>
          <w:rFonts w:ascii="Arial" w:hAnsi="Arial" w:cs="Arial"/>
          <w:sz w:val="24"/>
          <w:szCs w:val="24"/>
          <w:lang w:eastAsia="en-GB"/>
        </w:rPr>
        <w:t xml:space="preserve"> </w:t>
      </w:r>
      <w:r w:rsidRPr="00FF1E97">
        <w:rPr>
          <w:rFonts w:ascii="Arial" w:hAnsi="Arial" w:cs="Arial"/>
          <w:sz w:val="24"/>
          <w:szCs w:val="24"/>
          <w:lang w:eastAsia="en-GB"/>
        </w:rPr>
        <w:t>usually promise higher returns than more “stable” investments before investors will buy</w:t>
      </w:r>
      <w:r w:rsidR="002B0155">
        <w:rPr>
          <w:rFonts w:ascii="Arial" w:hAnsi="Arial" w:cs="Arial"/>
          <w:sz w:val="24"/>
          <w:szCs w:val="24"/>
          <w:lang w:eastAsia="en-GB"/>
        </w:rPr>
        <w:t xml:space="preserve"> </w:t>
      </w:r>
      <w:r w:rsidRPr="00FF1E97">
        <w:rPr>
          <w:rFonts w:ascii="Arial" w:hAnsi="Arial" w:cs="Arial"/>
          <w:sz w:val="24"/>
          <w:szCs w:val="24"/>
          <w:lang w:eastAsia="en-GB"/>
        </w:rPr>
        <w:t>them.</w:t>
      </w:r>
    </w:p>
    <w:p w:rsidR="00361624" w:rsidRPr="00FF1E97" w:rsidRDefault="00361624" w:rsidP="00FC3302">
      <w:pPr>
        <w:tabs>
          <w:tab w:val="left" w:pos="-1440"/>
        </w:tabs>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Scheduled Bodies</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These are organisations as listed in the Local Government Pension Scheme Regulations</w:t>
      </w:r>
      <w:r w:rsidR="00742F38">
        <w:rPr>
          <w:rFonts w:ascii="Arial" w:hAnsi="Arial" w:cs="Arial"/>
          <w:sz w:val="24"/>
          <w:szCs w:val="24"/>
          <w:lang w:eastAsia="en-GB"/>
        </w:rPr>
        <w:t xml:space="preserve"> </w:t>
      </w:r>
      <w:r w:rsidRPr="00FF1E97">
        <w:rPr>
          <w:rFonts w:ascii="Arial" w:hAnsi="Arial" w:cs="Arial"/>
          <w:sz w:val="24"/>
          <w:szCs w:val="24"/>
          <w:lang w:eastAsia="en-GB"/>
        </w:rPr>
        <w:t>1997 (Schedule 2) such as County Councils and District Councils</w:t>
      </w:r>
      <w:r w:rsidR="009D07DD">
        <w:rPr>
          <w:rFonts w:ascii="Arial" w:hAnsi="Arial" w:cs="Arial"/>
          <w:sz w:val="24"/>
          <w:szCs w:val="24"/>
          <w:lang w:eastAsia="en-GB"/>
        </w:rPr>
        <w:t>,</w:t>
      </w:r>
      <w:r w:rsidRPr="00FF1E97">
        <w:rPr>
          <w:rFonts w:ascii="Arial" w:hAnsi="Arial" w:cs="Arial"/>
          <w:sz w:val="24"/>
          <w:szCs w:val="24"/>
          <w:lang w:eastAsia="en-GB"/>
        </w:rPr>
        <w:t xml:space="preserve"> etc</w:t>
      </w:r>
      <w:r w:rsidR="009D07DD">
        <w:rPr>
          <w:rFonts w:ascii="Arial" w:hAnsi="Arial" w:cs="Arial"/>
          <w:sz w:val="24"/>
          <w:szCs w:val="24"/>
          <w:lang w:eastAsia="en-GB"/>
        </w:rPr>
        <w:t>.</w:t>
      </w:r>
      <w:r w:rsidRPr="00FF1E97">
        <w:rPr>
          <w:rFonts w:ascii="Arial" w:hAnsi="Arial" w:cs="Arial"/>
          <w:sz w:val="24"/>
          <w:szCs w:val="24"/>
          <w:lang w:eastAsia="en-GB"/>
        </w:rPr>
        <w:t>, the employees of</w:t>
      </w:r>
      <w:r w:rsidR="00742F38">
        <w:rPr>
          <w:rFonts w:ascii="Arial" w:hAnsi="Arial" w:cs="Arial"/>
          <w:sz w:val="24"/>
          <w:szCs w:val="24"/>
          <w:lang w:eastAsia="en-GB"/>
        </w:rPr>
        <w:t xml:space="preserve"> </w:t>
      </w:r>
      <w:r w:rsidRPr="00FF1E97">
        <w:rPr>
          <w:rFonts w:ascii="Arial" w:hAnsi="Arial" w:cs="Arial"/>
          <w:sz w:val="24"/>
          <w:szCs w:val="24"/>
          <w:lang w:eastAsia="en-GB"/>
        </w:rPr>
        <w:t>which may join the Scheme as of right.</w:t>
      </w:r>
    </w:p>
    <w:p w:rsidR="00742F38" w:rsidRPr="00FF1E97" w:rsidRDefault="00742F38" w:rsidP="00FC3302">
      <w:pPr>
        <w:autoSpaceDE w:val="0"/>
        <w:autoSpaceDN w:val="0"/>
        <w:adjustRightInd w:val="0"/>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Securities</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Investment in company shares, fixed interest or index</w:t>
      </w:r>
      <w:r w:rsidRPr="00FF1E97">
        <w:rPr>
          <w:rFonts w:ascii="Cambria Math" w:hAnsi="Cambria Math" w:cs="Cambria Math"/>
          <w:sz w:val="24"/>
          <w:szCs w:val="24"/>
          <w:lang w:eastAsia="en-GB"/>
        </w:rPr>
        <w:t>‐</w:t>
      </w:r>
      <w:r w:rsidRPr="00FF1E97">
        <w:rPr>
          <w:rFonts w:ascii="Arial" w:hAnsi="Arial" w:cs="Arial"/>
          <w:sz w:val="24"/>
          <w:szCs w:val="24"/>
          <w:lang w:eastAsia="en-GB"/>
        </w:rPr>
        <w:t>linked stocks.</w:t>
      </w:r>
    </w:p>
    <w:p w:rsidR="00742F38" w:rsidRDefault="00742F38" w:rsidP="00FC3302">
      <w:pPr>
        <w:autoSpaceDE w:val="0"/>
        <w:autoSpaceDN w:val="0"/>
        <w:adjustRightInd w:val="0"/>
        <w:rPr>
          <w:rFonts w:ascii="Arial" w:hAnsi="Arial" w:cs="Arial"/>
          <w:sz w:val="24"/>
          <w:szCs w:val="24"/>
          <w:lang w:eastAsia="en-GB"/>
        </w:rPr>
      </w:pPr>
    </w:p>
    <w:p w:rsidR="008B1167" w:rsidRPr="008B1167" w:rsidRDefault="008B1167" w:rsidP="00FC3302">
      <w:pPr>
        <w:autoSpaceDE w:val="0"/>
        <w:autoSpaceDN w:val="0"/>
        <w:adjustRightInd w:val="0"/>
        <w:rPr>
          <w:rFonts w:ascii="Arial" w:hAnsi="Arial" w:cs="Arial"/>
          <w:b/>
          <w:sz w:val="24"/>
          <w:szCs w:val="24"/>
          <w:lang w:eastAsia="en-GB"/>
        </w:rPr>
      </w:pPr>
      <w:r w:rsidRPr="008B1167">
        <w:rPr>
          <w:rFonts w:ascii="Arial" w:hAnsi="Arial" w:cs="Arial"/>
          <w:b/>
          <w:sz w:val="24"/>
          <w:szCs w:val="24"/>
          <w:lang w:eastAsia="en-GB"/>
        </w:rPr>
        <w:t>Solvency</w:t>
      </w:r>
    </w:p>
    <w:p w:rsidR="008B1167" w:rsidRDefault="008B1167" w:rsidP="00FC3302">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When the </w:t>
      </w:r>
      <w:r w:rsidR="00094E52">
        <w:rPr>
          <w:rFonts w:ascii="Arial" w:hAnsi="Arial" w:cs="Arial"/>
          <w:sz w:val="24"/>
          <w:szCs w:val="24"/>
          <w:lang w:eastAsia="en-GB"/>
        </w:rPr>
        <w:t>Fund’s assets are greater than or equal to 100% of the Funding Target.</w:t>
      </w:r>
    </w:p>
    <w:p w:rsidR="008B1167" w:rsidRPr="00FF1E97" w:rsidRDefault="008B1167" w:rsidP="00FC3302">
      <w:pPr>
        <w:autoSpaceDE w:val="0"/>
        <w:autoSpaceDN w:val="0"/>
        <w:adjustRightInd w:val="0"/>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Statement of Investment Principles</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Requirement, arising from the Pensions Act 1995, that all occupational pension plan</w:t>
      </w:r>
      <w:r w:rsidR="000A2441">
        <w:rPr>
          <w:rFonts w:ascii="Arial" w:hAnsi="Arial" w:cs="Arial"/>
          <w:sz w:val="24"/>
          <w:szCs w:val="24"/>
          <w:lang w:eastAsia="en-GB"/>
        </w:rPr>
        <w:t xml:space="preserve"> </w:t>
      </w:r>
      <w:r w:rsidRPr="00FF1E97">
        <w:rPr>
          <w:rFonts w:ascii="Arial" w:hAnsi="Arial" w:cs="Arial"/>
          <w:sz w:val="24"/>
          <w:szCs w:val="24"/>
          <w:lang w:eastAsia="en-GB"/>
        </w:rPr>
        <w:t>trustees must prepare and maintain a written Statement of Investment Principles outlining</w:t>
      </w:r>
      <w:r w:rsidR="000A2441">
        <w:rPr>
          <w:rFonts w:ascii="Arial" w:hAnsi="Arial" w:cs="Arial"/>
          <w:sz w:val="24"/>
          <w:szCs w:val="24"/>
          <w:lang w:eastAsia="en-GB"/>
        </w:rPr>
        <w:t xml:space="preserve"> </w:t>
      </w:r>
      <w:r w:rsidRPr="00FF1E97">
        <w:rPr>
          <w:rFonts w:ascii="Arial" w:hAnsi="Arial" w:cs="Arial"/>
          <w:sz w:val="24"/>
          <w:szCs w:val="24"/>
          <w:lang w:eastAsia="en-GB"/>
        </w:rPr>
        <w:t>policy on various investment matters (e.g.</w:t>
      </w:r>
      <w:r w:rsidR="000A2441">
        <w:rPr>
          <w:rFonts w:ascii="Arial" w:hAnsi="Arial" w:cs="Arial"/>
          <w:sz w:val="24"/>
          <w:szCs w:val="24"/>
          <w:lang w:eastAsia="en-GB"/>
        </w:rPr>
        <w:t>,</w:t>
      </w:r>
      <w:r w:rsidRPr="00FF1E97">
        <w:rPr>
          <w:rFonts w:ascii="Arial" w:hAnsi="Arial" w:cs="Arial"/>
          <w:sz w:val="24"/>
          <w:szCs w:val="24"/>
          <w:lang w:eastAsia="en-GB"/>
        </w:rPr>
        <w:t xml:space="preserve"> risk, balance between real and monetary assets,</w:t>
      </w:r>
      <w:r w:rsidR="000A2441">
        <w:rPr>
          <w:rFonts w:ascii="Arial" w:hAnsi="Arial" w:cs="Arial"/>
          <w:sz w:val="24"/>
          <w:szCs w:val="24"/>
          <w:lang w:eastAsia="en-GB"/>
        </w:rPr>
        <w:t xml:space="preserve"> </w:t>
      </w:r>
      <w:r w:rsidRPr="00FF1E97">
        <w:rPr>
          <w:rFonts w:ascii="Arial" w:hAnsi="Arial" w:cs="Arial"/>
          <w:sz w:val="24"/>
          <w:szCs w:val="24"/>
          <w:lang w:eastAsia="en-GB"/>
        </w:rPr>
        <w:t>realisability of assets</w:t>
      </w:r>
      <w:r w:rsidR="008B1167">
        <w:rPr>
          <w:rFonts w:ascii="Arial" w:hAnsi="Arial" w:cs="Arial"/>
          <w:sz w:val="24"/>
          <w:szCs w:val="24"/>
          <w:lang w:eastAsia="en-GB"/>
        </w:rPr>
        <w:t>,</w:t>
      </w:r>
      <w:r w:rsidRPr="00FF1E97">
        <w:rPr>
          <w:rFonts w:ascii="Arial" w:hAnsi="Arial" w:cs="Arial"/>
          <w:sz w:val="24"/>
          <w:szCs w:val="24"/>
          <w:lang w:eastAsia="en-GB"/>
        </w:rPr>
        <w:t xml:space="preserve"> etc</w:t>
      </w:r>
      <w:r w:rsidR="008B1167">
        <w:rPr>
          <w:rFonts w:ascii="Arial" w:hAnsi="Arial" w:cs="Arial"/>
          <w:sz w:val="24"/>
          <w:szCs w:val="24"/>
          <w:lang w:eastAsia="en-GB"/>
        </w:rPr>
        <w:t>.</w:t>
      </w:r>
      <w:r w:rsidRPr="00FF1E97">
        <w:rPr>
          <w:rFonts w:ascii="Arial" w:hAnsi="Arial" w:cs="Arial"/>
          <w:sz w:val="24"/>
          <w:szCs w:val="24"/>
          <w:lang w:eastAsia="en-GB"/>
        </w:rPr>
        <w:t>).</w:t>
      </w:r>
    </w:p>
    <w:p w:rsidR="00361624" w:rsidRPr="00FF1E97" w:rsidRDefault="00CE307F"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lastRenderedPageBreak/>
        <w:t>Transfer Value</w:t>
      </w:r>
    </w:p>
    <w:p w:rsidR="00361624" w:rsidRPr="00FF1E97"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Capital value transferred to or from a scheme in respect of a contributor’s previous periods</w:t>
      </w:r>
      <w:r w:rsidR="000A2441">
        <w:rPr>
          <w:rFonts w:ascii="Arial" w:hAnsi="Arial" w:cs="Arial"/>
          <w:sz w:val="24"/>
          <w:szCs w:val="24"/>
          <w:lang w:eastAsia="en-GB"/>
        </w:rPr>
        <w:t xml:space="preserve"> </w:t>
      </w:r>
      <w:r w:rsidRPr="00FF1E97">
        <w:rPr>
          <w:rFonts w:ascii="Arial" w:hAnsi="Arial" w:cs="Arial"/>
          <w:sz w:val="24"/>
          <w:szCs w:val="24"/>
          <w:lang w:eastAsia="en-GB"/>
        </w:rPr>
        <w:t>of pensionable employment.</w:t>
      </w:r>
    </w:p>
    <w:p w:rsidR="00361624" w:rsidRPr="00FF1E97" w:rsidRDefault="00361624" w:rsidP="00FC3302">
      <w:pPr>
        <w:tabs>
          <w:tab w:val="left" w:pos="-1440"/>
        </w:tabs>
        <w:rPr>
          <w:rFonts w:ascii="Arial" w:hAnsi="Arial" w:cs="Arial"/>
          <w:sz w:val="24"/>
          <w:szCs w:val="24"/>
          <w:lang w:eastAsia="en-GB"/>
        </w:rPr>
      </w:pPr>
    </w:p>
    <w:p w:rsidR="00361624" w:rsidRPr="00FF1E97" w:rsidRDefault="00CE307F" w:rsidP="00FC3302">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Unit Trust</w:t>
      </w:r>
    </w:p>
    <w:p w:rsidR="00361624" w:rsidRDefault="00361624" w:rsidP="00FC3302">
      <w:pPr>
        <w:autoSpaceDE w:val="0"/>
        <w:autoSpaceDN w:val="0"/>
        <w:adjustRightInd w:val="0"/>
        <w:rPr>
          <w:rFonts w:ascii="Arial" w:hAnsi="Arial" w:cs="Arial"/>
          <w:sz w:val="24"/>
          <w:szCs w:val="24"/>
          <w:lang w:eastAsia="en-GB"/>
        </w:rPr>
      </w:pPr>
      <w:r w:rsidRPr="00FF1E97">
        <w:rPr>
          <w:rFonts w:ascii="Arial" w:hAnsi="Arial" w:cs="Arial"/>
          <w:sz w:val="24"/>
          <w:szCs w:val="24"/>
          <w:lang w:eastAsia="en-GB"/>
        </w:rPr>
        <w:t>A method which allows investors money to be pooled and used by fund managers to buy a</w:t>
      </w:r>
      <w:r w:rsidR="000A2441">
        <w:rPr>
          <w:rFonts w:ascii="Arial" w:hAnsi="Arial" w:cs="Arial"/>
          <w:sz w:val="24"/>
          <w:szCs w:val="24"/>
          <w:lang w:eastAsia="en-GB"/>
        </w:rPr>
        <w:t xml:space="preserve"> </w:t>
      </w:r>
      <w:r w:rsidRPr="00FF1E97">
        <w:rPr>
          <w:rFonts w:ascii="Arial" w:hAnsi="Arial" w:cs="Arial"/>
          <w:sz w:val="24"/>
          <w:szCs w:val="24"/>
          <w:lang w:eastAsia="en-GB"/>
        </w:rPr>
        <w:t>variety of securities.</w:t>
      </w:r>
    </w:p>
    <w:p w:rsidR="000A2441" w:rsidRPr="00FF1E97" w:rsidRDefault="000A2441" w:rsidP="00FC3302">
      <w:pPr>
        <w:autoSpaceDE w:val="0"/>
        <w:autoSpaceDN w:val="0"/>
        <w:adjustRightInd w:val="0"/>
        <w:rPr>
          <w:rFonts w:ascii="Arial" w:hAnsi="Arial" w:cs="Arial"/>
          <w:sz w:val="24"/>
          <w:szCs w:val="24"/>
          <w:lang w:eastAsia="en-GB"/>
        </w:rPr>
      </w:pPr>
    </w:p>
    <w:p w:rsidR="00361624" w:rsidRPr="00FF1E97" w:rsidRDefault="00361624" w:rsidP="00FC3302">
      <w:pPr>
        <w:autoSpaceDE w:val="0"/>
        <w:autoSpaceDN w:val="0"/>
        <w:adjustRightInd w:val="0"/>
        <w:rPr>
          <w:rFonts w:ascii="Arial" w:hAnsi="Arial" w:cs="Arial"/>
          <w:b/>
          <w:bCs/>
          <w:sz w:val="24"/>
          <w:szCs w:val="24"/>
          <w:lang w:eastAsia="en-GB"/>
        </w:rPr>
      </w:pPr>
      <w:r w:rsidRPr="00FF1E97">
        <w:rPr>
          <w:rFonts w:ascii="Arial" w:hAnsi="Arial" w:cs="Arial"/>
          <w:b/>
          <w:bCs/>
          <w:sz w:val="24"/>
          <w:szCs w:val="24"/>
          <w:lang w:eastAsia="en-GB"/>
        </w:rPr>
        <w:t>Yield Curve</w:t>
      </w:r>
    </w:p>
    <w:p w:rsidR="003E0646" w:rsidRPr="00FF1E97" w:rsidRDefault="00361624" w:rsidP="00FC3302">
      <w:pPr>
        <w:autoSpaceDE w:val="0"/>
        <w:autoSpaceDN w:val="0"/>
        <w:adjustRightInd w:val="0"/>
        <w:rPr>
          <w:rFonts w:ascii="Arial" w:hAnsi="Arial" w:cs="Arial"/>
          <w:sz w:val="24"/>
          <w:szCs w:val="24"/>
        </w:rPr>
      </w:pPr>
      <w:r w:rsidRPr="00FF1E97">
        <w:rPr>
          <w:rFonts w:ascii="Arial" w:hAnsi="Arial" w:cs="Arial"/>
          <w:sz w:val="24"/>
          <w:szCs w:val="24"/>
          <w:lang w:eastAsia="en-GB"/>
        </w:rPr>
        <w:t>A graphic line chart that shows interest rates at a specific point for all securities having</w:t>
      </w:r>
      <w:r w:rsidR="000A2441">
        <w:rPr>
          <w:rFonts w:ascii="Arial" w:hAnsi="Arial" w:cs="Arial"/>
          <w:sz w:val="24"/>
          <w:szCs w:val="24"/>
          <w:lang w:eastAsia="en-GB"/>
        </w:rPr>
        <w:t xml:space="preserve"> </w:t>
      </w:r>
      <w:r w:rsidRPr="00FF1E97">
        <w:rPr>
          <w:rFonts w:ascii="Arial" w:hAnsi="Arial" w:cs="Arial"/>
          <w:sz w:val="24"/>
          <w:szCs w:val="24"/>
          <w:lang w:eastAsia="en-GB"/>
        </w:rPr>
        <w:t>equal risk, but different maturity dates. For bonds, it typically compares the two</w:t>
      </w:r>
      <w:r w:rsidRPr="00FF1E97">
        <w:rPr>
          <w:rFonts w:ascii="Cambria Math" w:hAnsi="Cambria Math" w:cs="Cambria Math"/>
          <w:sz w:val="24"/>
          <w:szCs w:val="24"/>
          <w:lang w:eastAsia="en-GB"/>
        </w:rPr>
        <w:t>‐</w:t>
      </w:r>
      <w:r w:rsidRPr="00FF1E97">
        <w:rPr>
          <w:rFonts w:ascii="Arial" w:hAnsi="Arial" w:cs="Arial"/>
          <w:sz w:val="24"/>
          <w:szCs w:val="24"/>
          <w:lang w:eastAsia="en-GB"/>
        </w:rPr>
        <w:t xml:space="preserve"> or five</w:t>
      </w:r>
      <w:r w:rsidR="00464D1B">
        <w:rPr>
          <w:rFonts w:ascii="Arial" w:hAnsi="Arial" w:cs="Arial"/>
          <w:sz w:val="24"/>
          <w:szCs w:val="24"/>
          <w:lang w:eastAsia="en-GB"/>
        </w:rPr>
        <w:t>-</w:t>
      </w:r>
      <w:r w:rsidRPr="00FF1E97">
        <w:rPr>
          <w:rFonts w:ascii="Arial" w:hAnsi="Arial" w:cs="Arial"/>
          <w:sz w:val="24"/>
          <w:szCs w:val="24"/>
          <w:lang w:eastAsia="en-GB"/>
        </w:rPr>
        <w:t>year</w:t>
      </w:r>
      <w:r w:rsidR="00464D1B">
        <w:rPr>
          <w:rFonts w:ascii="Arial" w:hAnsi="Arial" w:cs="Arial"/>
          <w:sz w:val="24"/>
          <w:szCs w:val="24"/>
          <w:lang w:eastAsia="en-GB"/>
        </w:rPr>
        <w:t xml:space="preserve"> </w:t>
      </w:r>
      <w:r w:rsidRPr="00FF1E97">
        <w:rPr>
          <w:rFonts w:ascii="Arial" w:hAnsi="Arial" w:cs="Arial"/>
          <w:sz w:val="24"/>
          <w:szCs w:val="24"/>
          <w:lang w:eastAsia="en-GB"/>
        </w:rPr>
        <w:t>Treasury with the 30</w:t>
      </w:r>
      <w:r w:rsidRPr="00FF1E97">
        <w:rPr>
          <w:rFonts w:ascii="Cambria Math" w:hAnsi="Cambria Math" w:cs="Cambria Math"/>
          <w:sz w:val="24"/>
          <w:szCs w:val="24"/>
          <w:lang w:eastAsia="en-GB"/>
        </w:rPr>
        <w:t>‐</w:t>
      </w:r>
      <w:r w:rsidRPr="00FF1E97">
        <w:rPr>
          <w:rFonts w:ascii="Arial" w:hAnsi="Arial" w:cs="Arial"/>
          <w:sz w:val="24"/>
          <w:szCs w:val="24"/>
          <w:lang w:eastAsia="en-GB"/>
        </w:rPr>
        <w:t>year Treasury.</w:t>
      </w:r>
    </w:p>
    <w:sectPr w:rsidR="003E0646" w:rsidRPr="00FF1E97" w:rsidSect="00CC6ED4">
      <w:headerReference w:type="default" r:id="rId11"/>
      <w:footerReference w:type="even" r:id="rId12"/>
      <w:footerReference w:type="default" r:id="rId13"/>
      <w:pgSz w:w="11906" w:h="16838" w:code="9"/>
      <w:pgMar w:top="1440" w:right="1985" w:bottom="709" w:left="1985"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21" w:rsidRDefault="00E12721">
      <w:r>
        <w:separator/>
      </w:r>
    </w:p>
  </w:endnote>
  <w:endnote w:type="continuationSeparator" w:id="0">
    <w:p w:rsidR="00E12721" w:rsidRDefault="00E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1" w:rsidRDefault="00E12721" w:rsidP="00883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721" w:rsidRDefault="00E1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07261"/>
      <w:docPartObj>
        <w:docPartGallery w:val="Page Numbers (Bottom of Page)"/>
        <w:docPartUnique/>
      </w:docPartObj>
    </w:sdtPr>
    <w:sdtEndPr>
      <w:rPr>
        <w:rFonts w:ascii="Arial" w:hAnsi="Arial" w:cs="Arial"/>
        <w:noProof/>
        <w:sz w:val="24"/>
        <w:szCs w:val="24"/>
      </w:rPr>
    </w:sdtEndPr>
    <w:sdtContent>
      <w:p w:rsidR="00E12721" w:rsidRPr="00921D72" w:rsidRDefault="00E12721">
        <w:pPr>
          <w:pStyle w:val="Footer"/>
          <w:jc w:val="center"/>
          <w:rPr>
            <w:rFonts w:ascii="Arial" w:hAnsi="Arial" w:cs="Arial"/>
            <w:sz w:val="24"/>
            <w:szCs w:val="24"/>
          </w:rPr>
        </w:pPr>
        <w:r w:rsidRPr="00921D72">
          <w:rPr>
            <w:rFonts w:ascii="Arial" w:hAnsi="Arial" w:cs="Arial"/>
            <w:sz w:val="24"/>
            <w:szCs w:val="24"/>
          </w:rPr>
          <w:fldChar w:fldCharType="begin"/>
        </w:r>
        <w:r w:rsidRPr="00921D72">
          <w:rPr>
            <w:rFonts w:ascii="Arial" w:hAnsi="Arial" w:cs="Arial"/>
            <w:sz w:val="24"/>
            <w:szCs w:val="24"/>
          </w:rPr>
          <w:instrText xml:space="preserve"> PAGE   \* MERGEFORMAT </w:instrText>
        </w:r>
        <w:r w:rsidRPr="00921D72">
          <w:rPr>
            <w:rFonts w:ascii="Arial" w:hAnsi="Arial" w:cs="Arial"/>
            <w:sz w:val="24"/>
            <w:szCs w:val="24"/>
          </w:rPr>
          <w:fldChar w:fldCharType="separate"/>
        </w:r>
        <w:r w:rsidR="00D726B4">
          <w:rPr>
            <w:rFonts w:ascii="Arial" w:hAnsi="Arial" w:cs="Arial"/>
            <w:noProof/>
            <w:sz w:val="24"/>
            <w:szCs w:val="24"/>
          </w:rPr>
          <w:t>2</w:t>
        </w:r>
        <w:r w:rsidRPr="00921D72">
          <w:rPr>
            <w:rFonts w:ascii="Arial" w:hAnsi="Arial" w:cs="Arial"/>
            <w:noProof/>
            <w:sz w:val="24"/>
            <w:szCs w:val="24"/>
          </w:rPr>
          <w:fldChar w:fldCharType="end"/>
        </w:r>
      </w:p>
    </w:sdtContent>
  </w:sdt>
  <w:p w:rsidR="00E12721" w:rsidRDefault="00E1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21" w:rsidRDefault="00E12721">
      <w:r>
        <w:separator/>
      </w:r>
    </w:p>
  </w:footnote>
  <w:footnote w:type="continuationSeparator" w:id="0">
    <w:p w:rsidR="00E12721" w:rsidRDefault="00E1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1" w:rsidRDefault="00E12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289"/>
    <w:multiLevelType w:val="singleLevel"/>
    <w:tmpl w:val="B17C5AF0"/>
    <w:lvl w:ilvl="0">
      <w:start w:val="1"/>
      <w:numFmt w:val="lowerLetter"/>
      <w:lvlText w:val="%1)"/>
      <w:lvlJc w:val="left"/>
      <w:pPr>
        <w:tabs>
          <w:tab w:val="num" w:pos="1296"/>
        </w:tabs>
        <w:ind w:left="1296" w:hanging="576"/>
      </w:pPr>
      <w:rPr>
        <w:rFonts w:hint="default"/>
      </w:rPr>
    </w:lvl>
  </w:abstractNum>
  <w:abstractNum w:abstractNumId="1">
    <w:nsid w:val="077E2269"/>
    <w:multiLevelType w:val="hybridMultilevel"/>
    <w:tmpl w:val="F5125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0FCA5CAD"/>
    <w:multiLevelType w:val="hybridMultilevel"/>
    <w:tmpl w:val="337A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A617E"/>
    <w:multiLevelType w:val="hybridMultilevel"/>
    <w:tmpl w:val="E924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F3DB5"/>
    <w:multiLevelType w:val="hybridMultilevel"/>
    <w:tmpl w:val="FD9E30F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imSu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imSun"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imSun"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8AB0CF9"/>
    <w:multiLevelType w:val="singleLevel"/>
    <w:tmpl w:val="60589C8C"/>
    <w:lvl w:ilvl="0">
      <w:start w:val="1"/>
      <w:numFmt w:val="lowerLetter"/>
      <w:lvlText w:val="%1)"/>
      <w:lvlJc w:val="left"/>
      <w:pPr>
        <w:tabs>
          <w:tab w:val="num" w:pos="1440"/>
        </w:tabs>
        <w:ind w:left="1440" w:hanging="576"/>
      </w:pPr>
      <w:rPr>
        <w:rFonts w:hint="default"/>
      </w:rPr>
    </w:lvl>
  </w:abstractNum>
  <w:abstractNum w:abstractNumId="7">
    <w:nsid w:val="1F0254A2"/>
    <w:multiLevelType w:val="singleLevel"/>
    <w:tmpl w:val="9ED601B0"/>
    <w:lvl w:ilvl="0">
      <w:start w:val="1"/>
      <w:numFmt w:val="lowerLetter"/>
      <w:lvlText w:val="%1)"/>
      <w:lvlJc w:val="left"/>
      <w:pPr>
        <w:tabs>
          <w:tab w:val="num" w:pos="1296"/>
        </w:tabs>
        <w:ind w:left="1296" w:hanging="576"/>
      </w:pPr>
      <w:rPr>
        <w:rFonts w:hint="default"/>
      </w:rPr>
    </w:lvl>
  </w:abstractNum>
  <w:abstractNum w:abstractNumId="8">
    <w:nsid w:val="1FA52FBE"/>
    <w:multiLevelType w:val="hybridMultilevel"/>
    <w:tmpl w:val="B65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F5820"/>
    <w:multiLevelType w:val="hybridMultilevel"/>
    <w:tmpl w:val="32707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B747C3"/>
    <w:multiLevelType w:val="hybridMultilevel"/>
    <w:tmpl w:val="6B980434"/>
    <w:lvl w:ilvl="0" w:tplc="ADAE839C">
      <w:start w:val="1"/>
      <w:numFmt w:val="bullet"/>
      <w:lvlText w:val=""/>
      <w:lvlJc w:val="left"/>
      <w:pPr>
        <w:tabs>
          <w:tab w:val="num" w:pos="1440"/>
        </w:tabs>
        <w:ind w:left="1008" w:firstLine="72"/>
      </w:pPr>
      <w:rPr>
        <w:rFonts w:ascii="Symbol" w:hAnsi="Symbol" w:hint="default"/>
      </w:rPr>
    </w:lvl>
    <w:lvl w:ilvl="1" w:tplc="3988994E" w:tentative="1">
      <w:start w:val="1"/>
      <w:numFmt w:val="bullet"/>
      <w:lvlText w:val="o"/>
      <w:lvlJc w:val="left"/>
      <w:pPr>
        <w:tabs>
          <w:tab w:val="num" w:pos="1440"/>
        </w:tabs>
        <w:ind w:left="1440" w:hanging="360"/>
      </w:pPr>
      <w:rPr>
        <w:rFonts w:ascii="Courier New" w:hAnsi="Courier New" w:hint="default"/>
      </w:rPr>
    </w:lvl>
    <w:lvl w:ilvl="2" w:tplc="ED7E91C6" w:tentative="1">
      <w:start w:val="1"/>
      <w:numFmt w:val="bullet"/>
      <w:lvlText w:val=""/>
      <w:lvlJc w:val="left"/>
      <w:pPr>
        <w:tabs>
          <w:tab w:val="num" w:pos="2160"/>
        </w:tabs>
        <w:ind w:left="2160" w:hanging="360"/>
      </w:pPr>
      <w:rPr>
        <w:rFonts w:ascii="Wingdings" w:hAnsi="Wingdings" w:hint="default"/>
      </w:rPr>
    </w:lvl>
    <w:lvl w:ilvl="3" w:tplc="DBEEB1CA" w:tentative="1">
      <w:start w:val="1"/>
      <w:numFmt w:val="bullet"/>
      <w:lvlText w:val=""/>
      <w:lvlJc w:val="left"/>
      <w:pPr>
        <w:tabs>
          <w:tab w:val="num" w:pos="2880"/>
        </w:tabs>
        <w:ind w:left="2880" w:hanging="360"/>
      </w:pPr>
      <w:rPr>
        <w:rFonts w:ascii="Symbol" w:hAnsi="Symbol" w:hint="default"/>
      </w:rPr>
    </w:lvl>
    <w:lvl w:ilvl="4" w:tplc="20CA6768" w:tentative="1">
      <w:start w:val="1"/>
      <w:numFmt w:val="bullet"/>
      <w:lvlText w:val="o"/>
      <w:lvlJc w:val="left"/>
      <w:pPr>
        <w:tabs>
          <w:tab w:val="num" w:pos="3600"/>
        </w:tabs>
        <w:ind w:left="3600" w:hanging="360"/>
      </w:pPr>
      <w:rPr>
        <w:rFonts w:ascii="Courier New" w:hAnsi="Courier New" w:hint="default"/>
      </w:rPr>
    </w:lvl>
    <w:lvl w:ilvl="5" w:tplc="5BB2267C" w:tentative="1">
      <w:start w:val="1"/>
      <w:numFmt w:val="bullet"/>
      <w:lvlText w:val=""/>
      <w:lvlJc w:val="left"/>
      <w:pPr>
        <w:tabs>
          <w:tab w:val="num" w:pos="4320"/>
        </w:tabs>
        <w:ind w:left="4320" w:hanging="360"/>
      </w:pPr>
      <w:rPr>
        <w:rFonts w:ascii="Wingdings" w:hAnsi="Wingdings" w:hint="default"/>
      </w:rPr>
    </w:lvl>
    <w:lvl w:ilvl="6" w:tplc="D584B478" w:tentative="1">
      <w:start w:val="1"/>
      <w:numFmt w:val="bullet"/>
      <w:lvlText w:val=""/>
      <w:lvlJc w:val="left"/>
      <w:pPr>
        <w:tabs>
          <w:tab w:val="num" w:pos="5040"/>
        </w:tabs>
        <w:ind w:left="5040" w:hanging="360"/>
      </w:pPr>
      <w:rPr>
        <w:rFonts w:ascii="Symbol" w:hAnsi="Symbol" w:hint="default"/>
      </w:rPr>
    </w:lvl>
    <w:lvl w:ilvl="7" w:tplc="DCB23518" w:tentative="1">
      <w:start w:val="1"/>
      <w:numFmt w:val="bullet"/>
      <w:lvlText w:val="o"/>
      <w:lvlJc w:val="left"/>
      <w:pPr>
        <w:tabs>
          <w:tab w:val="num" w:pos="5760"/>
        </w:tabs>
        <w:ind w:left="5760" w:hanging="360"/>
      </w:pPr>
      <w:rPr>
        <w:rFonts w:ascii="Courier New" w:hAnsi="Courier New" w:hint="default"/>
      </w:rPr>
    </w:lvl>
    <w:lvl w:ilvl="8" w:tplc="205A7B66" w:tentative="1">
      <w:start w:val="1"/>
      <w:numFmt w:val="bullet"/>
      <w:lvlText w:val=""/>
      <w:lvlJc w:val="left"/>
      <w:pPr>
        <w:tabs>
          <w:tab w:val="num" w:pos="6480"/>
        </w:tabs>
        <w:ind w:left="6480" w:hanging="360"/>
      </w:pPr>
      <w:rPr>
        <w:rFonts w:ascii="Wingdings" w:hAnsi="Wingdings" w:hint="default"/>
      </w:rPr>
    </w:lvl>
  </w:abstractNum>
  <w:abstractNum w:abstractNumId="11">
    <w:nsid w:val="22F96AFF"/>
    <w:multiLevelType w:val="multilevel"/>
    <w:tmpl w:val="1DEC5BAA"/>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start w:val="1"/>
      <w:numFmt w:val="bullet"/>
      <w:lvlRestart w:val="0"/>
      <w:lvlText w:val=""/>
      <w:lvlJc w:val="left"/>
      <w:pPr>
        <w:tabs>
          <w:tab w:val="num" w:pos="540"/>
        </w:tabs>
        <w:ind w:left="540" w:hanging="300"/>
      </w:pPr>
      <w:rPr>
        <w:rFonts w:ascii="Symbol" w:hAnsi="Symbol" w:hint="default"/>
        <w:b w:val="0"/>
        <w:i w:val="0"/>
        <w:color w:val="000000"/>
        <w:sz w:val="16"/>
        <w:szCs w:val="16"/>
      </w:rPr>
    </w:lvl>
    <w:lvl w:ilvl="2">
      <w:start w:val="1"/>
      <w:numFmt w:val="bullet"/>
      <w:lvlRestart w:val="0"/>
      <w:lvlText w:val="–"/>
      <w:lvlJc w:val="left"/>
      <w:pPr>
        <w:tabs>
          <w:tab w:val="num" w:pos="740"/>
        </w:tabs>
        <w:ind w:left="740" w:hanging="200"/>
      </w:pPr>
      <w:rPr>
        <w:rFonts w:ascii="Times" w:hAnsi="Times" w:cs="Times" w:hint="default"/>
        <w:b w:val="0"/>
        <w:i w:val="0"/>
        <w:color w:val="000000"/>
        <w:sz w:val="2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CC25719"/>
    <w:multiLevelType w:val="singleLevel"/>
    <w:tmpl w:val="5278222A"/>
    <w:lvl w:ilvl="0">
      <w:start w:val="1"/>
      <w:numFmt w:val="lowerLetter"/>
      <w:lvlText w:val="%1)"/>
      <w:lvlJc w:val="left"/>
      <w:pPr>
        <w:tabs>
          <w:tab w:val="num" w:pos="1296"/>
        </w:tabs>
        <w:ind w:left="1296" w:hanging="576"/>
      </w:pPr>
      <w:rPr>
        <w:rFonts w:ascii="Arial" w:eastAsia="Times New Roman" w:hAnsi="Arial" w:cs="Arial"/>
      </w:rPr>
    </w:lvl>
  </w:abstractNum>
  <w:abstractNum w:abstractNumId="13">
    <w:nsid w:val="2FFD440B"/>
    <w:multiLevelType w:val="hybridMultilevel"/>
    <w:tmpl w:val="1BF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C7BD8"/>
    <w:multiLevelType w:val="hybridMultilevel"/>
    <w:tmpl w:val="BCE63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7C73F4"/>
    <w:multiLevelType w:val="singleLevel"/>
    <w:tmpl w:val="689214BC"/>
    <w:lvl w:ilvl="0">
      <w:start w:val="1"/>
      <w:numFmt w:val="lowerLetter"/>
      <w:lvlText w:val="%1)"/>
      <w:lvlJc w:val="left"/>
      <w:pPr>
        <w:tabs>
          <w:tab w:val="num" w:pos="1296"/>
        </w:tabs>
        <w:ind w:left="1296" w:hanging="576"/>
      </w:pPr>
      <w:rPr>
        <w:rFonts w:hint="default"/>
      </w:rPr>
    </w:lvl>
  </w:abstractNum>
  <w:abstractNum w:abstractNumId="16">
    <w:nsid w:val="36BC7658"/>
    <w:multiLevelType w:val="hybridMultilevel"/>
    <w:tmpl w:val="9EB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62190"/>
    <w:multiLevelType w:val="hybridMultilevel"/>
    <w:tmpl w:val="A002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906DF"/>
    <w:multiLevelType w:val="singleLevel"/>
    <w:tmpl w:val="CD549D5E"/>
    <w:lvl w:ilvl="0">
      <w:start w:val="1"/>
      <w:numFmt w:val="lowerLetter"/>
      <w:lvlText w:val="%1)"/>
      <w:lvlJc w:val="left"/>
      <w:pPr>
        <w:tabs>
          <w:tab w:val="num" w:pos="1296"/>
        </w:tabs>
        <w:ind w:left="1296" w:hanging="576"/>
      </w:pPr>
      <w:rPr>
        <w:rFonts w:hint="default"/>
      </w:rPr>
    </w:lvl>
  </w:abstractNum>
  <w:abstractNum w:abstractNumId="19">
    <w:nsid w:val="424B003F"/>
    <w:multiLevelType w:val="hybridMultilevel"/>
    <w:tmpl w:val="BC2676A2"/>
    <w:lvl w:ilvl="0" w:tplc="17EC1F0E">
      <w:start w:val="3"/>
      <w:numFmt w:val="decimal"/>
      <w:lvlText w:val="%1"/>
      <w:lvlJc w:val="left"/>
      <w:pPr>
        <w:tabs>
          <w:tab w:val="num" w:pos="720"/>
        </w:tabs>
        <w:ind w:left="720" w:hanging="360"/>
      </w:pPr>
      <w:rPr>
        <w:rFonts w:hint="default"/>
      </w:rPr>
    </w:lvl>
    <w:lvl w:ilvl="1" w:tplc="645A373C">
      <w:start w:val="1"/>
      <w:numFmt w:val="lowerLetter"/>
      <w:lvlText w:val="%2)"/>
      <w:lvlJc w:val="left"/>
      <w:pPr>
        <w:tabs>
          <w:tab w:val="num" w:pos="1440"/>
        </w:tabs>
        <w:ind w:left="1440" w:hanging="360"/>
      </w:pPr>
      <w:rPr>
        <w:rFonts w:hint="default"/>
      </w:rPr>
    </w:lvl>
    <w:lvl w:ilvl="2" w:tplc="A7807C24">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74E3B1F"/>
    <w:multiLevelType w:val="hybridMultilevel"/>
    <w:tmpl w:val="5090358C"/>
    <w:lvl w:ilvl="0" w:tplc="1E18F00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BD3FC5"/>
    <w:multiLevelType w:val="hybridMultilevel"/>
    <w:tmpl w:val="360E3968"/>
    <w:lvl w:ilvl="0" w:tplc="08090015">
      <w:start w:val="1"/>
      <w:numFmt w:val="upperLetter"/>
      <w:lvlText w:val="%1."/>
      <w:lvlJc w:val="left"/>
      <w:pPr>
        <w:tabs>
          <w:tab w:val="num" w:pos="720"/>
        </w:tabs>
        <w:ind w:left="720" w:hanging="360"/>
      </w:pPr>
    </w:lvl>
    <w:lvl w:ilvl="1" w:tplc="C48810F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D96A7D"/>
    <w:multiLevelType w:val="hybridMultilevel"/>
    <w:tmpl w:val="0B284614"/>
    <w:lvl w:ilvl="0" w:tplc="6F548102">
      <w:start w:val="1"/>
      <w:numFmt w:val="bullet"/>
      <w:lvlText w:val=""/>
      <w:lvlJc w:val="left"/>
      <w:pPr>
        <w:tabs>
          <w:tab w:val="num" w:pos="1440"/>
        </w:tabs>
        <w:ind w:left="1008" w:firstLine="72"/>
      </w:pPr>
      <w:rPr>
        <w:rFonts w:ascii="Symbol" w:hAnsi="Symbol" w:hint="default"/>
      </w:rPr>
    </w:lvl>
    <w:lvl w:ilvl="1" w:tplc="299804C8" w:tentative="1">
      <w:start w:val="1"/>
      <w:numFmt w:val="bullet"/>
      <w:lvlText w:val="o"/>
      <w:lvlJc w:val="left"/>
      <w:pPr>
        <w:tabs>
          <w:tab w:val="num" w:pos="1440"/>
        </w:tabs>
        <w:ind w:left="1440" w:hanging="360"/>
      </w:pPr>
      <w:rPr>
        <w:rFonts w:ascii="Courier New" w:hAnsi="Courier New" w:hint="default"/>
      </w:rPr>
    </w:lvl>
    <w:lvl w:ilvl="2" w:tplc="E968F016" w:tentative="1">
      <w:start w:val="1"/>
      <w:numFmt w:val="bullet"/>
      <w:lvlText w:val=""/>
      <w:lvlJc w:val="left"/>
      <w:pPr>
        <w:tabs>
          <w:tab w:val="num" w:pos="2160"/>
        </w:tabs>
        <w:ind w:left="2160" w:hanging="360"/>
      </w:pPr>
      <w:rPr>
        <w:rFonts w:ascii="Wingdings" w:hAnsi="Wingdings" w:hint="default"/>
      </w:rPr>
    </w:lvl>
    <w:lvl w:ilvl="3" w:tplc="0E344E9A" w:tentative="1">
      <w:start w:val="1"/>
      <w:numFmt w:val="bullet"/>
      <w:lvlText w:val=""/>
      <w:lvlJc w:val="left"/>
      <w:pPr>
        <w:tabs>
          <w:tab w:val="num" w:pos="2880"/>
        </w:tabs>
        <w:ind w:left="2880" w:hanging="360"/>
      </w:pPr>
      <w:rPr>
        <w:rFonts w:ascii="Symbol" w:hAnsi="Symbol" w:hint="default"/>
      </w:rPr>
    </w:lvl>
    <w:lvl w:ilvl="4" w:tplc="E35A73C2" w:tentative="1">
      <w:start w:val="1"/>
      <w:numFmt w:val="bullet"/>
      <w:lvlText w:val="o"/>
      <w:lvlJc w:val="left"/>
      <w:pPr>
        <w:tabs>
          <w:tab w:val="num" w:pos="3600"/>
        </w:tabs>
        <w:ind w:left="3600" w:hanging="360"/>
      </w:pPr>
      <w:rPr>
        <w:rFonts w:ascii="Courier New" w:hAnsi="Courier New" w:hint="default"/>
      </w:rPr>
    </w:lvl>
    <w:lvl w:ilvl="5" w:tplc="3F7A9DDE" w:tentative="1">
      <w:start w:val="1"/>
      <w:numFmt w:val="bullet"/>
      <w:lvlText w:val=""/>
      <w:lvlJc w:val="left"/>
      <w:pPr>
        <w:tabs>
          <w:tab w:val="num" w:pos="4320"/>
        </w:tabs>
        <w:ind w:left="4320" w:hanging="360"/>
      </w:pPr>
      <w:rPr>
        <w:rFonts w:ascii="Wingdings" w:hAnsi="Wingdings" w:hint="default"/>
      </w:rPr>
    </w:lvl>
    <w:lvl w:ilvl="6" w:tplc="CAC45FFC" w:tentative="1">
      <w:start w:val="1"/>
      <w:numFmt w:val="bullet"/>
      <w:lvlText w:val=""/>
      <w:lvlJc w:val="left"/>
      <w:pPr>
        <w:tabs>
          <w:tab w:val="num" w:pos="5040"/>
        </w:tabs>
        <w:ind w:left="5040" w:hanging="360"/>
      </w:pPr>
      <w:rPr>
        <w:rFonts w:ascii="Symbol" w:hAnsi="Symbol" w:hint="default"/>
      </w:rPr>
    </w:lvl>
    <w:lvl w:ilvl="7" w:tplc="9FFAD616" w:tentative="1">
      <w:start w:val="1"/>
      <w:numFmt w:val="bullet"/>
      <w:lvlText w:val="o"/>
      <w:lvlJc w:val="left"/>
      <w:pPr>
        <w:tabs>
          <w:tab w:val="num" w:pos="5760"/>
        </w:tabs>
        <w:ind w:left="5760" w:hanging="360"/>
      </w:pPr>
      <w:rPr>
        <w:rFonts w:ascii="Courier New" w:hAnsi="Courier New" w:hint="default"/>
      </w:rPr>
    </w:lvl>
    <w:lvl w:ilvl="8" w:tplc="BBE49212" w:tentative="1">
      <w:start w:val="1"/>
      <w:numFmt w:val="bullet"/>
      <w:lvlText w:val=""/>
      <w:lvlJc w:val="left"/>
      <w:pPr>
        <w:tabs>
          <w:tab w:val="num" w:pos="6480"/>
        </w:tabs>
        <w:ind w:left="6480" w:hanging="360"/>
      </w:pPr>
      <w:rPr>
        <w:rFonts w:ascii="Wingdings" w:hAnsi="Wingdings" w:hint="default"/>
      </w:rPr>
    </w:lvl>
  </w:abstractNum>
  <w:abstractNum w:abstractNumId="23">
    <w:nsid w:val="4C26122E"/>
    <w:multiLevelType w:val="multilevel"/>
    <w:tmpl w:val="544C556C"/>
    <w:lvl w:ilvl="0">
      <w:start w:val="1"/>
      <w:numFmt w:val="decimal"/>
      <w:pStyle w:val="Bulletplus"/>
      <w:lvlText w:val="%1."/>
      <w:lvlJc w:val="left"/>
      <w:pPr>
        <w:tabs>
          <w:tab w:val="num" w:pos="720"/>
        </w:tabs>
        <w:ind w:left="720" w:hanging="720"/>
      </w:pPr>
    </w:lvl>
    <w:lvl w:ilvl="1">
      <w:start w:val="1"/>
      <w:numFmt w:val="decimal"/>
      <w:pStyle w:val="EmDashplu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CD85048"/>
    <w:multiLevelType w:val="hybridMultilevel"/>
    <w:tmpl w:val="4DD6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A60E5D"/>
    <w:multiLevelType w:val="multilevel"/>
    <w:tmpl w:val="64381766"/>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start w:val="1"/>
      <w:numFmt w:val="bullet"/>
      <w:lvlRestart w:val="0"/>
      <w:lvlText w:val=""/>
      <w:lvlJc w:val="left"/>
      <w:pPr>
        <w:tabs>
          <w:tab w:val="num" w:pos="540"/>
        </w:tabs>
        <w:ind w:left="540" w:hanging="300"/>
      </w:pPr>
      <w:rPr>
        <w:rFonts w:ascii="Symbol" w:hAnsi="Symbol" w:hint="default"/>
        <w:b w:val="0"/>
        <w:i w:val="0"/>
        <w:color w:val="000000"/>
        <w:sz w:val="16"/>
        <w:szCs w:val="16"/>
      </w:rPr>
    </w:lvl>
    <w:lvl w:ilvl="2">
      <w:start w:val="1"/>
      <w:numFmt w:val="bullet"/>
      <w:lvlRestart w:val="0"/>
      <w:lvlText w:val="–"/>
      <w:lvlJc w:val="left"/>
      <w:pPr>
        <w:tabs>
          <w:tab w:val="num" w:pos="740"/>
        </w:tabs>
        <w:ind w:left="740" w:hanging="200"/>
      </w:pPr>
      <w:rPr>
        <w:rFonts w:ascii="Times" w:hAnsi="Times" w:cs="Times" w:hint="default"/>
        <w:b w:val="0"/>
        <w:i w:val="0"/>
        <w:color w:val="000000"/>
        <w:sz w:val="2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4FE95427"/>
    <w:multiLevelType w:val="singleLevel"/>
    <w:tmpl w:val="94D42318"/>
    <w:lvl w:ilvl="0">
      <w:start w:val="4"/>
      <w:numFmt w:val="lowerLetter"/>
      <w:lvlText w:val="%1)"/>
      <w:lvlJc w:val="left"/>
      <w:pPr>
        <w:tabs>
          <w:tab w:val="num" w:pos="1296"/>
        </w:tabs>
        <w:ind w:left="1296" w:hanging="576"/>
      </w:pPr>
      <w:rPr>
        <w:rFonts w:hint="default"/>
      </w:rPr>
    </w:lvl>
  </w:abstractNum>
  <w:abstractNum w:abstractNumId="27">
    <w:nsid w:val="50324A23"/>
    <w:multiLevelType w:val="singleLevel"/>
    <w:tmpl w:val="ADD8C448"/>
    <w:lvl w:ilvl="0">
      <w:start w:val="1"/>
      <w:numFmt w:val="lowerLetter"/>
      <w:lvlText w:val="%1)"/>
      <w:lvlJc w:val="left"/>
      <w:pPr>
        <w:tabs>
          <w:tab w:val="num" w:pos="1296"/>
        </w:tabs>
        <w:ind w:left="1296" w:hanging="576"/>
      </w:pPr>
      <w:rPr>
        <w:rFonts w:hint="default"/>
      </w:rPr>
    </w:lvl>
  </w:abstractNum>
  <w:abstractNum w:abstractNumId="28">
    <w:nsid w:val="505A42E0"/>
    <w:multiLevelType w:val="hybridMultilevel"/>
    <w:tmpl w:val="BFC8F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204303C"/>
    <w:multiLevelType w:val="singleLevel"/>
    <w:tmpl w:val="18E434CA"/>
    <w:lvl w:ilvl="0">
      <w:start w:val="1"/>
      <w:numFmt w:val="lowerLetter"/>
      <w:lvlText w:val="%1)"/>
      <w:lvlJc w:val="left"/>
      <w:pPr>
        <w:tabs>
          <w:tab w:val="num" w:pos="1296"/>
        </w:tabs>
        <w:ind w:left="1296" w:hanging="576"/>
      </w:pPr>
      <w:rPr>
        <w:rFonts w:hint="default"/>
      </w:rPr>
    </w:lvl>
  </w:abstractNum>
  <w:abstractNum w:abstractNumId="30">
    <w:nsid w:val="56762F2E"/>
    <w:multiLevelType w:val="hybridMultilevel"/>
    <w:tmpl w:val="47BC59D4"/>
    <w:lvl w:ilvl="0" w:tplc="FFFFFFFF">
      <w:start w:val="1"/>
      <w:numFmt w:val="bullet"/>
      <w:lvlText w:val=""/>
      <w:lvlJc w:val="left"/>
      <w:pPr>
        <w:tabs>
          <w:tab w:val="num" w:pos="1440"/>
        </w:tabs>
        <w:ind w:left="1008" w:firstLine="7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9FB3BCD"/>
    <w:multiLevelType w:val="hybridMultilevel"/>
    <w:tmpl w:val="CFD6FE6C"/>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A12EA5"/>
    <w:multiLevelType w:val="hybridMultilevel"/>
    <w:tmpl w:val="502888EE"/>
    <w:lvl w:ilvl="0" w:tplc="9F6C9956">
      <w:start w:val="1"/>
      <w:numFmt w:val="bullet"/>
      <w:lvlText w:val=""/>
      <w:lvlJc w:val="left"/>
      <w:pPr>
        <w:tabs>
          <w:tab w:val="num" w:pos="720"/>
        </w:tabs>
        <w:ind w:left="720" w:hanging="360"/>
      </w:pPr>
      <w:rPr>
        <w:rFonts w:ascii="Symbol" w:hAnsi="Symbol" w:hint="default"/>
      </w:rPr>
    </w:lvl>
    <w:lvl w:ilvl="1" w:tplc="F536C942" w:tentative="1">
      <w:start w:val="1"/>
      <w:numFmt w:val="bullet"/>
      <w:lvlText w:val="o"/>
      <w:lvlJc w:val="left"/>
      <w:pPr>
        <w:tabs>
          <w:tab w:val="num" w:pos="1440"/>
        </w:tabs>
        <w:ind w:left="1440" w:hanging="360"/>
      </w:pPr>
      <w:rPr>
        <w:rFonts w:ascii="Courier New" w:hAnsi="Courier New" w:cs="Courier New" w:hint="default"/>
      </w:rPr>
    </w:lvl>
    <w:lvl w:ilvl="2" w:tplc="607E46EA" w:tentative="1">
      <w:start w:val="1"/>
      <w:numFmt w:val="bullet"/>
      <w:lvlText w:val=""/>
      <w:lvlJc w:val="left"/>
      <w:pPr>
        <w:tabs>
          <w:tab w:val="num" w:pos="2160"/>
        </w:tabs>
        <w:ind w:left="2160" w:hanging="360"/>
      </w:pPr>
      <w:rPr>
        <w:rFonts w:ascii="Wingdings" w:hAnsi="Wingdings" w:hint="default"/>
      </w:rPr>
    </w:lvl>
    <w:lvl w:ilvl="3" w:tplc="07A81370" w:tentative="1">
      <w:start w:val="1"/>
      <w:numFmt w:val="bullet"/>
      <w:lvlText w:val=""/>
      <w:lvlJc w:val="left"/>
      <w:pPr>
        <w:tabs>
          <w:tab w:val="num" w:pos="2880"/>
        </w:tabs>
        <w:ind w:left="2880" w:hanging="360"/>
      </w:pPr>
      <w:rPr>
        <w:rFonts w:ascii="Symbol" w:hAnsi="Symbol" w:hint="default"/>
      </w:rPr>
    </w:lvl>
    <w:lvl w:ilvl="4" w:tplc="1834CA56" w:tentative="1">
      <w:start w:val="1"/>
      <w:numFmt w:val="bullet"/>
      <w:lvlText w:val="o"/>
      <w:lvlJc w:val="left"/>
      <w:pPr>
        <w:tabs>
          <w:tab w:val="num" w:pos="3600"/>
        </w:tabs>
        <w:ind w:left="3600" w:hanging="360"/>
      </w:pPr>
      <w:rPr>
        <w:rFonts w:ascii="Courier New" w:hAnsi="Courier New" w:cs="Courier New" w:hint="default"/>
      </w:rPr>
    </w:lvl>
    <w:lvl w:ilvl="5" w:tplc="BE7412BC" w:tentative="1">
      <w:start w:val="1"/>
      <w:numFmt w:val="bullet"/>
      <w:lvlText w:val=""/>
      <w:lvlJc w:val="left"/>
      <w:pPr>
        <w:tabs>
          <w:tab w:val="num" w:pos="4320"/>
        </w:tabs>
        <w:ind w:left="4320" w:hanging="360"/>
      </w:pPr>
      <w:rPr>
        <w:rFonts w:ascii="Wingdings" w:hAnsi="Wingdings" w:hint="default"/>
      </w:rPr>
    </w:lvl>
    <w:lvl w:ilvl="6" w:tplc="34B43D50" w:tentative="1">
      <w:start w:val="1"/>
      <w:numFmt w:val="bullet"/>
      <w:lvlText w:val=""/>
      <w:lvlJc w:val="left"/>
      <w:pPr>
        <w:tabs>
          <w:tab w:val="num" w:pos="5040"/>
        </w:tabs>
        <w:ind w:left="5040" w:hanging="360"/>
      </w:pPr>
      <w:rPr>
        <w:rFonts w:ascii="Symbol" w:hAnsi="Symbol" w:hint="default"/>
      </w:rPr>
    </w:lvl>
    <w:lvl w:ilvl="7" w:tplc="8912F868" w:tentative="1">
      <w:start w:val="1"/>
      <w:numFmt w:val="bullet"/>
      <w:lvlText w:val="o"/>
      <w:lvlJc w:val="left"/>
      <w:pPr>
        <w:tabs>
          <w:tab w:val="num" w:pos="5760"/>
        </w:tabs>
        <w:ind w:left="5760" w:hanging="360"/>
      </w:pPr>
      <w:rPr>
        <w:rFonts w:ascii="Courier New" w:hAnsi="Courier New" w:cs="Courier New" w:hint="default"/>
      </w:rPr>
    </w:lvl>
    <w:lvl w:ilvl="8" w:tplc="6336AC26" w:tentative="1">
      <w:start w:val="1"/>
      <w:numFmt w:val="bullet"/>
      <w:lvlText w:val=""/>
      <w:lvlJc w:val="left"/>
      <w:pPr>
        <w:tabs>
          <w:tab w:val="num" w:pos="6480"/>
        </w:tabs>
        <w:ind w:left="6480" w:hanging="360"/>
      </w:pPr>
      <w:rPr>
        <w:rFonts w:ascii="Wingdings" w:hAnsi="Wingdings" w:hint="default"/>
      </w:rPr>
    </w:lvl>
  </w:abstractNum>
  <w:abstractNum w:abstractNumId="33">
    <w:nsid w:val="5ACF70AC"/>
    <w:multiLevelType w:val="multilevel"/>
    <w:tmpl w:val="735AB3BC"/>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start w:val="1"/>
      <w:numFmt w:val="bullet"/>
      <w:lvlRestart w:val="0"/>
      <w:lvlText w:val=""/>
      <w:lvlJc w:val="left"/>
      <w:pPr>
        <w:tabs>
          <w:tab w:val="num" w:pos="540"/>
        </w:tabs>
        <w:ind w:left="540" w:hanging="300"/>
      </w:pPr>
      <w:rPr>
        <w:rFonts w:ascii="Symbol" w:hAnsi="Symbol" w:hint="default"/>
        <w:b w:val="0"/>
        <w:i w:val="0"/>
        <w:color w:val="000000"/>
        <w:sz w:val="16"/>
        <w:szCs w:val="16"/>
      </w:rPr>
    </w:lvl>
    <w:lvl w:ilvl="2">
      <w:start w:val="1"/>
      <w:numFmt w:val="bullet"/>
      <w:lvlRestart w:val="0"/>
      <w:lvlText w:val="–"/>
      <w:lvlJc w:val="left"/>
      <w:pPr>
        <w:tabs>
          <w:tab w:val="num" w:pos="740"/>
        </w:tabs>
        <w:ind w:left="740" w:hanging="200"/>
      </w:pPr>
      <w:rPr>
        <w:rFonts w:ascii="Times" w:hAnsi="Times" w:cs="Times" w:hint="default"/>
        <w:b w:val="0"/>
        <w:i w:val="0"/>
        <w:color w:val="000000"/>
        <w:sz w:val="2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C601923"/>
    <w:multiLevelType w:val="hybridMultilevel"/>
    <w:tmpl w:val="F0FCA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EF817F5"/>
    <w:multiLevelType w:val="hybridMultilevel"/>
    <w:tmpl w:val="A3B83D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8597838"/>
    <w:multiLevelType w:val="hybridMultilevel"/>
    <w:tmpl w:val="D9F42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881B5C"/>
    <w:multiLevelType w:val="hybridMultilevel"/>
    <w:tmpl w:val="93F48762"/>
    <w:lvl w:ilvl="0" w:tplc="5E78B00C">
      <w:start w:val="1"/>
      <w:numFmt w:val="bullet"/>
      <w:lvlText w:val=""/>
      <w:lvlJc w:val="left"/>
      <w:pPr>
        <w:tabs>
          <w:tab w:val="num" w:pos="720"/>
        </w:tabs>
        <w:ind w:left="720" w:hanging="432"/>
      </w:pPr>
      <w:rPr>
        <w:rFonts w:ascii="Symbol" w:hAnsi="Symbol" w:hint="default"/>
      </w:rPr>
    </w:lvl>
    <w:lvl w:ilvl="1" w:tplc="50EE490E" w:tentative="1">
      <w:start w:val="1"/>
      <w:numFmt w:val="bullet"/>
      <w:lvlText w:val="o"/>
      <w:lvlJc w:val="left"/>
      <w:pPr>
        <w:tabs>
          <w:tab w:val="num" w:pos="1440"/>
        </w:tabs>
        <w:ind w:left="1440" w:hanging="360"/>
      </w:pPr>
      <w:rPr>
        <w:rFonts w:ascii="Courier New" w:hAnsi="Courier New" w:hint="default"/>
      </w:rPr>
    </w:lvl>
    <w:lvl w:ilvl="2" w:tplc="093ECB06" w:tentative="1">
      <w:start w:val="1"/>
      <w:numFmt w:val="bullet"/>
      <w:lvlText w:val=""/>
      <w:lvlJc w:val="left"/>
      <w:pPr>
        <w:tabs>
          <w:tab w:val="num" w:pos="2160"/>
        </w:tabs>
        <w:ind w:left="2160" w:hanging="360"/>
      </w:pPr>
      <w:rPr>
        <w:rFonts w:ascii="Wingdings" w:hAnsi="Wingdings" w:hint="default"/>
      </w:rPr>
    </w:lvl>
    <w:lvl w:ilvl="3" w:tplc="1EF60718" w:tentative="1">
      <w:start w:val="1"/>
      <w:numFmt w:val="bullet"/>
      <w:lvlText w:val=""/>
      <w:lvlJc w:val="left"/>
      <w:pPr>
        <w:tabs>
          <w:tab w:val="num" w:pos="2880"/>
        </w:tabs>
        <w:ind w:left="2880" w:hanging="360"/>
      </w:pPr>
      <w:rPr>
        <w:rFonts w:ascii="Symbol" w:hAnsi="Symbol" w:hint="default"/>
      </w:rPr>
    </w:lvl>
    <w:lvl w:ilvl="4" w:tplc="774406A8" w:tentative="1">
      <w:start w:val="1"/>
      <w:numFmt w:val="bullet"/>
      <w:lvlText w:val="o"/>
      <w:lvlJc w:val="left"/>
      <w:pPr>
        <w:tabs>
          <w:tab w:val="num" w:pos="3600"/>
        </w:tabs>
        <w:ind w:left="3600" w:hanging="360"/>
      </w:pPr>
      <w:rPr>
        <w:rFonts w:ascii="Courier New" w:hAnsi="Courier New" w:hint="default"/>
      </w:rPr>
    </w:lvl>
    <w:lvl w:ilvl="5" w:tplc="9FEC8934" w:tentative="1">
      <w:start w:val="1"/>
      <w:numFmt w:val="bullet"/>
      <w:lvlText w:val=""/>
      <w:lvlJc w:val="left"/>
      <w:pPr>
        <w:tabs>
          <w:tab w:val="num" w:pos="4320"/>
        </w:tabs>
        <w:ind w:left="4320" w:hanging="360"/>
      </w:pPr>
      <w:rPr>
        <w:rFonts w:ascii="Wingdings" w:hAnsi="Wingdings" w:hint="default"/>
      </w:rPr>
    </w:lvl>
    <w:lvl w:ilvl="6" w:tplc="16366AE4" w:tentative="1">
      <w:start w:val="1"/>
      <w:numFmt w:val="bullet"/>
      <w:lvlText w:val=""/>
      <w:lvlJc w:val="left"/>
      <w:pPr>
        <w:tabs>
          <w:tab w:val="num" w:pos="5040"/>
        </w:tabs>
        <w:ind w:left="5040" w:hanging="360"/>
      </w:pPr>
      <w:rPr>
        <w:rFonts w:ascii="Symbol" w:hAnsi="Symbol" w:hint="default"/>
      </w:rPr>
    </w:lvl>
    <w:lvl w:ilvl="7" w:tplc="1428AB32" w:tentative="1">
      <w:start w:val="1"/>
      <w:numFmt w:val="bullet"/>
      <w:lvlText w:val="o"/>
      <w:lvlJc w:val="left"/>
      <w:pPr>
        <w:tabs>
          <w:tab w:val="num" w:pos="5760"/>
        </w:tabs>
        <w:ind w:left="5760" w:hanging="360"/>
      </w:pPr>
      <w:rPr>
        <w:rFonts w:ascii="Courier New" w:hAnsi="Courier New" w:hint="default"/>
      </w:rPr>
    </w:lvl>
    <w:lvl w:ilvl="8" w:tplc="1E5C2B18" w:tentative="1">
      <w:start w:val="1"/>
      <w:numFmt w:val="bullet"/>
      <w:lvlText w:val=""/>
      <w:lvlJc w:val="left"/>
      <w:pPr>
        <w:tabs>
          <w:tab w:val="num" w:pos="6480"/>
        </w:tabs>
        <w:ind w:left="6480" w:hanging="360"/>
      </w:pPr>
      <w:rPr>
        <w:rFonts w:ascii="Wingdings" w:hAnsi="Wingdings" w:hint="default"/>
      </w:rPr>
    </w:lvl>
  </w:abstractNum>
  <w:abstractNum w:abstractNumId="38">
    <w:nsid w:val="6C245EBA"/>
    <w:multiLevelType w:val="singleLevel"/>
    <w:tmpl w:val="45E6EE8A"/>
    <w:lvl w:ilvl="0">
      <w:start w:val="1"/>
      <w:numFmt w:val="lowerLetter"/>
      <w:lvlText w:val="%1)"/>
      <w:lvlJc w:val="left"/>
      <w:pPr>
        <w:tabs>
          <w:tab w:val="num" w:pos="1296"/>
        </w:tabs>
        <w:ind w:left="1296" w:hanging="576"/>
      </w:pPr>
      <w:rPr>
        <w:rFonts w:hint="default"/>
      </w:rPr>
    </w:lvl>
  </w:abstractNum>
  <w:abstractNum w:abstractNumId="39">
    <w:nsid w:val="75AF0FB3"/>
    <w:multiLevelType w:val="hybridMultilevel"/>
    <w:tmpl w:val="E152B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9D181A"/>
    <w:multiLevelType w:val="hybridMultilevel"/>
    <w:tmpl w:val="A432C4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9673BE0"/>
    <w:multiLevelType w:val="multilevel"/>
    <w:tmpl w:val="9F46DE82"/>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start w:val="1"/>
      <w:numFmt w:val="bullet"/>
      <w:lvlRestart w:val="0"/>
      <w:lvlText w:val=""/>
      <w:lvlJc w:val="left"/>
      <w:pPr>
        <w:tabs>
          <w:tab w:val="num" w:pos="540"/>
        </w:tabs>
        <w:ind w:left="540" w:hanging="300"/>
      </w:pPr>
      <w:rPr>
        <w:rFonts w:ascii="Symbol" w:hAnsi="Symbol" w:hint="default"/>
        <w:b w:val="0"/>
        <w:i w:val="0"/>
        <w:color w:val="000000"/>
        <w:sz w:val="16"/>
        <w:szCs w:val="16"/>
      </w:rPr>
    </w:lvl>
    <w:lvl w:ilvl="2">
      <w:start w:val="1"/>
      <w:numFmt w:val="bullet"/>
      <w:lvlRestart w:val="0"/>
      <w:lvlText w:val="–"/>
      <w:lvlJc w:val="left"/>
      <w:pPr>
        <w:tabs>
          <w:tab w:val="num" w:pos="740"/>
        </w:tabs>
        <w:ind w:left="740" w:hanging="200"/>
      </w:pPr>
      <w:rPr>
        <w:rFonts w:ascii="Times" w:hAnsi="Times" w:cs="Times" w:hint="default"/>
        <w:b w:val="0"/>
        <w:i w:val="0"/>
        <w:color w:val="000000"/>
        <w:sz w:val="2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7B792ABA"/>
    <w:multiLevelType w:val="hybridMultilevel"/>
    <w:tmpl w:val="8D20AC0A"/>
    <w:lvl w:ilvl="0" w:tplc="EE2EF04E">
      <w:start w:val="1"/>
      <w:numFmt w:val="bullet"/>
      <w:lvlText w:val="-"/>
      <w:lvlJc w:val="left"/>
      <w:pPr>
        <w:tabs>
          <w:tab w:val="num" w:pos="960"/>
        </w:tabs>
        <w:ind w:left="960" w:hanging="360"/>
      </w:pPr>
      <w:rPr>
        <w:rFonts w:ascii="Arial" w:eastAsia="Times New Roman" w:hAnsi="Aria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3">
    <w:nsid w:val="7C035BF3"/>
    <w:multiLevelType w:val="hybridMultilevel"/>
    <w:tmpl w:val="621C3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DE57C1C"/>
    <w:multiLevelType w:val="hybridMultilevel"/>
    <w:tmpl w:val="07664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EAA265B"/>
    <w:multiLevelType w:val="hybridMultilevel"/>
    <w:tmpl w:val="4388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3"/>
  </w:num>
  <w:num w:numId="4">
    <w:abstractNumId w:val="45"/>
  </w:num>
  <w:num w:numId="5">
    <w:abstractNumId w:val="13"/>
  </w:num>
  <w:num w:numId="6">
    <w:abstractNumId w:val="16"/>
  </w:num>
  <w:num w:numId="7">
    <w:abstractNumId w:val="4"/>
  </w:num>
  <w:num w:numId="8">
    <w:abstractNumId w:val="3"/>
  </w:num>
  <w:num w:numId="9">
    <w:abstractNumId w:val="8"/>
  </w:num>
  <w:num w:numId="10">
    <w:abstractNumId w:val="7"/>
  </w:num>
  <w:num w:numId="11">
    <w:abstractNumId w:val="15"/>
  </w:num>
  <w:num w:numId="12">
    <w:abstractNumId w:val="18"/>
  </w:num>
  <w:num w:numId="13">
    <w:abstractNumId w:val="27"/>
  </w:num>
  <w:num w:numId="14">
    <w:abstractNumId w:val="0"/>
  </w:num>
  <w:num w:numId="15">
    <w:abstractNumId w:val="26"/>
  </w:num>
  <w:num w:numId="16">
    <w:abstractNumId w:val="38"/>
  </w:num>
  <w:num w:numId="17">
    <w:abstractNumId w:val="29"/>
  </w:num>
  <w:num w:numId="18">
    <w:abstractNumId w:val="12"/>
  </w:num>
  <w:num w:numId="19">
    <w:abstractNumId w:val="6"/>
  </w:num>
  <w:num w:numId="20">
    <w:abstractNumId w:val="19"/>
  </w:num>
  <w:num w:numId="21">
    <w:abstractNumId w:val="44"/>
  </w:num>
  <w:num w:numId="22">
    <w:abstractNumId w:val="36"/>
  </w:num>
  <w:num w:numId="23">
    <w:abstractNumId w:val="17"/>
  </w:num>
  <w:num w:numId="24">
    <w:abstractNumId w:val="21"/>
  </w:num>
  <w:num w:numId="25">
    <w:abstractNumId w:val="37"/>
  </w:num>
  <w:num w:numId="26">
    <w:abstractNumId w:val="1"/>
  </w:num>
  <w:num w:numId="27">
    <w:abstractNumId w:val="20"/>
  </w:num>
  <w:num w:numId="28">
    <w:abstractNumId w:val="35"/>
  </w:num>
  <w:num w:numId="29">
    <w:abstractNumId w:val="34"/>
  </w:num>
  <w:num w:numId="30">
    <w:abstractNumId w:val="11"/>
  </w:num>
  <w:num w:numId="31">
    <w:abstractNumId w:val="25"/>
  </w:num>
  <w:num w:numId="32">
    <w:abstractNumId w:val="33"/>
  </w:num>
  <w:num w:numId="33">
    <w:abstractNumId w:val="41"/>
  </w:num>
  <w:num w:numId="34">
    <w:abstractNumId w:val="43"/>
  </w:num>
  <w:num w:numId="35">
    <w:abstractNumId w:val="39"/>
  </w:num>
  <w:num w:numId="36">
    <w:abstractNumId w:val="14"/>
  </w:num>
  <w:num w:numId="37">
    <w:abstractNumId w:val="10"/>
  </w:num>
  <w:num w:numId="38">
    <w:abstractNumId w:val="30"/>
  </w:num>
  <w:num w:numId="39">
    <w:abstractNumId w:val="22"/>
  </w:num>
  <w:num w:numId="40">
    <w:abstractNumId w:val="31"/>
  </w:num>
  <w:num w:numId="41">
    <w:abstractNumId w:val="40"/>
  </w:num>
  <w:num w:numId="42">
    <w:abstractNumId w:val="5"/>
  </w:num>
  <w:num w:numId="43">
    <w:abstractNumId w:val="32"/>
  </w:num>
  <w:num w:numId="44">
    <w:abstractNumId w:val="9"/>
  </w:num>
  <w:num w:numId="45">
    <w:abstractNumId w:val="28"/>
  </w:num>
  <w:num w:numId="4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D9"/>
    <w:rsid w:val="000009CC"/>
    <w:rsid w:val="00000DD0"/>
    <w:rsid w:val="0000117B"/>
    <w:rsid w:val="000011F0"/>
    <w:rsid w:val="000015C6"/>
    <w:rsid w:val="00001BF0"/>
    <w:rsid w:val="00001D4F"/>
    <w:rsid w:val="00002268"/>
    <w:rsid w:val="0000251F"/>
    <w:rsid w:val="00002570"/>
    <w:rsid w:val="000029E8"/>
    <w:rsid w:val="000035ED"/>
    <w:rsid w:val="000037EA"/>
    <w:rsid w:val="00003925"/>
    <w:rsid w:val="000045FD"/>
    <w:rsid w:val="00005AF6"/>
    <w:rsid w:val="00006B06"/>
    <w:rsid w:val="00007120"/>
    <w:rsid w:val="000105B0"/>
    <w:rsid w:val="00010AB0"/>
    <w:rsid w:val="00012A3A"/>
    <w:rsid w:val="000132C3"/>
    <w:rsid w:val="00013798"/>
    <w:rsid w:val="000139B8"/>
    <w:rsid w:val="00015D51"/>
    <w:rsid w:val="0001679B"/>
    <w:rsid w:val="00016817"/>
    <w:rsid w:val="00016B17"/>
    <w:rsid w:val="0001728A"/>
    <w:rsid w:val="00017681"/>
    <w:rsid w:val="00017AB0"/>
    <w:rsid w:val="000218C5"/>
    <w:rsid w:val="00021C15"/>
    <w:rsid w:val="00021C6D"/>
    <w:rsid w:val="00022405"/>
    <w:rsid w:val="000236EE"/>
    <w:rsid w:val="00024211"/>
    <w:rsid w:val="0002424E"/>
    <w:rsid w:val="00024D2A"/>
    <w:rsid w:val="00024DD1"/>
    <w:rsid w:val="00025C5D"/>
    <w:rsid w:val="00025E36"/>
    <w:rsid w:val="000268CC"/>
    <w:rsid w:val="0002781C"/>
    <w:rsid w:val="000301A7"/>
    <w:rsid w:val="000306CA"/>
    <w:rsid w:val="00030E31"/>
    <w:rsid w:val="000311A5"/>
    <w:rsid w:val="00031A37"/>
    <w:rsid w:val="00033152"/>
    <w:rsid w:val="00033B03"/>
    <w:rsid w:val="00033C05"/>
    <w:rsid w:val="00034767"/>
    <w:rsid w:val="000368C0"/>
    <w:rsid w:val="00036A4B"/>
    <w:rsid w:val="00036EB6"/>
    <w:rsid w:val="000372BD"/>
    <w:rsid w:val="00037405"/>
    <w:rsid w:val="00037A3A"/>
    <w:rsid w:val="0004051E"/>
    <w:rsid w:val="00041C47"/>
    <w:rsid w:val="00043184"/>
    <w:rsid w:val="00043472"/>
    <w:rsid w:val="00043728"/>
    <w:rsid w:val="00044B9B"/>
    <w:rsid w:val="0004555A"/>
    <w:rsid w:val="00045EB1"/>
    <w:rsid w:val="00045FEB"/>
    <w:rsid w:val="00046682"/>
    <w:rsid w:val="00046A5B"/>
    <w:rsid w:val="00047B68"/>
    <w:rsid w:val="0005028C"/>
    <w:rsid w:val="0005104E"/>
    <w:rsid w:val="00051B18"/>
    <w:rsid w:val="00052A73"/>
    <w:rsid w:val="00052D32"/>
    <w:rsid w:val="00053A47"/>
    <w:rsid w:val="00053D54"/>
    <w:rsid w:val="0005401A"/>
    <w:rsid w:val="00054140"/>
    <w:rsid w:val="000546D6"/>
    <w:rsid w:val="0005688D"/>
    <w:rsid w:val="00056FEE"/>
    <w:rsid w:val="0005790B"/>
    <w:rsid w:val="00057B6D"/>
    <w:rsid w:val="00061E82"/>
    <w:rsid w:val="00062718"/>
    <w:rsid w:val="000627F4"/>
    <w:rsid w:val="00062E22"/>
    <w:rsid w:val="000645F2"/>
    <w:rsid w:val="00065137"/>
    <w:rsid w:val="00065440"/>
    <w:rsid w:val="000655A6"/>
    <w:rsid w:val="00066466"/>
    <w:rsid w:val="00066630"/>
    <w:rsid w:val="0006669E"/>
    <w:rsid w:val="000702F7"/>
    <w:rsid w:val="00070832"/>
    <w:rsid w:val="000708D7"/>
    <w:rsid w:val="00070B2F"/>
    <w:rsid w:val="00071F3D"/>
    <w:rsid w:val="000720EE"/>
    <w:rsid w:val="000727E0"/>
    <w:rsid w:val="00072FC7"/>
    <w:rsid w:val="00073360"/>
    <w:rsid w:val="00073E75"/>
    <w:rsid w:val="000753DF"/>
    <w:rsid w:val="000763EB"/>
    <w:rsid w:val="000766D0"/>
    <w:rsid w:val="00077348"/>
    <w:rsid w:val="00077982"/>
    <w:rsid w:val="00077DFA"/>
    <w:rsid w:val="00080BCE"/>
    <w:rsid w:val="0008112A"/>
    <w:rsid w:val="000821DE"/>
    <w:rsid w:val="000824F3"/>
    <w:rsid w:val="00082851"/>
    <w:rsid w:val="00082A2E"/>
    <w:rsid w:val="00083143"/>
    <w:rsid w:val="0008327B"/>
    <w:rsid w:val="00084660"/>
    <w:rsid w:val="00085398"/>
    <w:rsid w:val="00085517"/>
    <w:rsid w:val="0008555C"/>
    <w:rsid w:val="00085781"/>
    <w:rsid w:val="000858FC"/>
    <w:rsid w:val="00085A2A"/>
    <w:rsid w:val="00085A56"/>
    <w:rsid w:val="000863B8"/>
    <w:rsid w:val="000870E6"/>
    <w:rsid w:val="000875EB"/>
    <w:rsid w:val="0008761B"/>
    <w:rsid w:val="00087867"/>
    <w:rsid w:val="000903E6"/>
    <w:rsid w:val="0009064E"/>
    <w:rsid w:val="00090676"/>
    <w:rsid w:val="00090CD7"/>
    <w:rsid w:val="00090CE2"/>
    <w:rsid w:val="0009307A"/>
    <w:rsid w:val="00093C20"/>
    <w:rsid w:val="00094A48"/>
    <w:rsid w:val="00094DB0"/>
    <w:rsid w:val="00094E52"/>
    <w:rsid w:val="00095546"/>
    <w:rsid w:val="0009615D"/>
    <w:rsid w:val="000964BE"/>
    <w:rsid w:val="00096DFF"/>
    <w:rsid w:val="00097606"/>
    <w:rsid w:val="00097654"/>
    <w:rsid w:val="000977BC"/>
    <w:rsid w:val="00097CAA"/>
    <w:rsid w:val="000A208A"/>
    <w:rsid w:val="000A2441"/>
    <w:rsid w:val="000A24AF"/>
    <w:rsid w:val="000A31DC"/>
    <w:rsid w:val="000A5AF2"/>
    <w:rsid w:val="000A61E6"/>
    <w:rsid w:val="000A7896"/>
    <w:rsid w:val="000A7C35"/>
    <w:rsid w:val="000A7D61"/>
    <w:rsid w:val="000B004F"/>
    <w:rsid w:val="000B0F5F"/>
    <w:rsid w:val="000B1A26"/>
    <w:rsid w:val="000B1B8F"/>
    <w:rsid w:val="000B21E5"/>
    <w:rsid w:val="000B2D63"/>
    <w:rsid w:val="000B378A"/>
    <w:rsid w:val="000B4E65"/>
    <w:rsid w:val="000B5EF4"/>
    <w:rsid w:val="000B6CBC"/>
    <w:rsid w:val="000B7C5E"/>
    <w:rsid w:val="000B7F26"/>
    <w:rsid w:val="000C033D"/>
    <w:rsid w:val="000C1902"/>
    <w:rsid w:val="000C2A22"/>
    <w:rsid w:val="000C2C89"/>
    <w:rsid w:val="000C3694"/>
    <w:rsid w:val="000C3E84"/>
    <w:rsid w:val="000C48A3"/>
    <w:rsid w:val="000C4CAC"/>
    <w:rsid w:val="000C4E5F"/>
    <w:rsid w:val="000C5D02"/>
    <w:rsid w:val="000C5E2D"/>
    <w:rsid w:val="000C6567"/>
    <w:rsid w:val="000C6A0A"/>
    <w:rsid w:val="000C7CEE"/>
    <w:rsid w:val="000D05B0"/>
    <w:rsid w:val="000D0675"/>
    <w:rsid w:val="000D1046"/>
    <w:rsid w:val="000D1684"/>
    <w:rsid w:val="000D1FE3"/>
    <w:rsid w:val="000D21EF"/>
    <w:rsid w:val="000D24A4"/>
    <w:rsid w:val="000D2CAB"/>
    <w:rsid w:val="000D3651"/>
    <w:rsid w:val="000D3D22"/>
    <w:rsid w:val="000D4865"/>
    <w:rsid w:val="000D51E2"/>
    <w:rsid w:val="000D64EB"/>
    <w:rsid w:val="000D6654"/>
    <w:rsid w:val="000D6BB8"/>
    <w:rsid w:val="000D6BC4"/>
    <w:rsid w:val="000E0226"/>
    <w:rsid w:val="000E04C0"/>
    <w:rsid w:val="000E0716"/>
    <w:rsid w:val="000E0931"/>
    <w:rsid w:val="000E16F7"/>
    <w:rsid w:val="000E1BC2"/>
    <w:rsid w:val="000E2DCA"/>
    <w:rsid w:val="000E3C37"/>
    <w:rsid w:val="000E3E64"/>
    <w:rsid w:val="000E4066"/>
    <w:rsid w:val="000E411E"/>
    <w:rsid w:val="000E564F"/>
    <w:rsid w:val="000E5A89"/>
    <w:rsid w:val="000E62F7"/>
    <w:rsid w:val="000E633C"/>
    <w:rsid w:val="000E671B"/>
    <w:rsid w:val="000E6763"/>
    <w:rsid w:val="000E69A7"/>
    <w:rsid w:val="000E6B6F"/>
    <w:rsid w:val="000E6DA9"/>
    <w:rsid w:val="000E754F"/>
    <w:rsid w:val="000E788D"/>
    <w:rsid w:val="000F0592"/>
    <w:rsid w:val="000F1428"/>
    <w:rsid w:val="000F2054"/>
    <w:rsid w:val="000F2C9B"/>
    <w:rsid w:val="000F30DF"/>
    <w:rsid w:val="000F3164"/>
    <w:rsid w:val="000F3784"/>
    <w:rsid w:val="000F4256"/>
    <w:rsid w:val="000F438F"/>
    <w:rsid w:val="000F4A6A"/>
    <w:rsid w:val="000F5073"/>
    <w:rsid w:val="000F52B1"/>
    <w:rsid w:val="000F5438"/>
    <w:rsid w:val="000F6282"/>
    <w:rsid w:val="000F65F1"/>
    <w:rsid w:val="00100033"/>
    <w:rsid w:val="0010044E"/>
    <w:rsid w:val="00101529"/>
    <w:rsid w:val="0010205C"/>
    <w:rsid w:val="001026A2"/>
    <w:rsid w:val="001040FA"/>
    <w:rsid w:val="00105357"/>
    <w:rsid w:val="00105364"/>
    <w:rsid w:val="0010669C"/>
    <w:rsid w:val="001105CD"/>
    <w:rsid w:val="00110CCA"/>
    <w:rsid w:val="0011239F"/>
    <w:rsid w:val="00113859"/>
    <w:rsid w:val="00113A86"/>
    <w:rsid w:val="00114592"/>
    <w:rsid w:val="00115206"/>
    <w:rsid w:val="001159ED"/>
    <w:rsid w:val="00115EC0"/>
    <w:rsid w:val="00115ECA"/>
    <w:rsid w:val="00116A2D"/>
    <w:rsid w:val="001175BC"/>
    <w:rsid w:val="0011778E"/>
    <w:rsid w:val="00117AD2"/>
    <w:rsid w:val="00120529"/>
    <w:rsid w:val="00120805"/>
    <w:rsid w:val="001208EF"/>
    <w:rsid w:val="001209D8"/>
    <w:rsid w:val="00120A5F"/>
    <w:rsid w:val="00120C2C"/>
    <w:rsid w:val="00121762"/>
    <w:rsid w:val="00121D68"/>
    <w:rsid w:val="00121F74"/>
    <w:rsid w:val="00121FA9"/>
    <w:rsid w:val="001220E4"/>
    <w:rsid w:val="00122895"/>
    <w:rsid w:val="0012434D"/>
    <w:rsid w:val="00124D4B"/>
    <w:rsid w:val="00125480"/>
    <w:rsid w:val="001266C4"/>
    <w:rsid w:val="00126B59"/>
    <w:rsid w:val="00126C17"/>
    <w:rsid w:val="0013048E"/>
    <w:rsid w:val="00131A65"/>
    <w:rsid w:val="0013253E"/>
    <w:rsid w:val="0013288C"/>
    <w:rsid w:val="00133EC9"/>
    <w:rsid w:val="001343F0"/>
    <w:rsid w:val="00135020"/>
    <w:rsid w:val="00135D43"/>
    <w:rsid w:val="00135FB4"/>
    <w:rsid w:val="001361FC"/>
    <w:rsid w:val="00136B48"/>
    <w:rsid w:val="00137594"/>
    <w:rsid w:val="0013778D"/>
    <w:rsid w:val="00137C77"/>
    <w:rsid w:val="0014018F"/>
    <w:rsid w:val="00140F93"/>
    <w:rsid w:val="00141006"/>
    <w:rsid w:val="001416F2"/>
    <w:rsid w:val="001419DD"/>
    <w:rsid w:val="00141F3A"/>
    <w:rsid w:val="00142789"/>
    <w:rsid w:val="00142A9C"/>
    <w:rsid w:val="00143B8F"/>
    <w:rsid w:val="00145463"/>
    <w:rsid w:val="0014572C"/>
    <w:rsid w:val="0014574A"/>
    <w:rsid w:val="00146CC2"/>
    <w:rsid w:val="00146E38"/>
    <w:rsid w:val="001470A4"/>
    <w:rsid w:val="001470EF"/>
    <w:rsid w:val="00147174"/>
    <w:rsid w:val="001503CB"/>
    <w:rsid w:val="00150CCA"/>
    <w:rsid w:val="00150D04"/>
    <w:rsid w:val="00151D5E"/>
    <w:rsid w:val="00151ED6"/>
    <w:rsid w:val="001528B7"/>
    <w:rsid w:val="00152D16"/>
    <w:rsid w:val="00153919"/>
    <w:rsid w:val="00153B0D"/>
    <w:rsid w:val="00153E80"/>
    <w:rsid w:val="0015417F"/>
    <w:rsid w:val="001542C4"/>
    <w:rsid w:val="00154402"/>
    <w:rsid w:val="001556B2"/>
    <w:rsid w:val="001556D3"/>
    <w:rsid w:val="0015574E"/>
    <w:rsid w:val="00155B23"/>
    <w:rsid w:val="00155EB4"/>
    <w:rsid w:val="001567D5"/>
    <w:rsid w:val="00157091"/>
    <w:rsid w:val="0015710C"/>
    <w:rsid w:val="00157A9C"/>
    <w:rsid w:val="00160AE2"/>
    <w:rsid w:val="00160B47"/>
    <w:rsid w:val="00160E40"/>
    <w:rsid w:val="001616BD"/>
    <w:rsid w:val="001616E5"/>
    <w:rsid w:val="00161744"/>
    <w:rsid w:val="00162FE5"/>
    <w:rsid w:val="00163444"/>
    <w:rsid w:val="00163FF3"/>
    <w:rsid w:val="001650D5"/>
    <w:rsid w:val="0016588A"/>
    <w:rsid w:val="00166FD6"/>
    <w:rsid w:val="00167785"/>
    <w:rsid w:val="001679A1"/>
    <w:rsid w:val="00167B94"/>
    <w:rsid w:val="0017019A"/>
    <w:rsid w:val="00170EC3"/>
    <w:rsid w:val="00171322"/>
    <w:rsid w:val="00173BDC"/>
    <w:rsid w:val="00174318"/>
    <w:rsid w:val="00175BAE"/>
    <w:rsid w:val="00176645"/>
    <w:rsid w:val="00176E48"/>
    <w:rsid w:val="00177501"/>
    <w:rsid w:val="00177838"/>
    <w:rsid w:val="00177A78"/>
    <w:rsid w:val="00177B14"/>
    <w:rsid w:val="00177F74"/>
    <w:rsid w:val="001803FB"/>
    <w:rsid w:val="00180571"/>
    <w:rsid w:val="001805E5"/>
    <w:rsid w:val="00181ADA"/>
    <w:rsid w:val="00181D66"/>
    <w:rsid w:val="0018347B"/>
    <w:rsid w:val="001841A7"/>
    <w:rsid w:val="00184CCC"/>
    <w:rsid w:val="0018598D"/>
    <w:rsid w:val="00186038"/>
    <w:rsid w:val="00186A0A"/>
    <w:rsid w:val="001874A6"/>
    <w:rsid w:val="00187AD5"/>
    <w:rsid w:val="0019053F"/>
    <w:rsid w:val="00190C15"/>
    <w:rsid w:val="00191046"/>
    <w:rsid w:val="001910CD"/>
    <w:rsid w:val="001915BE"/>
    <w:rsid w:val="001918A5"/>
    <w:rsid w:val="00191A6A"/>
    <w:rsid w:val="00191E6E"/>
    <w:rsid w:val="00193488"/>
    <w:rsid w:val="001938E8"/>
    <w:rsid w:val="0019430A"/>
    <w:rsid w:val="001946E3"/>
    <w:rsid w:val="00194ABC"/>
    <w:rsid w:val="00195684"/>
    <w:rsid w:val="001963D8"/>
    <w:rsid w:val="0019670A"/>
    <w:rsid w:val="001975B4"/>
    <w:rsid w:val="001976AB"/>
    <w:rsid w:val="0019797C"/>
    <w:rsid w:val="00197AAD"/>
    <w:rsid w:val="00197FFA"/>
    <w:rsid w:val="001A0167"/>
    <w:rsid w:val="001A09A1"/>
    <w:rsid w:val="001A102D"/>
    <w:rsid w:val="001A17D8"/>
    <w:rsid w:val="001A26AD"/>
    <w:rsid w:val="001A33D4"/>
    <w:rsid w:val="001A447D"/>
    <w:rsid w:val="001A4C75"/>
    <w:rsid w:val="001A6087"/>
    <w:rsid w:val="001A6601"/>
    <w:rsid w:val="001A7BB5"/>
    <w:rsid w:val="001B153F"/>
    <w:rsid w:val="001B1BE3"/>
    <w:rsid w:val="001B1C9D"/>
    <w:rsid w:val="001B36BA"/>
    <w:rsid w:val="001B5A2A"/>
    <w:rsid w:val="001B5DF8"/>
    <w:rsid w:val="001B68FE"/>
    <w:rsid w:val="001B6C9D"/>
    <w:rsid w:val="001B7C55"/>
    <w:rsid w:val="001C1081"/>
    <w:rsid w:val="001C1321"/>
    <w:rsid w:val="001C1571"/>
    <w:rsid w:val="001C1607"/>
    <w:rsid w:val="001C1687"/>
    <w:rsid w:val="001C1B3D"/>
    <w:rsid w:val="001C2289"/>
    <w:rsid w:val="001C2AF1"/>
    <w:rsid w:val="001C3F0E"/>
    <w:rsid w:val="001C427B"/>
    <w:rsid w:val="001C510E"/>
    <w:rsid w:val="001C57FF"/>
    <w:rsid w:val="001C62B8"/>
    <w:rsid w:val="001C7116"/>
    <w:rsid w:val="001C79AE"/>
    <w:rsid w:val="001D089F"/>
    <w:rsid w:val="001D19F6"/>
    <w:rsid w:val="001D1BB2"/>
    <w:rsid w:val="001D1D8D"/>
    <w:rsid w:val="001D1DCB"/>
    <w:rsid w:val="001D27A2"/>
    <w:rsid w:val="001D2D7C"/>
    <w:rsid w:val="001D3218"/>
    <w:rsid w:val="001D3641"/>
    <w:rsid w:val="001D4474"/>
    <w:rsid w:val="001D47EB"/>
    <w:rsid w:val="001D4A1D"/>
    <w:rsid w:val="001D4ACC"/>
    <w:rsid w:val="001D572E"/>
    <w:rsid w:val="001D6091"/>
    <w:rsid w:val="001D652E"/>
    <w:rsid w:val="001D6CD8"/>
    <w:rsid w:val="001D7230"/>
    <w:rsid w:val="001D78A4"/>
    <w:rsid w:val="001D7D6E"/>
    <w:rsid w:val="001E04B8"/>
    <w:rsid w:val="001E0819"/>
    <w:rsid w:val="001E095A"/>
    <w:rsid w:val="001E1314"/>
    <w:rsid w:val="001E17B5"/>
    <w:rsid w:val="001E2508"/>
    <w:rsid w:val="001E2F3B"/>
    <w:rsid w:val="001E33F8"/>
    <w:rsid w:val="001E3615"/>
    <w:rsid w:val="001E41FF"/>
    <w:rsid w:val="001E429A"/>
    <w:rsid w:val="001F0809"/>
    <w:rsid w:val="001F0E6C"/>
    <w:rsid w:val="001F10C8"/>
    <w:rsid w:val="001F15D6"/>
    <w:rsid w:val="001F1618"/>
    <w:rsid w:val="001F2B9C"/>
    <w:rsid w:val="001F40E1"/>
    <w:rsid w:val="001F47F9"/>
    <w:rsid w:val="001F4902"/>
    <w:rsid w:val="001F4E03"/>
    <w:rsid w:val="001F4F74"/>
    <w:rsid w:val="001F5AF5"/>
    <w:rsid w:val="001F5E57"/>
    <w:rsid w:val="001F625F"/>
    <w:rsid w:val="001F6BC4"/>
    <w:rsid w:val="00200CA5"/>
    <w:rsid w:val="0020182C"/>
    <w:rsid w:val="002018AA"/>
    <w:rsid w:val="00201F51"/>
    <w:rsid w:val="002026EC"/>
    <w:rsid w:val="00202812"/>
    <w:rsid w:val="00202B17"/>
    <w:rsid w:val="00202DDA"/>
    <w:rsid w:val="0020346B"/>
    <w:rsid w:val="002036CB"/>
    <w:rsid w:val="00203DFA"/>
    <w:rsid w:val="0020449E"/>
    <w:rsid w:val="00205404"/>
    <w:rsid w:val="00206267"/>
    <w:rsid w:val="00206DA5"/>
    <w:rsid w:val="00207571"/>
    <w:rsid w:val="00207717"/>
    <w:rsid w:val="002101AD"/>
    <w:rsid w:val="0021294F"/>
    <w:rsid w:val="00213113"/>
    <w:rsid w:val="00213B77"/>
    <w:rsid w:val="00213CC4"/>
    <w:rsid w:val="00214361"/>
    <w:rsid w:val="00214518"/>
    <w:rsid w:val="0021480F"/>
    <w:rsid w:val="00214D20"/>
    <w:rsid w:val="00215A72"/>
    <w:rsid w:val="00215CEF"/>
    <w:rsid w:val="0021671B"/>
    <w:rsid w:val="00216A37"/>
    <w:rsid w:val="00216C65"/>
    <w:rsid w:val="00216D89"/>
    <w:rsid w:val="00216DC5"/>
    <w:rsid w:val="00217273"/>
    <w:rsid w:val="0021727B"/>
    <w:rsid w:val="00221B12"/>
    <w:rsid w:val="00221B35"/>
    <w:rsid w:val="00221D09"/>
    <w:rsid w:val="0022258E"/>
    <w:rsid w:val="002233D2"/>
    <w:rsid w:val="002235F3"/>
    <w:rsid w:val="00223E7E"/>
    <w:rsid w:val="00224DD1"/>
    <w:rsid w:val="002260EB"/>
    <w:rsid w:val="00226FE0"/>
    <w:rsid w:val="00231828"/>
    <w:rsid w:val="00232648"/>
    <w:rsid w:val="002328DA"/>
    <w:rsid w:val="00232B39"/>
    <w:rsid w:val="002330C2"/>
    <w:rsid w:val="00234A24"/>
    <w:rsid w:val="00234D30"/>
    <w:rsid w:val="00235A39"/>
    <w:rsid w:val="002363D4"/>
    <w:rsid w:val="00237D57"/>
    <w:rsid w:val="00240242"/>
    <w:rsid w:val="00241200"/>
    <w:rsid w:val="002412EC"/>
    <w:rsid w:val="00241729"/>
    <w:rsid w:val="00241831"/>
    <w:rsid w:val="00241B51"/>
    <w:rsid w:val="00241C5D"/>
    <w:rsid w:val="00242BE8"/>
    <w:rsid w:val="002436E3"/>
    <w:rsid w:val="00244E23"/>
    <w:rsid w:val="002456FD"/>
    <w:rsid w:val="00245E27"/>
    <w:rsid w:val="00245F22"/>
    <w:rsid w:val="00247106"/>
    <w:rsid w:val="002471FD"/>
    <w:rsid w:val="00250A1F"/>
    <w:rsid w:val="00251B06"/>
    <w:rsid w:val="00251E50"/>
    <w:rsid w:val="002534D3"/>
    <w:rsid w:val="0025524F"/>
    <w:rsid w:val="0025525C"/>
    <w:rsid w:val="0025553A"/>
    <w:rsid w:val="00255C2A"/>
    <w:rsid w:val="00255C5D"/>
    <w:rsid w:val="002565D8"/>
    <w:rsid w:val="00256AEE"/>
    <w:rsid w:val="00256B64"/>
    <w:rsid w:val="00257403"/>
    <w:rsid w:val="0025778E"/>
    <w:rsid w:val="00257A73"/>
    <w:rsid w:val="00257EDA"/>
    <w:rsid w:val="00261DF0"/>
    <w:rsid w:val="00262E76"/>
    <w:rsid w:val="00263975"/>
    <w:rsid w:val="002639F2"/>
    <w:rsid w:val="00263E9E"/>
    <w:rsid w:val="00264204"/>
    <w:rsid w:val="002653F2"/>
    <w:rsid w:val="002654E6"/>
    <w:rsid w:val="00265874"/>
    <w:rsid w:val="00266A68"/>
    <w:rsid w:val="00266A9C"/>
    <w:rsid w:val="00267884"/>
    <w:rsid w:val="0026797F"/>
    <w:rsid w:val="00271091"/>
    <w:rsid w:val="00271289"/>
    <w:rsid w:val="002725D3"/>
    <w:rsid w:val="0027276D"/>
    <w:rsid w:val="002728C4"/>
    <w:rsid w:val="00273278"/>
    <w:rsid w:val="00273446"/>
    <w:rsid w:val="002737F6"/>
    <w:rsid w:val="002741FD"/>
    <w:rsid w:val="00274354"/>
    <w:rsid w:val="002743FF"/>
    <w:rsid w:val="00274982"/>
    <w:rsid w:val="00274A55"/>
    <w:rsid w:val="00275272"/>
    <w:rsid w:val="0027586C"/>
    <w:rsid w:val="00275BBC"/>
    <w:rsid w:val="00275FD6"/>
    <w:rsid w:val="00276150"/>
    <w:rsid w:val="002767DF"/>
    <w:rsid w:val="0027773B"/>
    <w:rsid w:val="002778DE"/>
    <w:rsid w:val="00277F89"/>
    <w:rsid w:val="00280127"/>
    <w:rsid w:val="0028031A"/>
    <w:rsid w:val="00280B4C"/>
    <w:rsid w:val="00280BC5"/>
    <w:rsid w:val="00280FEF"/>
    <w:rsid w:val="002819DE"/>
    <w:rsid w:val="00281AAE"/>
    <w:rsid w:val="00281D00"/>
    <w:rsid w:val="0028357A"/>
    <w:rsid w:val="0028416F"/>
    <w:rsid w:val="00284D5B"/>
    <w:rsid w:val="0028516A"/>
    <w:rsid w:val="002856AB"/>
    <w:rsid w:val="00285C75"/>
    <w:rsid w:val="00285E66"/>
    <w:rsid w:val="0028618E"/>
    <w:rsid w:val="00290AD1"/>
    <w:rsid w:val="0029117D"/>
    <w:rsid w:val="00291BAD"/>
    <w:rsid w:val="00291C44"/>
    <w:rsid w:val="00292FB6"/>
    <w:rsid w:val="0029370B"/>
    <w:rsid w:val="00293B71"/>
    <w:rsid w:val="00295045"/>
    <w:rsid w:val="002951CF"/>
    <w:rsid w:val="0029583E"/>
    <w:rsid w:val="00296857"/>
    <w:rsid w:val="00296F15"/>
    <w:rsid w:val="002970C4"/>
    <w:rsid w:val="00297810"/>
    <w:rsid w:val="00297E8C"/>
    <w:rsid w:val="00297EEB"/>
    <w:rsid w:val="002A1098"/>
    <w:rsid w:val="002A180F"/>
    <w:rsid w:val="002A28C0"/>
    <w:rsid w:val="002A2D89"/>
    <w:rsid w:val="002A3F9D"/>
    <w:rsid w:val="002A4019"/>
    <w:rsid w:val="002A5E8F"/>
    <w:rsid w:val="002A5F0E"/>
    <w:rsid w:val="002A63DB"/>
    <w:rsid w:val="002A7090"/>
    <w:rsid w:val="002A7252"/>
    <w:rsid w:val="002B0155"/>
    <w:rsid w:val="002B0AB7"/>
    <w:rsid w:val="002B1EF7"/>
    <w:rsid w:val="002B2C6E"/>
    <w:rsid w:val="002B3506"/>
    <w:rsid w:val="002B37F6"/>
    <w:rsid w:val="002B4336"/>
    <w:rsid w:val="002B504B"/>
    <w:rsid w:val="002B56F0"/>
    <w:rsid w:val="002B63A9"/>
    <w:rsid w:val="002B72EF"/>
    <w:rsid w:val="002C03B7"/>
    <w:rsid w:val="002C075C"/>
    <w:rsid w:val="002C1738"/>
    <w:rsid w:val="002C1E09"/>
    <w:rsid w:val="002C21A1"/>
    <w:rsid w:val="002C2B6A"/>
    <w:rsid w:val="002C3588"/>
    <w:rsid w:val="002C3639"/>
    <w:rsid w:val="002C41F6"/>
    <w:rsid w:val="002C4AB1"/>
    <w:rsid w:val="002C5F25"/>
    <w:rsid w:val="002C652C"/>
    <w:rsid w:val="002C69DB"/>
    <w:rsid w:val="002C6E06"/>
    <w:rsid w:val="002C7FE6"/>
    <w:rsid w:val="002D0C1B"/>
    <w:rsid w:val="002D1E61"/>
    <w:rsid w:val="002D213B"/>
    <w:rsid w:val="002D296B"/>
    <w:rsid w:val="002D2F3D"/>
    <w:rsid w:val="002D373F"/>
    <w:rsid w:val="002D44CE"/>
    <w:rsid w:val="002D4B6D"/>
    <w:rsid w:val="002D5FD1"/>
    <w:rsid w:val="002D6B8E"/>
    <w:rsid w:val="002D6EC5"/>
    <w:rsid w:val="002D7096"/>
    <w:rsid w:val="002D7DAA"/>
    <w:rsid w:val="002E000D"/>
    <w:rsid w:val="002E0810"/>
    <w:rsid w:val="002E1318"/>
    <w:rsid w:val="002E288D"/>
    <w:rsid w:val="002E2988"/>
    <w:rsid w:val="002E3C6F"/>
    <w:rsid w:val="002E3DD0"/>
    <w:rsid w:val="002E4A87"/>
    <w:rsid w:val="002E5A58"/>
    <w:rsid w:val="002E5AED"/>
    <w:rsid w:val="002E5C2B"/>
    <w:rsid w:val="002E5E8B"/>
    <w:rsid w:val="002E6156"/>
    <w:rsid w:val="002E69AA"/>
    <w:rsid w:val="002E7292"/>
    <w:rsid w:val="002E77EE"/>
    <w:rsid w:val="002E787D"/>
    <w:rsid w:val="002E7AC5"/>
    <w:rsid w:val="002E7D38"/>
    <w:rsid w:val="002F0021"/>
    <w:rsid w:val="002F02BB"/>
    <w:rsid w:val="002F1060"/>
    <w:rsid w:val="002F1191"/>
    <w:rsid w:val="002F16FD"/>
    <w:rsid w:val="002F197A"/>
    <w:rsid w:val="002F1F24"/>
    <w:rsid w:val="002F23E3"/>
    <w:rsid w:val="002F243A"/>
    <w:rsid w:val="002F2B61"/>
    <w:rsid w:val="002F30E7"/>
    <w:rsid w:val="002F401B"/>
    <w:rsid w:val="002F43C5"/>
    <w:rsid w:val="002F44FE"/>
    <w:rsid w:val="002F5B5C"/>
    <w:rsid w:val="002F66F1"/>
    <w:rsid w:val="002F7AFB"/>
    <w:rsid w:val="002F7C16"/>
    <w:rsid w:val="002F7ED3"/>
    <w:rsid w:val="0030008D"/>
    <w:rsid w:val="00301A74"/>
    <w:rsid w:val="00302CE6"/>
    <w:rsid w:val="00304DCE"/>
    <w:rsid w:val="00305BFC"/>
    <w:rsid w:val="00306300"/>
    <w:rsid w:val="00306DE7"/>
    <w:rsid w:val="00307CDD"/>
    <w:rsid w:val="00310D5E"/>
    <w:rsid w:val="00310F8B"/>
    <w:rsid w:val="00311404"/>
    <w:rsid w:val="003124AE"/>
    <w:rsid w:val="003125D8"/>
    <w:rsid w:val="00312800"/>
    <w:rsid w:val="0031367A"/>
    <w:rsid w:val="00313A3F"/>
    <w:rsid w:val="00315096"/>
    <w:rsid w:val="0031556E"/>
    <w:rsid w:val="0031589A"/>
    <w:rsid w:val="00315CF4"/>
    <w:rsid w:val="003169E5"/>
    <w:rsid w:val="00316A55"/>
    <w:rsid w:val="00316AD8"/>
    <w:rsid w:val="00317064"/>
    <w:rsid w:val="00320DFC"/>
    <w:rsid w:val="003211A0"/>
    <w:rsid w:val="00325718"/>
    <w:rsid w:val="003264C3"/>
    <w:rsid w:val="0032664A"/>
    <w:rsid w:val="00327248"/>
    <w:rsid w:val="0033033F"/>
    <w:rsid w:val="00330888"/>
    <w:rsid w:val="0033119D"/>
    <w:rsid w:val="003311C8"/>
    <w:rsid w:val="00331F6E"/>
    <w:rsid w:val="0033357A"/>
    <w:rsid w:val="003336B3"/>
    <w:rsid w:val="0033416D"/>
    <w:rsid w:val="00334A21"/>
    <w:rsid w:val="00334CF4"/>
    <w:rsid w:val="003352EF"/>
    <w:rsid w:val="003355D6"/>
    <w:rsid w:val="00335640"/>
    <w:rsid w:val="00335AB6"/>
    <w:rsid w:val="00335C57"/>
    <w:rsid w:val="00336613"/>
    <w:rsid w:val="00336F6C"/>
    <w:rsid w:val="00340024"/>
    <w:rsid w:val="00340D79"/>
    <w:rsid w:val="00341A46"/>
    <w:rsid w:val="003422F2"/>
    <w:rsid w:val="003428AD"/>
    <w:rsid w:val="00342B25"/>
    <w:rsid w:val="00343E4D"/>
    <w:rsid w:val="003456F6"/>
    <w:rsid w:val="00346079"/>
    <w:rsid w:val="00346466"/>
    <w:rsid w:val="0034670D"/>
    <w:rsid w:val="00347B5F"/>
    <w:rsid w:val="00347CDF"/>
    <w:rsid w:val="00350773"/>
    <w:rsid w:val="0035089B"/>
    <w:rsid w:val="003514CF"/>
    <w:rsid w:val="00351949"/>
    <w:rsid w:val="003523ED"/>
    <w:rsid w:val="0035242A"/>
    <w:rsid w:val="003527B2"/>
    <w:rsid w:val="00353612"/>
    <w:rsid w:val="00353BD1"/>
    <w:rsid w:val="00354AC7"/>
    <w:rsid w:val="00354FB9"/>
    <w:rsid w:val="00355519"/>
    <w:rsid w:val="00355884"/>
    <w:rsid w:val="00355992"/>
    <w:rsid w:val="0035741C"/>
    <w:rsid w:val="003575F8"/>
    <w:rsid w:val="00357E2E"/>
    <w:rsid w:val="00360850"/>
    <w:rsid w:val="00361561"/>
    <w:rsid w:val="00361624"/>
    <w:rsid w:val="003617D9"/>
    <w:rsid w:val="00362ACF"/>
    <w:rsid w:val="00362EBC"/>
    <w:rsid w:val="003630B1"/>
    <w:rsid w:val="00363D46"/>
    <w:rsid w:val="00364180"/>
    <w:rsid w:val="00364204"/>
    <w:rsid w:val="00364883"/>
    <w:rsid w:val="00364911"/>
    <w:rsid w:val="00365180"/>
    <w:rsid w:val="00366634"/>
    <w:rsid w:val="0036781B"/>
    <w:rsid w:val="00370A6D"/>
    <w:rsid w:val="003716FA"/>
    <w:rsid w:val="003717E9"/>
    <w:rsid w:val="00371C15"/>
    <w:rsid w:val="0037322A"/>
    <w:rsid w:val="0037359C"/>
    <w:rsid w:val="00373B07"/>
    <w:rsid w:val="00374DF5"/>
    <w:rsid w:val="00375BA5"/>
    <w:rsid w:val="003760E2"/>
    <w:rsid w:val="003765F4"/>
    <w:rsid w:val="00376D0A"/>
    <w:rsid w:val="00377E15"/>
    <w:rsid w:val="003810B6"/>
    <w:rsid w:val="00382459"/>
    <w:rsid w:val="003829F9"/>
    <w:rsid w:val="00382B46"/>
    <w:rsid w:val="00382C12"/>
    <w:rsid w:val="003831D0"/>
    <w:rsid w:val="00383B71"/>
    <w:rsid w:val="00384590"/>
    <w:rsid w:val="003847A2"/>
    <w:rsid w:val="00384E5D"/>
    <w:rsid w:val="00386163"/>
    <w:rsid w:val="00386503"/>
    <w:rsid w:val="003865B2"/>
    <w:rsid w:val="003865D5"/>
    <w:rsid w:val="0038761B"/>
    <w:rsid w:val="003903D0"/>
    <w:rsid w:val="003905AA"/>
    <w:rsid w:val="00391B52"/>
    <w:rsid w:val="00391E0C"/>
    <w:rsid w:val="00392605"/>
    <w:rsid w:val="00394201"/>
    <w:rsid w:val="0039421C"/>
    <w:rsid w:val="003945B7"/>
    <w:rsid w:val="00394F9E"/>
    <w:rsid w:val="003954BF"/>
    <w:rsid w:val="00397F63"/>
    <w:rsid w:val="003A0CD9"/>
    <w:rsid w:val="003A1043"/>
    <w:rsid w:val="003A13A5"/>
    <w:rsid w:val="003A14EF"/>
    <w:rsid w:val="003A2138"/>
    <w:rsid w:val="003A2D49"/>
    <w:rsid w:val="003A3DDE"/>
    <w:rsid w:val="003A4170"/>
    <w:rsid w:val="003A47B5"/>
    <w:rsid w:val="003A5C94"/>
    <w:rsid w:val="003A5EF3"/>
    <w:rsid w:val="003A605B"/>
    <w:rsid w:val="003A6A55"/>
    <w:rsid w:val="003A6F32"/>
    <w:rsid w:val="003A6F65"/>
    <w:rsid w:val="003A6FC5"/>
    <w:rsid w:val="003B115D"/>
    <w:rsid w:val="003B14A0"/>
    <w:rsid w:val="003B1D78"/>
    <w:rsid w:val="003B3183"/>
    <w:rsid w:val="003B3F95"/>
    <w:rsid w:val="003B536E"/>
    <w:rsid w:val="003B5C8B"/>
    <w:rsid w:val="003B61B5"/>
    <w:rsid w:val="003B72D2"/>
    <w:rsid w:val="003B7D6A"/>
    <w:rsid w:val="003C02AB"/>
    <w:rsid w:val="003C0798"/>
    <w:rsid w:val="003C0895"/>
    <w:rsid w:val="003C1358"/>
    <w:rsid w:val="003C1940"/>
    <w:rsid w:val="003C1A15"/>
    <w:rsid w:val="003C2651"/>
    <w:rsid w:val="003C28A6"/>
    <w:rsid w:val="003C31CD"/>
    <w:rsid w:val="003C31D1"/>
    <w:rsid w:val="003C4A1C"/>
    <w:rsid w:val="003C4B79"/>
    <w:rsid w:val="003C4BB8"/>
    <w:rsid w:val="003C5B3F"/>
    <w:rsid w:val="003C64BD"/>
    <w:rsid w:val="003C67D5"/>
    <w:rsid w:val="003C695B"/>
    <w:rsid w:val="003D12C4"/>
    <w:rsid w:val="003D1A84"/>
    <w:rsid w:val="003D2138"/>
    <w:rsid w:val="003D25B4"/>
    <w:rsid w:val="003D2F50"/>
    <w:rsid w:val="003D2F7A"/>
    <w:rsid w:val="003D3421"/>
    <w:rsid w:val="003D35D8"/>
    <w:rsid w:val="003D3A04"/>
    <w:rsid w:val="003D4C63"/>
    <w:rsid w:val="003D518E"/>
    <w:rsid w:val="003D520F"/>
    <w:rsid w:val="003D5C07"/>
    <w:rsid w:val="003D68E0"/>
    <w:rsid w:val="003D6D2E"/>
    <w:rsid w:val="003D6F6E"/>
    <w:rsid w:val="003D739C"/>
    <w:rsid w:val="003D74CE"/>
    <w:rsid w:val="003E057E"/>
    <w:rsid w:val="003E0646"/>
    <w:rsid w:val="003E079D"/>
    <w:rsid w:val="003E1DBB"/>
    <w:rsid w:val="003E1E83"/>
    <w:rsid w:val="003E20E0"/>
    <w:rsid w:val="003E2162"/>
    <w:rsid w:val="003E250C"/>
    <w:rsid w:val="003E3834"/>
    <w:rsid w:val="003E3894"/>
    <w:rsid w:val="003E38C0"/>
    <w:rsid w:val="003E3F26"/>
    <w:rsid w:val="003E40DD"/>
    <w:rsid w:val="003E6319"/>
    <w:rsid w:val="003E64B4"/>
    <w:rsid w:val="003E65DD"/>
    <w:rsid w:val="003E6CC3"/>
    <w:rsid w:val="003E7030"/>
    <w:rsid w:val="003E71E0"/>
    <w:rsid w:val="003E7BDE"/>
    <w:rsid w:val="003F16D5"/>
    <w:rsid w:val="003F21A9"/>
    <w:rsid w:val="003F3727"/>
    <w:rsid w:val="003F5EFF"/>
    <w:rsid w:val="003F6454"/>
    <w:rsid w:val="003F79CD"/>
    <w:rsid w:val="004002C3"/>
    <w:rsid w:val="0040046D"/>
    <w:rsid w:val="004011DB"/>
    <w:rsid w:val="00401CAA"/>
    <w:rsid w:val="00401D0C"/>
    <w:rsid w:val="00401F32"/>
    <w:rsid w:val="00401FD9"/>
    <w:rsid w:val="004020B5"/>
    <w:rsid w:val="00403691"/>
    <w:rsid w:val="00403BAD"/>
    <w:rsid w:val="00403C94"/>
    <w:rsid w:val="00403FED"/>
    <w:rsid w:val="00404FED"/>
    <w:rsid w:val="00405F9C"/>
    <w:rsid w:val="004064FE"/>
    <w:rsid w:val="004064FF"/>
    <w:rsid w:val="004075E1"/>
    <w:rsid w:val="00410187"/>
    <w:rsid w:val="004110EA"/>
    <w:rsid w:val="00411462"/>
    <w:rsid w:val="004132DE"/>
    <w:rsid w:val="00413D0C"/>
    <w:rsid w:val="0041414D"/>
    <w:rsid w:val="004143F8"/>
    <w:rsid w:val="00415179"/>
    <w:rsid w:val="00415ADA"/>
    <w:rsid w:val="00415B2E"/>
    <w:rsid w:val="00415D2D"/>
    <w:rsid w:val="00416F03"/>
    <w:rsid w:val="00416FB0"/>
    <w:rsid w:val="0041780A"/>
    <w:rsid w:val="0042022B"/>
    <w:rsid w:val="00420F56"/>
    <w:rsid w:val="00420FF7"/>
    <w:rsid w:val="004210F2"/>
    <w:rsid w:val="00422347"/>
    <w:rsid w:val="004237F7"/>
    <w:rsid w:val="00423C9D"/>
    <w:rsid w:val="004240F9"/>
    <w:rsid w:val="0042447D"/>
    <w:rsid w:val="00424C7A"/>
    <w:rsid w:val="004252BF"/>
    <w:rsid w:val="004258CC"/>
    <w:rsid w:val="00425AB0"/>
    <w:rsid w:val="00425EC9"/>
    <w:rsid w:val="00426AA8"/>
    <w:rsid w:val="00427BA6"/>
    <w:rsid w:val="004300F1"/>
    <w:rsid w:val="004307F4"/>
    <w:rsid w:val="00430F7B"/>
    <w:rsid w:val="00430FB4"/>
    <w:rsid w:val="00432AAF"/>
    <w:rsid w:val="00433F3F"/>
    <w:rsid w:val="00434B87"/>
    <w:rsid w:val="0043660F"/>
    <w:rsid w:val="0043668D"/>
    <w:rsid w:val="004373FD"/>
    <w:rsid w:val="0043764B"/>
    <w:rsid w:val="00437ABA"/>
    <w:rsid w:val="00441CFD"/>
    <w:rsid w:val="00441E76"/>
    <w:rsid w:val="004424F4"/>
    <w:rsid w:val="00442C5B"/>
    <w:rsid w:val="004430EE"/>
    <w:rsid w:val="00443A3D"/>
    <w:rsid w:val="004440F1"/>
    <w:rsid w:val="00444AB4"/>
    <w:rsid w:val="00444C6E"/>
    <w:rsid w:val="00444D29"/>
    <w:rsid w:val="00444D58"/>
    <w:rsid w:val="004450AA"/>
    <w:rsid w:val="00445233"/>
    <w:rsid w:val="004453F4"/>
    <w:rsid w:val="00445EB4"/>
    <w:rsid w:val="00445FA7"/>
    <w:rsid w:val="004472B1"/>
    <w:rsid w:val="00447662"/>
    <w:rsid w:val="004502B6"/>
    <w:rsid w:val="00450C17"/>
    <w:rsid w:val="00450E9D"/>
    <w:rsid w:val="0045149D"/>
    <w:rsid w:val="00451765"/>
    <w:rsid w:val="00452C00"/>
    <w:rsid w:val="00453579"/>
    <w:rsid w:val="00453704"/>
    <w:rsid w:val="004541AF"/>
    <w:rsid w:val="004547DF"/>
    <w:rsid w:val="00454C16"/>
    <w:rsid w:val="004556A5"/>
    <w:rsid w:val="00455B26"/>
    <w:rsid w:val="00455DD3"/>
    <w:rsid w:val="00456CF2"/>
    <w:rsid w:val="00456D56"/>
    <w:rsid w:val="00457390"/>
    <w:rsid w:val="004575D3"/>
    <w:rsid w:val="0046030F"/>
    <w:rsid w:val="00460BA8"/>
    <w:rsid w:val="0046153A"/>
    <w:rsid w:val="00462322"/>
    <w:rsid w:val="00462EC5"/>
    <w:rsid w:val="004635FA"/>
    <w:rsid w:val="004635FC"/>
    <w:rsid w:val="00464D1B"/>
    <w:rsid w:val="00465894"/>
    <w:rsid w:val="00465F10"/>
    <w:rsid w:val="0046639F"/>
    <w:rsid w:val="004666BC"/>
    <w:rsid w:val="004674F3"/>
    <w:rsid w:val="00467618"/>
    <w:rsid w:val="00467C58"/>
    <w:rsid w:val="004710D5"/>
    <w:rsid w:val="00471342"/>
    <w:rsid w:val="004714DC"/>
    <w:rsid w:val="0047161D"/>
    <w:rsid w:val="00471B08"/>
    <w:rsid w:val="004721DD"/>
    <w:rsid w:val="00472E40"/>
    <w:rsid w:val="0047359E"/>
    <w:rsid w:val="00474E9A"/>
    <w:rsid w:val="00474FAE"/>
    <w:rsid w:val="004754FB"/>
    <w:rsid w:val="00475A87"/>
    <w:rsid w:val="0047604F"/>
    <w:rsid w:val="004765AE"/>
    <w:rsid w:val="00476677"/>
    <w:rsid w:val="00476977"/>
    <w:rsid w:val="004769AC"/>
    <w:rsid w:val="0048061D"/>
    <w:rsid w:val="004811B8"/>
    <w:rsid w:val="004812B2"/>
    <w:rsid w:val="0048191B"/>
    <w:rsid w:val="00481DA7"/>
    <w:rsid w:val="00481E42"/>
    <w:rsid w:val="004827AC"/>
    <w:rsid w:val="00483502"/>
    <w:rsid w:val="0048383C"/>
    <w:rsid w:val="00483E3A"/>
    <w:rsid w:val="0048498A"/>
    <w:rsid w:val="00485783"/>
    <w:rsid w:val="00485C8F"/>
    <w:rsid w:val="00485C96"/>
    <w:rsid w:val="00485D8B"/>
    <w:rsid w:val="00486D22"/>
    <w:rsid w:val="0049148B"/>
    <w:rsid w:val="00491A15"/>
    <w:rsid w:val="004926AA"/>
    <w:rsid w:val="0049345D"/>
    <w:rsid w:val="0049378F"/>
    <w:rsid w:val="0049396E"/>
    <w:rsid w:val="00493F68"/>
    <w:rsid w:val="00493FB1"/>
    <w:rsid w:val="00495D5D"/>
    <w:rsid w:val="0049608B"/>
    <w:rsid w:val="0049682D"/>
    <w:rsid w:val="00497351"/>
    <w:rsid w:val="0049773C"/>
    <w:rsid w:val="00497EA7"/>
    <w:rsid w:val="00497F76"/>
    <w:rsid w:val="004A0DC0"/>
    <w:rsid w:val="004A1F9C"/>
    <w:rsid w:val="004A29F5"/>
    <w:rsid w:val="004A2FF4"/>
    <w:rsid w:val="004A321A"/>
    <w:rsid w:val="004A3897"/>
    <w:rsid w:val="004A38FB"/>
    <w:rsid w:val="004A5CBC"/>
    <w:rsid w:val="004A6ED0"/>
    <w:rsid w:val="004A713F"/>
    <w:rsid w:val="004A7A64"/>
    <w:rsid w:val="004A7DAD"/>
    <w:rsid w:val="004B092F"/>
    <w:rsid w:val="004B0A96"/>
    <w:rsid w:val="004B1915"/>
    <w:rsid w:val="004B1FC0"/>
    <w:rsid w:val="004B217A"/>
    <w:rsid w:val="004B30EF"/>
    <w:rsid w:val="004B348E"/>
    <w:rsid w:val="004B3625"/>
    <w:rsid w:val="004B4CFA"/>
    <w:rsid w:val="004B5B8E"/>
    <w:rsid w:val="004B608F"/>
    <w:rsid w:val="004B6397"/>
    <w:rsid w:val="004B7012"/>
    <w:rsid w:val="004B7569"/>
    <w:rsid w:val="004C0816"/>
    <w:rsid w:val="004C1710"/>
    <w:rsid w:val="004C1B2C"/>
    <w:rsid w:val="004C1EBE"/>
    <w:rsid w:val="004C2244"/>
    <w:rsid w:val="004C30A3"/>
    <w:rsid w:val="004C3611"/>
    <w:rsid w:val="004C3CB3"/>
    <w:rsid w:val="004C46C6"/>
    <w:rsid w:val="004C4919"/>
    <w:rsid w:val="004C4EC8"/>
    <w:rsid w:val="004C5C69"/>
    <w:rsid w:val="004C5C92"/>
    <w:rsid w:val="004C633A"/>
    <w:rsid w:val="004C66E4"/>
    <w:rsid w:val="004C6776"/>
    <w:rsid w:val="004C6D8F"/>
    <w:rsid w:val="004D0062"/>
    <w:rsid w:val="004D01D5"/>
    <w:rsid w:val="004D023E"/>
    <w:rsid w:val="004D056B"/>
    <w:rsid w:val="004D19A8"/>
    <w:rsid w:val="004D22FA"/>
    <w:rsid w:val="004D23C8"/>
    <w:rsid w:val="004D2FCC"/>
    <w:rsid w:val="004D316A"/>
    <w:rsid w:val="004D33FA"/>
    <w:rsid w:val="004D3F3E"/>
    <w:rsid w:val="004D4805"/>
    <w:rsid w:val="004D4ED9"/>
    <w:rsid w:val="004D5300"/>
    <w:rsid w:val="004D5DC7"/>
    <w:rsid w:val="004D6194"/>
    <w:rsid w:val="004D6A31"/>
    <w:rsid w:val="004D72E2"/>
    <w:rsid w:val="004D7D94"/>
    <w:rsid w:val="004D7F56"/>
    <w:rsid w:val="004E0F84"/>
    <w:rsid w:val="004E171F"/>
    <w:rsid w:val="004E2503"/>
    <w:rsid w:val="004E3128"/>
    <w:rsid w:val="004E313E"/>
    <w:rsid w:val="004E37EB"/>
    <w:rsid w:val="004E3BA8"/>
    <w:rsid w:val="004E3C99"/>
    <w:rsid w:val="004E4023"/>
    <w:rsid w:val="004E4FDD"/>
    <w:rsid w:val="004E51BD"/>
    <w:rsid w:val="004E5C6E"/>
    <w:rsid w:val="004E66F1"/>
    <w:rsid w:val="004E7558"/>
    <w:rsid w:val="004F032D"/>
    <w:rsid w:val="004F0AB0"/>
    <w:rsid w:val="004F10C8"/>
    <w:rsid w:val="004F13C7"/>
    <w:rsid w:val="004F14C7"/>
    <w:rsid w:val="004F19BF"/>
    <w:rsid w:val="004F1C55"/>
    <w:rsid w:val="004F23D9"/>
    <w:rsid w:val="004F2B00"/>
    <w:rsid w:val="004F3B5F"/>
    <w:rsid w:val="004F3F95"/>
    <w:rsid w:val="004F44F3"/>
    <w:rsid w:val="004F5649"/>
    <w:rsid w:val="004F74CF"/>
    <w:rsid w:val="005006C3"/>
    <w:rsid w:val="00501F0C"/>
    <w:rsid w:val="0050229B"/>
    <w:rsid w:val="00502323"/>
    <w:rsid w:val="00503792"/>
    <w:rsid w:val="00504AFC"/>
    <w:rsid w:val="00504E52"/>
    <w:rsid w:val="00505ED4"/>
    <w:rsid w:val="00506345"/>
    <w:rsid w:val="0050684A"/>
    <w:rsid w:val="00506889"/>
    <w:rsid w:val="00506CAB"/>
    <w:rsid w:val="00506CDB"/>
    <w:rsid w:val="00507E67"/>
    <w:rsid w:val="00507F4F"/>
    <w:rsid w:val="005108B1"/>
    <w:rsid w:val="005113A4"/>
    <w:rsid w:val="00511CFF"/>
    <w:rsid w:val="00511F9F"/>
    <w:rsid w:val="00512257"/>
    <w:rsid w:val="00512646"/>
    <w:rsid w:val="00512687"/>
    <w:rsid w:val="00512A0E"/>
    <w:rsid w:val="00512ABB"/>
    <w:rsid w:val="00512F9C"/>
    <w:rsid w:val="00513D86"/>
    <w:rsid w:val="00513FE6"/>
    <w:rsid w:val="00514117"/>
    <w:rsid w:val="00514E3F"/>
    <w:rsid w:val="00514FDA"/>
    <w:rsid w:val="005150DD"/>
    <w:rsid w:val="00515187"/>
    <w:rsid w:val="00515D08"/>
    <w:rsid w:val="00515F55"/>
    <w:rsid w:val="0051609F"/>
    <w:rsid w:val="005163F1"/>
    <w:rsid w:val="00516D8E"/>
    <w:rsid w:val="005170DE"/>
    <w:rsid w:val="005172D4"/>
    <w:rsid w:val="00520271"/>
    <w:rsid w:val="00520593"/>
    <w:rsid w:val="0052087F"/>
    <w:rsid w:val="00520CB1"/>
    <w:rsid w:val="0052106C"/>
    <w:rsid w:val="00521104"/>
    <w:rsid w:val="00521CCA"/>
    <w:rsid w:val="00522249"/>
    <w:rsid w:val="00522280"/>
    <w:rsid w:val="0052256D"/>
    <w:rsid w:val="00522745"/>
    <w:rsid w:val="00522EA8"/>
    <w:rsid w:val="00524194"/>
    <w:rsid w:val="00525498"/>
    <w:rsid w:val="00525E7A"/>
    <w:rsid w:val="005265A9"/>
    <w:rsid w:val="00526728"/>
    <w:rsid w:val="00526F88"/>
    <w:rsid w:val="0052731C"/>
    <w:rsid w:val="00527DD4"/>
    <w:rsid w:val="0053055F"/>
    <w:rsid w:val="0053080E"/>
    <w:rsid w:val="005319E7"/>
    <w:rsid w:val="00531AC3"/>
    <w:rsid w:val="00532B9F"/>
    <w:rsid w:val="0053345A"/>
    <w:rsid w:val="00534318"/>
    <w:rsid w:val="00534598"/>
    <w:rsid w:val="00534A06"/>
    <w:rsid w:val="00534C68"/>
    <w:rsid w:val="00534E09"/>
    <w:rsid w:val="00535983"/>
    <w:rsid w:val="00535BA3"/>
    <w:rsid w:val="005361A5"/>
    <w:rsid w:val="005363D8"/>
    <w:rsid w:val="0053641A"/>
    <w:rsid w:val="00537290"/>
    <w:rsid w:val="00537873"/>
    <w:rsid w:val="0054003D"/>
    <w:rsid w:val="00540B20"/>
    <w:rsid w:val="0054295A"/>
    <w:rsid w:val="00543122"/>
    <w:rsid w:val="00543911"/>
    <w:rsid w:val="005444C9"/>
    <w:rsid w:val="00544D5A"/>
    <w:rsid w:val="00545604"/>
    <w:rsid w:val="005460CC"/>
    <w:rsid w:val="0054724E"/>
    <w:rsid w:val="00547533"/>
    <w:rsid w:val="0055015B"/>
    <w:rsid w:val="0055057D"/>
    <w:rsid w:val="005508DB"/>
    <w:rsid w:val="00550B78"/>
    <w:rsid w:val="00550FCB"/>
    <w:rsid w:val="00551226"/>
    <w:rsid w:val="00551326"/>
    <w:rsid w:val="00551412"/>
    <w:rsid w:val="00551A9B"/>
    <w:rsid w:val="005546F6"/>
    <w:rsid w:val="00554B37"/>
    <w:rsid w:val="00554BA0"/>
    <w:rsid w:val="00554D9E"/>
    <w:rsid w:val="005556CF"/>
    <w:rsid w:val="00555C1A"/>
    <w:rsid w:val="00555FDC"/>
    <w:rsid w:val="00556227"/>
    <w:rsid w:val="00556603"/>
    <w:rsid w:val="005568E5"/>
    <w:rsid w:val="00556CDF"/>
    <w:rsid w:val="0055701F"/>
    <w:rsid w:val="00561120"/>
    <w:rsid w:val="005617B7"/>
    <w:rsid w:val="005619DB"/>
    <w:rsid w:val="005622F0"/>
    <w:rsid w:val="005623A0"/>
    <w:rsid w:val="00562B67"/>
    <w:rsid w:val="00562DD2"/>
    <w:rsid w:val="00563E59"/>
    <w:rsid w:val="00564860"/>
    <w:rsid w:val="00564A93"/>
    <w:rsid w:val="00564B86"/>
    <w:rsid w:val="00564EF4"/>
    <w:rsid w:val="005652A2"/>
    <w:rsid w:val="0056563B"/>
    <w:rsid w:val="005667A3"/>
    <w:rsid w:val="00566AAA"/>
    <w:rsid w:val="005671B0"/>
    <w:rsid w:val="005677C3"/>
    <w:rsid w:val="00567955"/>
    <w:rsid w:val="00567C58"/>
    <w:rsid w:val="00567D49"/>
    <w:rsid w:val="00571063"/>
    <w:rsid w:val="0057138F"/>
    <w:rsid w:val="0057146B"/>
    <w:rsid w:val="0057226D"/>
    <w:rsid w:val="00572922"/>
    <w:rsid w:val="00573A65"/>
    <w:rsid w:val="0057417E"/>
    <w:rsid w:val="00574319"/>
    <w:rsid w:val="0057475E"/>
    <w:rsid w:val="00574AF7"/>
    <w:rsid w:val="005752B8"/>
    <w:rsid w:val="0057558E"/>
    <w:rsid w:val="00575BFA"/>
    <w:rsid w:val="00575CFF"/>
    <w:rsid w:val="0057608C"/>
    <w:rsid w:val="00576519"/>
    <w:rsid w:val="005767ED"/>
    <w:rsid w:val="00577017"/>
    <w:rsid w:val="00577E32"/>
    <w:rsid w:val="00580AC6"/>
    <w:rsid w:val="00580B94"/>
    <w:rsid w:val="00580D33"/>
    <w:rsid w:val="00582F9D"/>
    <w:rsid w:val="00583304"/>
    <w:rsid w:val="00583AC3"/>
    <w:rsid w:val="00583B18"/>
    <w:rsid w:val="00584E69"/>
    <w:rsid w:val="0058547B"/>
    <w:rsid w:val="005876DE"/>
    <w:rsid w:val="0058796A"/>
    <w:rsid w:val="00587B98"/>
    <w:rsid w:val="00590975"/>
    <w:rsid w:val="00591241"/>
    <w:rsid w:val="00591B54"/>
    <w:rsid w:val="005922EB"/>
    <w:rsid w:val="00593AB9"/>
    <w:rsid w:val="005940AA"/>
    <w:rsid w:val="0059435D"/>
    <w:rsid w:val="005946CD"/>
    <w:rsid w:val="005947CE"/>
    <w:rsid w:val="00594B12"/>
    <w:rsid w:val="00594BF9"/>
    <w:rsid w:val="005953DF"/>
    <w:rsid w:val="005959BC"/>
    <w:rsid w:val="00595D00"/>
    <w:rsid w:val="00595D5B"/>
    <w:rsid w:val="00596EE9"/>
    <w:rsid w:val="00597379"/>
    <w:rsid w:val="005976BE"/>
    <w:rsid w:val="005976E1"/>
    <w:rsid w:val="005A0296"/>
    <w:rsid w:val="005A0E63"/>
    <w:rsid w:val="005A141C"/>
    <w:rsid w:val="005A16FD"/>
    <w:rsid w:val="005A19EE"/>
    <w:rsid w:val="005A1C29"/>
    <w:rsid w:val="005A203A"/>
    <w:rsid w:val="005A206E"/>
    <w:rsid w:val="005A22C1"/>
    <w:rsid w:val="005A23CA"/>
    <w:rsid w:val="005A44A8"/>
    <w:rsid w:val="005A510B"/>
    <w:rsid w:val="005A54EB"/>
    <w:rsid w:val="005A600B"/>
    <w:rsid w:val="005A62E0"/>
    <w:rsid w:val="005A653B"/>
    <w:rsid w:val="005A712D"/>
    <w:rsid w:val="005B0862"/>
    <w:rsid w:val="005B08C7"/>
    <w:rsid w:val="005B18A5"/>
    <w:rsid w:val="005B209D"/>
    <w:rsid w:val="005B31DE"/>
    <w:rsid w:val="005B3C0B"/>
    <w:rsid w:val="005B42F7"/>
    <w:rsid w:val="005B4614"/>
    <w:rsid w:val="005B480D"/>
    <w:rsid w:val="005B4B13"/>
    <w:rsid w:val="005B50DC"/>
    <w:rsid w:val="005B6822"/>
    <w:rsid w:val="005B7144"/>
    <w:rsid w:val="005B7B28"/>
    <w:rsid w:val="005B7D70"/>
    <w:rsid w:val="005C006B"/>
    <w:rsid w:val="005C170C"/>
    <w:rsid w:val="005C198A"/>
    <w:rsid w:val="005C1F0F"/>
    <w:rsid w:val="005C256F"/>
    <w:rsid w:val="005C2A84"/>
    <w:rsid w:val="005C2E6D"/>
    <w:rsid w:val="005C34E1"/>
    <w:rsid w:val="005C4215"/>
    <w:rsid w:val="005C58CD"/>
    <w:rsid w:val="005C6F0B"/>
    <w:rsid w:val="005C7053"/>
    <w:rsid w:val="005C73D7"/>
    <w:rsid w:val="005D069E"/>
    <w:rsid w:val="005D0CB5"/>
    <w:rsid w:val="005D1F9E"/>
    <w:rsid w:val="005D23FA"/>
    <w:rsid w:val="005D28EB"/>
    <w:rsid w:val="005D4FE1"/>
    <w:rsid w:val="005D5126"/>
    <w:rsid w:val="005D53BD"/>
    <w:rsid w:val="005D5532"/>
    <w:rsid w:val="005D59AF"/>
    <w:rsid w:val="005D606E"/>
    <w:rsid w:val="005D675C"/>
    <w:rsid w:val="005D6785"/>
    <w:rsid w:val="005D70F2"/>
    <w:rsid w:val="005D77D6"/>
    <w:rsid w:val="005E0887"/>
    <w:rsid w:val="005E0F05"/>
    <w:rsid w:val="005E13BF"/>
    <w:rsid w:val="005E1952"/>
    <w:rsid w:val="005E1B3D"/>
    <w:rsid w:val="005E2404"/>
    <w:rsid w:val="005E252F"/>
    <w:rsid w:val="005E27D0"/>
    <w:rsid w:val="005E2AC6"/>
    <w:rsid w:val="005E34F9"/>
    <w:rsid w:val="005E4223"/>
    <w:rsid w:val="005E4954"/>
    <w:rsid w:val="005E4DB3"/>
    <w:rsid w:val="005E56DE"/>
    <w:rsid w:val="005E63DA"/>
    <w:rsid w:val="005E7A39"/>
    <w:rsid w:val="005F0193"/>
    <w:rsid w:val="005F0204"/>
    <w:rsid w:val="005F04C2"/>
    <w:rsid w:val="005F0D7E"/>
    <w:rsid w:val="005F12EC"/>
    <w:rsid w:val="005F16CA"/>
    <w:rsid w:val="005F1857"/>
    <w:rsid w:val="005F210C"/>
    <w:rsid w:val="005F55EE"/>
    <w:rsid w:val="005F5D13"/>
    <w:rsid w:val="005F6B52"/>
    <w:rsid w:val="005F73AD"/>
    <w:rsid w:val="005F7763"/>
    <w:rsid w:val="005F7B9C"/>
    <w:rsid w:val="005F7CE6"/>
    <w:rsid w:val="00600049"/>
    <w:rsid w:val="00601A34"/>
    <w:rsid w:val="00602ACC"/>
    <w:rsid w:val="00602B6C"/>
    <w:rsid w:val="00602E30"/>
    <w:rsid w:val="00603123"/>
    <w:rsid w:val="0060391A"/>
    <w:rsid w:val="00603A5E"/>
    <w:rsid w:val="00604771"/>
    <w:rsid w:val="00604E99"/>
    <w:rsid w:val="0060529B"/>
    <w:rsid w:val="00605F98"/>
    <w:rsid w:val="006062FF"/>
    <w:rsid w:val="00606358"/>
    <w:rsid w:val="00606A37"/>
    <w:rsid w:val="00606D17"/>
    <w:rsid w:val="00606FF3"/>
    <w:rsid w:val="00607155"/>
    <w:rsid w:val="00607C56"/>
    <w:rsid w:val="006106A5"/>
    <w:rsid w:val="00610A68"/>
    <w:rsid w:val="00610C64"/>
    <w:rsid w:val="00610EE2"/>
    <w:rsid w:val="00610FED"/>
    <w:rsid w:val="006111BD"/>
    <w:rsid w:val="00611D06"/>
    <w:rsid w:val="006129A5"/>
    <w:rsid w:val="00612F1E"/>
    <w:rsid w:val="0061345C"/>
    <w:rsid w:val="00613760"/>
    <w:rsid w:val="00614213"/>
    <w:rsid w:val="00616327"/>
    <w:rsid w:val="00617A56"/>
    <w:rsid w:val="00617A60"/>
    <w:rsid w:val="00620274"/>
    <w:rsid w:val="00621284"/>
    <w:rsid w:val="0062132B"/>
    <w:rsid w:val="006225E2"/>
    <w:rsid w:val="00622B89"/>
    <w:rsid w:val="00623B92"/>
    <w:rsid w:val="00626A50"/>
    <w:rsid w:val="00626E31"/>
    <w:rsid w:val="00627504"/>
    <w:rsid w:val="00627FB9"/>
    <w:rsid w:val="00631EBA"/>
    <w:rsid w:val="00632BC1"/>
    <w:rsid w:val="00633125"/>
    <w:rsid w:val="0063363F"/>
    <w:rsid w:val="006348D0"/>
    <w:rsid w:val="00634EFD"/>
    <w:rsid w:val="00635100"/>
    <w:rsid w:val="006354F4"/>
    <w:rsid w:val="00635FB6"/>
    <w:rsid w:val="0063622C"/>
    <w:rsid w:val="0063684A"/>
    <w:rsid w:val="00636BF9"/>
    <w:rsid w:val="00636FD5"/>
    <w:rsid w:val="00637242"/>
    <w:rsid w:val="0064032C"/>
    <w:rsid w:val="0064062B"/>
    <w:rsid w:val="00640EA5"/>
    <w:rsid w:val="00640F63"/>
    <w:rsid w:val="006415F1"/>
    <w:rsid w:val="006428A5"/>
    <w:rsid w:val="00642EAB"/>
    <w:rsid w:val="00644F16"/>
    <w:rsid w:val="00645A10"/>
    <w:rsid w:val="0064620E"/>
    <w:rsid w:val="00646344"/>
    <w:rsid w:val="00650168"/>
    <w:rsid w:val="006509EF"/>
    <w:rsid w:val="0065116C"/>
    <w:rsid w:val="006542B6"/>
    <w:rsid w:val="00654596"/>
    <w:rsid w:val="00654A1C"/>
    <w:rsid w:val="00654A49"/>
    <w:rsid w:val="00654C74"/>
    <w:rsid w:val="0065504C"/>
    <w:rsid w:val="006566FB"/>
    <w:rsid w:val="006573B2"/>
    <w:rsid w:val="00657F6F"/>
    <w:rsid w:val="006605C2"/>
    <w:rsid w:val="00661021"/>
    <w:rsid w:val="006612A0"/>
    <w:rsid w:val="0066145A"/>
    <w:rsid w:val="0066221B"/>
    <w:rsid w:val="0066290E"/>
    <w:rsid w:val="006629CE"/>
    <w:rsid w:val="00662B2E"/>
    <w:rsid w:val="00662C35"/>
    <w:rsid w:val="00662C96"/>
    <w:rsid w:val="00663648"/>
    <w:rsid w:val="006648A5"/>
    <w:rsid w:val="00664DAE"/>
    <w:rsid w:val="00664E23"/>
    <w:rsid w:val="00664E4D"/>
    <w:rsid w:val="00664FCB"/>
    <w:rsid w:val="00666796"/>
    <w:rsid w:val="006671AD"/>
    <w:rsid w:val="00670A9C"/>
    <w:rsid w:val="00671813"/>
    <w:rsid w:val="00671983"/>
    <w:rsid w:val="0067203D"/>
    <w:rsid w:val="006725F8"/>
    <w:rsid w:val="00673FAD"/>
    <w:rsid w:val="00674006"/>
    <w:rsid w:val="00674818"/>
    <w:rsid w:val="00674B2E"/>
    <w:rsid w:val="00676147"/>
    <w:rsid w:val="00680D21"/>
    <w:rsid w:val="00680D27"/>
    <w:rsid w:val="006818CD"/>
    <w:rsid w:val="0068198A"/>
    <w:rsid w:val="00683055"/>
    <w:rsid w:val="006832C1"/>
    <w:rsid w:val="0068334E"/>
    <w:rsid w:val="00683EF8"/>
    <w:rsid w:val="00684056"/>
    <w:rsid w:val="006841E5"/>
    <w:rsid w:val="0068428A"/>
    <w:rsid w:val="0068489A"/>
    <w:rsid w:val="00684A52"/>
    <w:rsid w:val="00684A57"/>
    <w:rsid w:val="00685A33"/>
    <w:rsid w:val="00685BD7"/>
    <w:rsid w:val="00687080"/>
    <w:rsid w:val="006878D4"/>
    <w:rsid w:val="00687935"/>
    <w:rsid w:val="006906F3"/>
    <w:rsid w:val="006910F3"/>
    <w:rsid w:val="00691A5C"/>
    <w:rsid w:val="00691A9B"/>
    <w:rsid w:val="00691E1B"/>
    <w:rsid w:val="00691E21"/>
    <w:rsid w:val="006926B9"/>
    <w:rsid w:val="006926D7"/>
    <w:rsid w:val="00693495"/>
    <w:rsid w:val="00693895"/>
    <w:rsid w:val="006939B1"/>
    <w:rsid w:val="006940E3"/>
    <w:rsid w:val="006941CF"/>
    <w:rsid w:val="00694812"/>
    <w:rsid w:val="00694D6D"/>
    <w:rsid w:val="00694EA2"/>
    <w:rsid w:val="00695076"/>
    <w:rsid w:val="00695210"/>
    <w:rsid w:val="00695525"/>
    <w:rsid w:val="00695FE6"/>
    <w:rsid w:val="00697B6E"/>
    <w:rsid w:val="00697C93"/>
    <w:rsid w:val="006A0D1A"/>
    <w:rsid w:val="006A1F66"/>
    <w:rsid w:val="006A2402"/>
    <w:rsid w:val="006A2EC3"/>
    <w:rsid w:val="006A4455"/>
    <w:rsid w:val="006A5F97"/>
    <w:rsid w:val="006A60E4"/>
    <w:rsid w:val="006A631D"/>
    <w:rsid w:val="006A6A8C"/>
    <w:rsid w:val="006A72A8"/>
    <w:rsid w:val="006A777A"/>
    <w:rsid w:val="006A786A"/>
    <w:rsid w:val="006A7879"/>
    <w:rsid w:val="006A7982"/>
    <w:rsid w:val="006B027D"/>
    <w:rsid w:val="006B0EC2"/>
    <w:rsid w:val="006B1087"/>
    <w:rsid w:val="006B157B"/>
    <w:rsid w:val="006B2282"/>
    <w:rsid w:val="006B2DEF"/>
    <w:rsid w:val="006B3518"/>
    <w:rsid w:val="006B4255"/>
    <w:rsid w:val="006B4290"/>
    <w:rsid w:val="006B4526"/>
    <w:rsid w:val="006B45D0"/>
    <w:rsid w:val="006B4DBB"/>
    <w:rsid w:val="006B5FB8"/>
    <w:rsid w:val="006B6A8E"/>
    <w:rsid w:val="006B7673"/>
    <w:rsid w:val="006B78E7"/>
    <w:rsid w:val="006C0F8E"/>
    <w:rsid w:val="006C1E3E"/>
    <w:rsid w:val="006C2B5B"/>
    <w:rsid w:val="006C35C1"/>
    <w:rsid w:val="006C3735"/>
    <w:rsid w:val="006C3BD5"/>
    <w:rsid w:val="006C4391"/>
    <w:rsid w:val="006C46A6"/>
    <w:rsid w:val="006C473F"/>
    <w:rsid w:val="006C4852"/>
    <w:rsid w:val="006C5DE1"/>
    <w:rsid w:val="006C6AA2"/>
    <w:rsid w:val="006C6E02"/>
    <w:rsid w:val="006C794E"/>
    <w:rsid w:val="006C798B"/>
    <w:rsid w:val="006D08BC"/>
    <w:rsid w:val="006D171F"/>
    <w:rsid w:val="006D1733"/>
    <w:rsid w:val="006D17E9"/>
    <w:rsid w:val="006D2536"/>
    <w:rsid w:val="006D2F16"/>
    <w:rsid w:val="006D302B"/>
    <w:rsid w:val="006D3F49"/>
    <w:rsid w:val="006D4B61"/>
    <w:rsid w:val="006D6B77"/>
    <w:rsid w:val="006D6C54"/>
    <w:rsid w:val="006D7856"/>
    <w:rsid w:val="006D7F8D"/>
    <w:rsid w:val="006E039F"/>
    <w:rsid w:val="006E1A5C"/>
    <w:rsid w:val="006E1FAB"/>
    <w:rsid w:val="006E2311"/>
    <w:rsid w:val="006E27ED"/>
    <w:rsid w:val="006E42D6"/>
    <w:rsid w:val="006E4900"/>
    <w:rsid w:val="006E4F3D"/>
    <w:rsid w:val="006E50AA"/>
    <w:rsid w:val="006E56F9"/>
    <w:rsid w:val="006E639C"/>
    <w:rsid w:val="006F0492"/>
    <w:rsid w:val="006F1446"/>
    <w:rsid w:val="006F15EC"/>
    <w:rsid w:val="006F164E"/>
    <w:rsid w:val="006F1743"/>
    <w:rsid w:val="006F2671"/>
    <w:rsid w:val="006F3526"/>
    <w:rsid w:val="006F364C"/>
    <w:rsid w:val="006F4342"/>
    <w:rsid w:val="006F45E7"/>
    <w:rsid w:val="006F4613"/>
    <w:rsid w:val="006F4740"/>
    <w:rsid w:val="006F4F94"/>
    <w:rsid w:val="006F50C5"/>
    <w:rsid w:val="006F5480"/>
    <w:rsid w:val="006F5C40"/>
    <w:rsid w:val="006F64FC"/>
    <w:rsid w:val="006F6DBB"/>
    <w:rsid w:val="007005BD"/>
    <w:rsid w:val="00701268"/>
    <w:rsid w:val="007013AF"/>
    <w:rsid w:val="00701D92"/>
    <w:rsid w:val="007034C4"/>
    <w:rsid w:val="007037F5"/>
    <w:rsid w:val="007039D0"/>
    <w:rsid w:val="007043AC"/>
    <w:rsid w:val="0070444E"/>
    <w:rsid w:val="0070451B"/>
    <w:rsid w:val="007048E2"/>
    <w:rsid w:val="007048FE"/>
    <w:rsid w:val="00704C34"/>
    <w:rsid w:val="00704DD9"/>
    <w:rsid w:val="00705B0F"/>
    <w:rsid w:val="00707CC6"/>
    <w:rsid w:val="007100BB"/>
    <w:rsid w:val="0071022A"/>
    <w:rsid w:val="00711E8D"/>
    <w:rsid w:val="00711FEB"/>
    <w:rsid w:val="00712089"/>
    <w:rsid w:val="0071214A"/>
    <w:rsid w:val="0071299B"/>
    <w:rsid w:val="0071305C"/>
    <w:rsid w:val="007131D5"/>
    <w:rsid w:val="007134FE"/>
    <w:rsid w:val="00713750"/>
    <w:rsid w:val="007147C1"/>
    <w:rsid w:val="00715231"/>
    <w:rsid w:val="0071555C"/>
    <w:rsid w:val="00715D3A"/>
    <w:rsid w:val="00716161"/>
    <w:rsid w:val="007172AE"/>
    <w:rsid w:val="0071766B"/>
    <w:rsid w:val="00717F9B"/>
    <w:rsid w:val="007200E3"/>
    <w:rsid w:val="00720C55"/>
    <w:rsid w:val="0072122C"/>
    <w:rsid w:val="00721A31"/>
    <w:rsid w:val="00722997"/>
    <w:rsid w:val="00722A41"/>
    <w:rsid w:val="0072352A"/>
    <w:rsid w:val="00723668"/>
    <w:rsid w:val="00723A72"/>
    <w:rsid w:val="00724418"/>
    <w:rsid w:val="007246B0"/>
    <w:rsid w:val="0072488D"/>
    <w:rsid w:val="00724A9A"/>
    <w:rsid w:val="00724D2B"/>
    <w:rsid w:val="00725EDD"/>
    <w:rsid w:val="00726913"/>
    <w:rsid w:val="00726D9B"/>
    <w:rsid w:val="00727840"/>
    <w:rsid w:val="00727877"/>
    <w:rsid w:val="00727F74"/>
    <w:rsid w:val="00730B9B"/>
    <w:rsid w:val="00730D5D"/>
    <w:rsid w:val="00731689"/>
    <w:rsid w:val="00731D09"/>
    <w:rsid w:val="0073213B"/>
    <w:rsid w:val="0073246A"/>
    <w:rsid w:val="00732871"/>
    <w:rsid w:val="00732989"/>
    <w:rsid w:val="00733B3F"/>
    <w:rsid w:val="00734003"/>
    <w:rsid w:val="00734765"/>
    <w:rsid w:val="00734D7A"/>
    <w:rsid w:val="00735AA2"/>
    <w:rsid w:val="00736C83"/>
    <w:rsid w:val="0073704E"/>
    <w:rsid w:val="0073723B"/>
    <w:rsid w:val="0074051D"/>
    <w:rsid w:val="007406AD"/>
    <w:rsid w:val="00741332"/>
    <w:rsid w:val="00742F38"/>
    <w:rsid w:val="0074456E"/>
    <w:rsid w:val="00744B5C"/>
    <w:rsid w:val="00744E9D"/>
    <w:rsid w:val="007455F9"/>
    <w:rsid w:val="0074576D"/>
    <w:rsid w:val="00746324"/>
    <w:rsid w:val="00746E02"/>
    <w:rsid w:val="00746E94"/>
    <w:rsid w:val="0074711E"/>
    <w:rsid w:val="0074753A"/>
    <w:rsid w:val="00752045"/>
    <w:rsid w:val="0075225D"/>
    <w:rsid w:val="0075490D"/>
    <w:rsid w:val="007550C3"/>
    <w:rsid w:val="007557AC"/>
    <w:rsid w:val="0075595C"/>
    <w:rsid w:val="007560D5"/>
    <w:rsid w:val="0075659D"/>
    <w:rsid w:val="00756895"/>
    <w:rsid w:val="007568E3"/>
    <w:rsid w:val="00756A99"/>
    <w:rsid w:val="007574A7"/>
    <w:rsid w:val="007579FC"/>
    <w:rsid w:val="00757B65"/>
    <w:rsid w:val="007608C6"/>
    <w:rsid w:val="0076177E"/>
    <w:rsid w:val="00761A60"/>
    <w:rsid w:val="00761E2D"/>
    <w:rsid w:val="00765489"/>
    <w:rsid w:val="00765B32"/>
    <w:rsid w:val="00766BE0"/>
    <w:rsid w:val="00767C63"/>
    <w:rsid w:val="0077016E"/>
    <w:rsid w:val="007701BF"/>
    <w:rsid w:val="007701DD"/>
    <w:rsid w:val="007706A1"/>
    <w:rsid w:val="0077113C"/>
    <w:rsid w:val="00771C46"/>
    <w:rsid w:val="00771E9F"/>
    <w:rsid w:val="0077241C"/>
    <w:rsid w:val="00772E1F"/>
    <w:rsid w:val="00772EF9"/>
    <w:rsid w:val="00774EEE"/>
    <w:rsid w:val="00775203"/>
    <w:rsid w:val="007754F5"/>
    <w:rsid w:val="00775550"/>
    <w:rsid w:val="0077555F"/>
    <w:rsid w:val="007760C5"/>
    <w:rsid w:val="00776595"/>
    <w:rsid w:val="0077683D"/>
    <w:rsid w:val="00776C69"/>
    <w:rsid w:val="0077710E"/>
    <w:rsid w:val="007776B7"/>
    <w:rsid w:val="0077797A"/>
    <w:rsid w:val="00777EAC"/>
    <w:rsid w:val="00777FF6"/>
    <w:rsid w:val="007802AB"/>
    <w:rsid w:val="00780B23"/>
    <w:rsid w:val="00781002"/>
    <w:rsid w:val="00782EB6"/>
    <w:rsid w:val="007830A6"/>
    <w:rsid w:val="0078325F"/>
    <w:rsid w:val="007841B2"/>
    <w:rsid w:val="00784800"/>
    <w:rsid w:val="0078511F"/>
    <w:rsid w:val="007859C7"/>
    <w:rsid w:val="00785DE4"/>
    <w:rsid w:val="007860E0"/>
    <w:rsid w:val="00786B6A"/>
    <w:rsid w:val="00786ED3"/>
    <w:rsid w:val="00787735"/>
    <w:rsid w:val="00787A09"/>
    <w:rsid w:val="007900F3"/>
    <w:rsid w:val="007900FC"/>
    <w:rsid w:val="0079031C"/>
    <w:rsid w:val="007905AE"/>
    <w:rsid w:val="0079306A"/>
    <w:rsid w:val="00793760"/>
    <w:rsid w:val="00793F14"/>
    <w:rsid w:val="007941BD"/>
    <w:rsid w:val="00794314"/>
    <w:rsid w:val="00794399"/>
    <w:rsid w:val="00794448"/>
    <w:rsid w:val="0079459C"/>
    <w:rsid w:val="00794E6F"/>
    <w:rsid w:val="00795455"/>
    <w:rsid w:val="00795DC4"/>
    <w:rsid w:val="00795F68"/>
    <w:rsid w:val="00796830"/>
    <w:rsid w:val="007971BA"/>
    <w:rsid w:val="0079726C"/>
    <w:rsid w:val="00797E24"/>
    <w:rsid w:val="007A0148"/>
    <w:rsid w:val="007A0F66"/>
    <w:rsid w:val="007A15D4"/>
    <w:rsid w:val="007A1E83"/>
    <w:rsid w:val="007A28BA"/>
    <w:rsid w:val="007A32AE"/>
    <w:rsid w:val="007A3E04"/>
    <w:rsid w:val="007A3F3B"/>
    <w:rsid w:val="007A3F95"/>
    <w:rsid w:val="007A41F4"/>
    <w:rsid w:val="007A46CE"/>
    <w:rsid w:val="007A4F16"/>
    <w:rsid w:val="007A4FDD"/>
    <w:rsid w:val="007A524D"/>
    <w:rsid w:val="007A6C42"/>
    <w:rsid w:val="007A71AA"/>
    <w:rsid w:val="007A7254"/>
    <w:rsid w:val="007A78DA"/>
    <w:rsid w:val="007A7BAC"/>
    <w:rsid w:val="007B03D3"/>
    <w:rsid w:val="007B062B"/>
    <w:rsid w:val="007B0812"/>
    <w:rsid w:val="007B0900"/>
    <w:rsid w:val="007B0BB7"/>
    <w:rsid w:val="007B0D7B"/>
    <w:rsid w:val="007B12FE"/>
    <w:rsid w:val="007B14C5"/>
    <w:rsid w:val="007B217A"/>
    <w:rsid w:val="007B3126"/>
    <w:rsid w:val="007B35A4"/>
    <w:rsid w:val="007B40F3"/>
    <w:rsid w:val="007B457D"/>
    <w:rsid w:val="007B4790"/>
    <w:rsid w:val="007B500C"/>
    <w:rsid w:val="007B5169"/>
    <w:rsid w:val="007B5204"/>
    <w:rsid w:val="007B56A1"/>
    <w:rsid w:val="007B638E"/>
    <w:rsid w:val="007B6C61"/>
    <w:rsid w:val="007B75B0"/>
    <w:rsid w:val="007B7E34"/>
    <w:rsid w:val="007B7F18"/>
    <w:rsid w:val="007C0004"/>
    <w:rsid w:val="007C0111"/>
    <w:rsid w:val="007C0160"/>
    <w:rsid w:val="007C0224"/>
    <w:rsid w:val="007C05DB"/>
    <w:rsid w:val="007C103F"/>
    <w:rsid w:val="007C141D"/>
    <w:rsid w:val="007C177C"/>
    <w:rsid w:val="007C2669"/>
    <w:rsid w:val="007C3E70"/>
    <w:rsid w:val="007C4095"/>
    <w:rsid w:val="007C4E51"/>
    <w:rsid w:val="007C5C9C"/>
    <w:rsid w:val="007C61D6"/>
    <w:rsid w:val="007C6665"/>
    <w:rsid w:val="007C675C"/>
    <w:rsid w:val="007C67F5"/>
    <w:rsid w:val="007C6D4E"/>
    <w:rsid w:val="007C74D2"/>
    <w:rsid w:val="007C7583"/>
    <w:rsid w:val="007C7A48"/>
    <w:rsid w:val="007D035D"/>
    <w:rsid w:val="007D22AC"/>
    <w:rsid w:val="007D22E9"/>
    <w:rsid w:val="007D2E70"/>
    <w:rsid w:val="007D456B"/>
    <w:rsid w:val="007D4AAE"/>
    <w:rsid w:val="007D5090"/>
    <w:rsid w:val="007D5883"/>
    <w:rsid w:val="007D5A76"/>
    <w:rsid w:val="007D5D24"/>
    <w:rsid w:val="007D68C9"/>
    <w:rsid w:val="007D69D8"/>
    <w:rsid w:val="007D7C93"/>
    <w:rsid w:val="007E08E3"/>
    <w:rsid w:val="007E0F88"/>
    <w:rsid w:val="007E1CEE"/>
    <w:rsid w:val="007E23B9"/>
    <w:rsid w:val="007E249D"/>
    <w:rsid w:val="007E2C42"/>
    <w:rsid w:val="007E3ABB"/>
    <w:rsid w:val="007E4C11"/>
    <w:rsid w:val="007E602C"/>
    <w:rsid w:val="007E6C58"/>
    <w:rsid w:val="007E7358"/>
    <w:rsid w:val="007E7790"/>
    <w:rsid w:val="007E7D63"/>
    <w:rsid w:val="007F03E5"/>
    <w:rsid w:val="007F050B"/>
    <w:rsid w:val="007F0DDB"/>
    <w:rsid w:val="007F1E66"/>
    <w:rsid w:val="007F1E9B"/>
    <w:rsid w:val="007F2364"/>
    <w:rsid w:val="007F26B2"/>
    <w:rsid w:val="007F3E16"/>
    <w:rsid w:val="007F445F"/>
    <w:rsid w:val="007F5ADF"/>
    <w:rsid w:val="007F5E6A"/>
    <w:rsid w:val="007F6709"/>
    <w:rsid w:val="007F7327"/>
    <w:rsid w:val="00800EFC"/>
    <w:rsid w:val="00800F26"/>
    <w:rsid w:val="008013F9"/>
    <w:rsid w:val="00801DBC"/>
    <w:rsid w:val="00802434"/>
    <w:rsid w:val="00802A73"/>
    <w:rsid w:val="00803048"/>
    <w:rsid w:val="008034ED"/>
    <w:rsid w:val="00803D6F"/>
    <w:rsid w:val="0080476C"/>
    <w:rsid w:val="00805246"/>
    <w:rsid w:val="00805620"/>
    <w:rsid w:val="00805B2E"/>
    <w:rsid w:val="00805DBB"/>
    <w:rsid w:val="0080628B"/>
    <w:rsid w:val="00806A47"/>
    <w:rsid w:val="00806CC4"/>
    <w:rsid w:val="008070E0"/>
    <w:rsid w:val="008076FF"/>
    <w:rsid w:val="008101C7"/>
    <w:rsid w:val="0081022A"/>
    <w:rsid w:val="0081074B"/>
    <w:rsid w:val="00812CAF"/>
    <w:rsid w:val="0081329B"/>
    <w:rsid w:val="0081489C"/>
    <w:rsid w:val="00815EB2"/>
    <w:rsid w:val="00815FA5"/>
    <w:rsid w:val="00816D62"/>
    <w:rsid w:val="008176A0"/>
    <w:rsid w:val="0081792A"/>
    <w:rsid w:val="0082122C"/>
    <w:rsid w:val="008214BB"/>
    <w:rsid w:val="008249FA"/>
    <w:rsid w:val="00824C0B"/>
    <w:rsid w:val="00824D75"/>
    <w:rsid w:val="00825564"/>
    <w:rsid w:val="0082567F"/>
    <w:rsid w:val="008259E5"/>
    <w:rsid w:val="008270E3"/>
    <w:rsid w:val="00827253"/>
    <w:rsid w:val="00827572"/>
    <w:rsid w:val="00827BED"/>
    <w:rsid w:val="00830082"/>
    <w:rsid w:val="00830E50"/>
    <w:rsid w:val="008311A1"/>
    <w:rsid w:val="00831F35"/>
    <w:rsid w:val="008322F1"/>
    <w:rsid w:val="00834EAB"/>
    <w:rsid w:val="0083521C"/>
    <w:rsid w:val="0083647D"/>
    <w:rsid w:val="0083709E"/>
    <w:rsid w:val="008375EE"/>
    <w:rsid w:val="0084032B"/>
    <w:rsid w:val="0084085C"/>
    <w:rsid w:val="00840CCD"/>
    <w:rsid w:val="00841E0F"/>
    <w:rsid w:val="00842885"/>
    <w:rsid w:val="00842F63"/>
    <w:rsid w:val="00842F9F"/>
    <w:rsid w:val="00843591"/>
    <w:rsid w:val="00843B8F"/>
    <w:rsid w:val="00843F41"/>
    <w:rsid w:val="00844347"/>
    <w:rsid w:val="0084490F"/>
    <w:rsid w:val="00844C63"/>
    <w:rsid w:val="00844E13"/>
    <w:rsid w:val="008457D1"/>
    <w:rsid w:val="00845A56"/>
    <w:rsid w:val="008464D4"/>
    <w:rsid w:val="00846504"/>
    <w:rsid w:val="00846839"/>
    <w:rsid w:val="00847BDD"/>
    <w:rsid w:val="00847D32"/>
    <w:rsid w:val="00850F43"/>
    <w:rsid w:val="008515BF"/>
    <w:rsid w:val="00851835"/>
    <w:rsid w:val="00852B8E"/>
    <w:rsid w:val="00852EAF"/>
    <w:rsid w:val="0085383D"/>
    <w:rsid w:val="00853868"/>
    <w:rsid w:val="00854C9A"/>
    <w:rsid w:val="00854E8F"/>
    <w:rsid w:val="00854F85"/>
    <w:rsid w:val="0085539D"/>
    <w:rsid w:val="00856A64"/>
    <w:rsid w:val="00856AD3"/>
    <w:rsid w:val="00856FC2"/>
    <w:rsid w:val="0085705D"/>
    <w:rsid w:val="00857B65"/>
    <w:rsid w:val="00860D0B"/>
    <w:rsid w:val="00862E01"/>
    <w:rsid w:val="00863199"/>
    <w:rsid w:val="008634B2"/>
    <w:rsid w:val="00863776"/>
    <w:rsid w:val="00863A06"/>
    <w:rsid w:val="00864127"/>
    <w:rsid w:val="008641D8"/>
    <w:rsid w:val="00864CE8"/>
    <w:rsid w:val="00865C22"/>
    <w:rsid w:val="00865F15"/>
    <w:rsid w:val="008665F5"/>
    <w:rsid w:val="0087081B"/>
    <w:rsid w:val="00870BB9"/>
    <w:rsid w:val="00870D22"/>
    <w:rsid w:val="00871DE5"/>
    <w:rsid w:val="008721B3"/>
    <w:rsid w:val="00872368"/>
    <w:rsid w:val="00873914"/>
    <w:rsid w:val="00873F2A"/>
    <w:rsid w:val="00874080"/>
    <w:rsid w:val="00874E7B"/>
    <w:rsid w:val="008751BA"/>
    <w:rsid w:val="008756D5"/>
    <w:rsid w:val="00875D41"/>
    <w:rsid w:val="00875F07"/>
    <w:rsid w:val="0087664D"/>
    <w:rsid w:val="00877C91"/>
    <w:rsid w:val="00877FD0"/>
    <w:rsid w:val="008804D4"/>
    <w:rsid w:val="00880956"/>
    <w:rsid w:val="00881A95"/>
    <w:rsid w:val="008820E2"/>
    <w:rsid w:val="00882A80"/>
    <w:rsid w:val="00882D88"/>
    <w:rsid w:val="0088343D"/>
    <w:rsid w:val="008838D6"/>
    <w:rsid w:val="00884BAD"/>
    <w:rsid w:val="00884DA9"/>
    <w:rsid w:val="00884EA8"/>
    <w:rsid w:val="00885060"/>
    <w:rsid w:val="008852F9"/>
    <w:rsid w:val="008852FD"/>
    <w:rsid w:val="00885E2C"/>
    <w:rsid w:val="0088644B"/>
    <w:rsid w:val="008878FC"/>
    <w:rsid w:val="00890476"/>
    <w:rsid w:val="008908F6"/>
    <w:rsid w:val="0089124C"/>
    <w:rsid w:val="0089163B"/>
    <w:rsid w:val="00892F01"/>
    <w:rsid w:val="00893471"/>
    <w:rsid w:val="0089511B"/>
    <w:rsid w:val="00895570"/>
    <w:rsid w:val="00895579"/>
    <w:rsid w:val="00895582"/>
    <w:rsid w:val="008956AC"/>
    <w:rsid w:val="00895FC6"/>
    <w:rsid w:val="00896BCE"/>
    <w:rsid w:val="00896F79"/>
    <w:rsid w:val="008A063C"/>
    <w:rsid w:val="008A0D2E"/>
    <w:rsid w:val="008A1266"/>
    <w:rsid w:val="008A151A"/>
    <w:rsid w:val="008A23F8"/>
    <w:rsid w:val="008A2620"/>
    <w:rsid w:val="008A3257"/>
    <w:rsid w:val="008A36C7"/>
    <w:rsid w:val="008A3973"/>
    <w:rsid w:val="008A3D83"/>
    <w:rsid w:val="008A400A"/>
    <w:rsid w:val="008A4642"/>
    <w:rsid w:val="008A4C67"/>
    <w:rsid w:val="008A52F0"/>
    <w:rsid w:val="008A5309"/>
    <w:rsid w:val="008A5664"/>
    <w:rsid w:val="008A5B7F"/>
    <w:rsid w:val="008A5C03"/>
    <w:rsid w:val="008A6088"/>
    <w:rsid w:val="008A635A"/>
    <w:rsid w:val="008A703D"/>
    <w:rsid w:val="008A7170"/>
    <w:rsid w:val="008A7A50"/>
    <w:rsid w:val="008A7F80"/>
    <w:rsid w:val="008B059F"/>
    <w:rsid w:val="008B1167"/>
    <w:rsid w:val="008B1EB6"/>
    <w:rsid w:val="008B32A8"/>
    <w:rsid w:val="008B33C1"/>
    <w:rsid w:val="008B341C"/>
    <w:rsid w:val="008B44CE"/>
    <w:rsid w:val="008B47A2"/>
    <w:rsid w:val="008B4C17"/>
    <w:rsid w:val="008B522F"/>
    <w:rsid w:val="008B5D36"/>
    <w:rsid w:val="008B615D"/>
    <w:rsid w:val="008B61F6"/>
    <w:rsid w:val="008B628C"/>
    <w:rsid w:val="008B688A"/>
    <w:rsid w:val="008B6E97"/>
    <w:rsid w:val="008B7AFE"/>
    <w:rsid w:val="008C184E"/>
    <w:rsid w:val="008C185D"/>
    <w:rsid w:val="008C1A94"/>
    <w:rsid w:val="008C2D96"/>
    <w:rsid w:val="008C2E12"/>
    <w:rsid w:val="008C2EE8"/>
    <w:rsid w:val="008C37D3"/>
    <w:rsid w:val="008C47AF"/>
    <w:rsid w:val="008C5120"/>
    <w:rsid w:val="008C670F"/>
    <w:rsid w:val="008D0EF4"/>
    <w:rsid w:val="008D0F6D"/>
    <w:rsid w:val="008D162C"/>
    <w:rsid w:val="008D2BFE"/>
    <w:rsid w:val="008D3247"/>
    <w:rsid w:val="008D499D"/>
    <w:rsid w:val="008D4EC5"/>
    <w:rsid w:val="008D6AE7"/>
    <w:rsid w:val="008D6E25"/>
    <w:rsid w:val="008D7054"/>
    <w:rsid w:val="008D7063"/>
    <w:rsid w:val="008D7A4A"/>
    <w:rsid w:val="008E0590"/>
    <w:rsid w:val="008E196A"/>
    <w:rsid w:val="008E2214"/>
    <w:rsid w:val="008E359A"/>
    <w:rsid w:val="008E3680"/>
    <w:rsid w:val="008E3FF2"/>
    <w:rsid w:val="008E5307"/>
    <w:rsid w:val="008E54BB"/>
    <w:rsid w:val="008E5ECE"/>
    <w:rsid w:val="008E645A"/>
    <w:rsid w:val="008E79C3"/>
    <w:rsid w:val="008E7B93"/>
    <w:rsid w:val="008F01B9"/>
    <w:rsid w:val="008F039F"/>
    <w:rsid w:val="008F10BF"/>
    <w:rsid w:val="008F10F5"/>
    <w:rsid w:val="008F142C"/>
    <w:rsid w:val="008F1DFC"/>
    <w:rsid w:val="008F2442"/>
    <w:rsid w:val="008F2568"/>
    <w:rsid w:val="008F3961"/>
    <w:rsid w:val="008F4495"/>
    <w:rsid w:val="008F4A4B"/>
    <w:rsid w:val="008F585E"/>
    <w:rsid w:val="008F6E33"/>
    <w:rsid w:val="008F6E5E"/>
    <w:rsid w:val="008F6FED"/>
    <w:rsid w:val="008F73B2"/>
    <w:rsid w:val="008F792A"/>
    <w:rsid w:val="008F79A2"/>
    <w:rsid w:val="009002A8"/>
    <w:rsid w:val="00901D75"/>
    <w:rsid w:val="00903049"/>
    <w:rsid w:val="0090402B"/>
    <w:rsid w:val="0090539F"/>
    <w:rsid w:val="009059EE"/>
    <w:rsid w:val="009059F7"/>
    <w:rsid w:val="009063B6"/>
    <w:rsid w:val="00906ACA"/>
    <w:rsid w:val="009077D9"/>
    <w:rsid w:val="0090796D"/>
    <w:rsid w:val="00907AD2"/>
    <w:rsid w:val="00910066"/>
    <w:rsid w:val="009106D2"/>
    <w:rsid w:val="00910E50"/>
    <w:rsid w:val="00911403"/>
    <w:rsid w:val="0091172F"/>
    <w:rsid w:val="00911FC7"/>
    <w:rsid w:val="00912911"/>
    <w:rsid w:val="00913296"/>
    <w:rsid w:val="00914364"/>
    <w:rsid w:val="00914B61"/>
    <w:rsid w:val="00916AE4"/>
    <w:rsid w:val="00916CC8"/>
    <w:rsid w:val="00916FC1"/>
    <w:rsid w:val="009201E3"/>
    <w:rsid w:val="00921D72"/>
    <w:rsid w:val="0092264D"/>
    <w:rsid w:val="00922DC8"/>
    <w:rsid w:val="0092371D"/>
    <w:rsid w:val="00923EC7"/>
    <w:rsid w:val="00924FA2"/>
    <w:rsid w:val="0092586D"/>
    <w:rsid w:val="00925ED9"/>
    <w:rsid w:val="00927C2F"/>
    <w:rsid w:val="009301FE"/>
    <w:rsid w:val="00930352"/>
    <w:rsid w:val="00930E94"/>
    <w:rsid w:val="00931708"/>
    <w:rsid w:val="00931CE9"/>
    <w:rsid w:val="00932130"/>
    <w:rsid w:val="0093295E"/>
    <w:rsid w:val="00932D5A"/>
    <w:rsid w:val="00932FBD"/>
    <w:rsid w:val="0093392A"/>
    <w:rsid w:val="00934006"/>
    <w:rsid w:val="00934019"/>
    <w:rsid w:val="009344B0"/>
    <w:rsid w:val="00934501"/>
    <w:rsid w:val="00934903"/>
    <w:rsid w:val="009350FD"/>
    <w:rsid w:val="0093548C"/>
    <w:rsid w:val="009369DD"/>
    <w:rsid w:val="00936DBD"/>
    <w:rsid w:val="00937303"/>
    <w:rsid w:val="00937FF0"/>
    <w:rsid w:val="009407B1"/>
    <w:rsid w:val="009410F7"/>
    <w:rsid w:val="009414BB"/>
    <w:rsid w:val="00941635"/>
    <w:rsid w:val="00941C39"/>
    <w:rsid w:val="00941CBF"/>
    <w:rsid w:val="00941D3A"/>
    <w:rsid w:val="00941D80"/>
    <w:rsid w:val="00942477"/>
    <w:rsid w:val="00942E11"/>
    <w:rsid w:val="009434BA"/>
    <w:rsid w:val="00943970"/>
    <w:rsid w:val="00943F37"/>
    <w:rsid w:val="00944209"/>
    <w:rsid w:val="00944C6F"/>
    <w:rsid w:val="00946C6C"/>
    <w:rsid w:val="009500C4"/>
    <w:rsid w:val="0095227B"/>
    <w:rsid w:val="009524E3"/>
    <w:rsid w:val="00952BEA"/>
    <w:rsid w:val="00952FAB"/>
    <w:rsid w:val="00954C5E"/>
    <w:rsid w:val="00954DC0"/>
    <w:rsid w:val="009554F8"/>
    <w:rsid w:val="00955725"/>
    <w:rsid w:val="00955D3A"/>
    <w:rsid w:val="0095617D"/>
    <w:rsid w:val="00956592"/>
    <w:rsid w:val="0095685D"/>
    <w:rsid w:val="0095701B"/>
    <w:rsid w:val="0095788A"/>
    <w:rsid w:val="009600EC"/>
    <w:rsid w:val="00960C93"/>
    <w:rsid w:val="0096111C"/>
    <w:rsid w:val="0096128C"/>
    <w:rsid w:val="0096168F"/>
    <w:rsid w:val="00961A06"/>
    <w:rsid w:val="00961BEE"/>
    <w:rsid w:val="00961CCF"/>
    <w:rsid w:val="00962C1C"/>
    <w:rsid w:val="0096349E"/>
    <w:rsid w:val="0096432E"/>
    <w:rsid w:val="00964467"/>
    <w:rsid w:val="00965417"/>
    <w:rsid w:val="00965E2E"/>
    <w:rsid w:val="0096648B"/>
    <w:rsid w:val="00966F6E"/>
    <w:rsid w:val="00967937"/>
    <w:rsid w:val="009708C7"/>
    <w:rsid w:val="00971141"/>
    <w:rsid w:val="009713AB"/>
    <w:rsid w:val="00971498"/>
    <w:rsid w:val="009718DC"/>
    <w:rsid w:val="00971990"/>
    <w:rsid w:val="0097221C"/>
    <w:rsid w:val="00972856"/>
    <w:rsid w:val="00972F8F"/>
    <w:rsid w:val="0097372F"/>
    <w:rsid w:val="00973D21"/>
    <w:rsid w:val="00974662"/>
    <w:rsid w:val="009747A0"/>
    <w:rsid w:val="00974D12"/>
    <w:rsid w:val="00975458"/>
    <w:rsid w:val="00975501"/>
    <w:rsid w:val="00975803"/>
    <w:rsid w:val="00975CD6"/>
    <w:rsid w:val="00976203"/>
    <w:rsid w:val="00976441"/>
    <w:rsid w:val="0098083E"/>
    <w:rsid w:val="00980CBA"/>
    <w:rsid w:val="00980D6D"/>
    <w:rsid w:val="00981213"/>
    <w:rsid w:val="00981219"/>
    <w:rsid w:val="009815D5"/>
    <w:rsid w:val="00981DB8"/>
    <w:rsid w:val="00982136"/>
    <w:rsid w:val="00982492"/>
    <w:rsid w:val="009828FF"/>
    <w:rsid w:val="00983095"/>
    <w:rsid w:val="00983E8E"/>
    <w:rsid w:val="00984128"/>
    <w:rsid w:val="0098477F"/>
    <w:rsid w:val="00984C5B"/>
    <w:rsid w:val="00984F63"/>
    <w:rsid w:val="009858AA"/>
    <w:rsid w:val="009860B5"/>
    <w:rsid w:val="009924AB"/>
    <w:rsid w:val="00992DA1"/>
    <w:rsid w:val="0099377A"/>
    <w:rsid w:val="00993E57"/>
    <w:rsid w:val="00993F27"/>
    <w:rsid w:val="00994311"/>
    <w:rsid w:val="009946A7"/>
    <w:rsid w:val="00994B94"/>
    <w:rsid w:val="009951C0"/>
    <w:rsid w:val="00995219"/>
    <w:rsid w:val="00995458"/>
    <w:rsid w:val="00995A41"/>
    <w:rsid w:val="00995F02"/>
    <w:rsid w:val="0099607D"/>
    <w:rsid w:val="00996441"/>
    <w:rsid w:val="009966D1"/>
    <w:rsid w:val="00996FF4"/>
    <w:rsid w:val="009973D4"/>
    <w:rsid w:val="0099774D"/>
    <w:rsid w:val="00997D9C"/>
    <w:rsid w:val="009A034B"/>
    <w:rsid w:val="009A046F"/>
    <w:rsid w:val="009A0D9E"/>
    <w:rsid w:val="009A1B29"/>
    <w:rsid w:val="009A2EF8"/>
    <w:rsid w:val="009A3373"/>
    <w:rsid w:val="009A34AA"/>
    <w:rsid w:val="009A3C68"/>
    <w:rsid w:val="009A3DD3"/>
    <w:rsid w:val="009A3DF6"/>
    <w:rsid w:val="009A4D01"/>
    <w:rsid w:val="009A5FAB"/>
    <w:rsid w:val="009A6661"/>
    <w:rsid w:val="009A69BC"/>
    <w:rsid w:val="009A6EF7"/>
    <w:rsid w:val="009A735F"/>
    <w:rsid w:val="009B18AE"/>
    <w:rsid w:val="009B2E5A"/>
    <w:rsid w:val="009B3458"/>
    <w:rsid w:val="009B3658"/>
    <w:rsid w:val="009B3825"/>
    <w:rsid w:val="009B4498"/>
    <w:rsid w:val="009B547D"/>
    <w:rsid w:val="009B5D47"/>
    <w:rsid w:val="009B619A"/>
    <w:rsid w:val="009B6ED7"/>
    <w:rsid w:val="009B7A8D"/>
    <w:rsid w:val="009B7A9C"/>
    <w:rsid w:val="009C0797"/>
    <w:rsid w:val="009C07A2"/>
    <w:rsid w:val="009C1C8A"/>
    <w:rsid w:val="009C2292"/>
    <w:rsid w:val="009C26DA"/>
    <w:rsid w:val="009C39D5"/>
    <w:rsid w:val="009C3B2C"/>
    <w:rsid w:val="009C4EDB"/>
    <w:rsid w:val="009C5005"/>
    <w:rsid w:val="009C5188"/>
    <w:rsid w:val="009C582C"/>
    <w:rsid w:val="009C5C46"/>
    <w:rsid w:val="009C5ED0"/>
    <w:rsid w:val="009C6ED9"/>
    <w:rsid w:val="009C7B00"/>
    <w:rsid w:val="009D00A0"/>
    <w:rsid w:val="009D03E2"/>
    <w:rsid w:val="009D05FB"/>
    <w:rsid w:val="009D07DD"/>
    <w:rsid w:val="009D23D0"/>
    <w:rsid w:val="009D2D68"/>
    <w:rsid w:val="009D3A70"/>
    <w:rsid w:val="009D3AF0"/>
    <w:rsid w:val="009D4014"/>
    <w:rsid w:val="009D451C"/>
    <w:rsid w:val="009D484D"/>
    <w:rsid w:val="009D51CF"/>
    <w:rsid w:val="009D55A4"/>
    <w:rsid w:val="009D55FF"/>
    <w:rsid w:val="009D5B7B"/>
    <w:rsid w:val="009D5BE4"/>
    <w:rsid w:val="009D6601"/>
    <w:rsid w:val="009D75E3"/>
    <w:rsid w:val="009D76EC"/>
    <w:rsid w:val="009D7877"/>
    <w:rsid w:val="009E0125"/>
    <w:rsid w:val="009E07E1"/>
    <w:rsid w:val="009E0945"/>
    <w:rsid w:val="009E28E3"/>
    <w:rsid w:val="009E2B50"/>
    <w:rsid w:val="009E3081"/>
    <w:rsid w:val="009E3A23"/>
    <w:rsid w:val="009E45B6"/>
    <w:rsid w:val="009E4932"/>
    <w:rsid w:val="009E4C79"/>
    <w:rsid w:val="009E586C"/>
    <w:rsid w:val="009E7929"/>
    <w:rsid w:val="009E7C54"/>
    <w:rsid w:val="009F0086"/>
    <w:rsid w:val="009F0482"/>
    <w:rsid w:val="009F1FFE"/>
    <w:rsid w:val="009F2706"/>
    <w:rsid w:val="009F2A8B"/>
    <w:rsid w:val="009F2EFA"/>
    <w:rsid w:val="009F34B1"/>
    <w:rsid w:val="009F40D8"/>
    <w:rsid w:val="009F474E"/>
    <w:rsid w:val="009F4DC9"/>
    <w:rsid w:val="009F4F70"/>
    <w:rsid w:val="009F5337"/>
    <w:rsid w:val="009F5897"/>
    <w:rsid w:val="009F5FA8"/>
    <w:rsid w:val="009F65C1"/>
    <w:rsid w:val="009F7744"/>
    <w:rsid w:val="009F79DE"/>
    <w:rsid w:val="00A0030C"/>
    <w:rsid w:val="00A04071"/>
    <w:rsid w:val="00A04A4F"/>
    <w:rsid w:val="00A052C1"/>
    <w:rsid w:val="00A05AF4"/>
    <w:rsid w:val="00A05D94"/>
    <w:rsid w:val="00A076B0"/>
    <w:rsid w:val="00A07E05"/>
    <w:rsid w:val="00A10D08"/>
    <w:rsid w:val="00A10E96"/>
    <w:rsid w:val="00A1175B"/>
    <w:rsid w:val="00A120F7"/>
    <w:rsid w:val="00A12455"/>
    <w:rsid w:val="00A124CC"/>
    <w:rsid w:val="00A12EA5"/>
    <w:rsid w:val="00A13392"/>
    <w:rsid w:val="00A13461"/>
    <w:rsid w:val="00A13726"/>
    <w:rsid w:val="00A13F12"/>
    <w:rsid w:val="00A1486F"/>
    <w:rsid w:val="00A15FA8"/>
    <w:rsid w:val="00A16250"/>
    <w:rsid w:val="00A162E9"/>
    <w:rsid w:val="00A16440"/>
    <w:rsid w:val="00A176D4"/>
    <w:rsid w:val="00A200B7"/>
    <w:rsid w:val="00A203DA"/>
    <w:rsid w:val="00A2068A"/>
    <w:rsid w:val="00A20867"/>
    <w:rsid w:val="00A20A40"/>
    <w:rsid w:val="00A21EE9"/>
    <w:rsid w:val="00A22091"/>
    <w:rsid w:val="00A220EC"/>
    <w:rsid w:val="00A22855"/>
    <w:rsid w:val="00A23E73"/>
    <w:rsid w:val="00A23F6A"/>
    <w:rsid w:val="00A24C5E"/>
    <w:rsid w:val="00A24E91"/>
    <w:rsid w:val="00A26175"/>
    <w:rsid w:val="00A2628D"/>
    <w:rsid w:val="00A2635A"/>
    <w:rsid w:val="00A2676E"/>
    <w:rsid w:val="00A26F07"/>
    <w:rsid w:val="00A26F2F"/>
    <w:rsid w:val="00A270B5"/>
    <w:rsid w:val="00A27478"/>
    <w:rsid w:val="00A27549"/>
    <w:rsid w:val="00A308E6"/>
    <w:rsid w:val="00A30FD1"/>
    <w:rsid w:val="00A311F7"/>
    <w:rsid w:val="00A31397"/>
    <w:rsid w:val="00A3308C"/>
    <w:rsid w:val="00A33B3C"/>
    <w:rsid w:val="00A33E14"/>
    <w:rsid w:val="00A34150"/>
    <w:rsid w:val="00A3427C"/>
    <w:rsid w:val="00A34ADA"/>
    <w:rsid w:val="00A35EC6"/>
    <w:rsid w:val="00A37B20"/>
    <w:rsid w:val="00A42921"/>
    <w:rsid w:val="00A435C0"/>
    <w:rsid w:val="00A43A95"/>
    <w:rsid w:val="00A43BE1"/>
    <w:rsid w:val="00A45281"/>
    <w:rsid w:val="00A455F3"/>
    <w:rsid w:val="00A459D3"/>
    <w:rsid w:val="00A46AE4"/>
    <w:rsid w:val="00A471B1"/>
    <w:rsid w:val="00A47D5E"/>
    <w:rsid w:val="00A505E0"/>
    <w:rsid w:val="00A51576"/>
    <w:rsid w:val="00A5174F"/>
    <w:rsid w:val="00A51CC3"/>
    <w:rsid w:val="00A51D10"/>
    <w:rsid w:val="00A5219A"/>
    <w:rsid w:val="00A53715"/>
    <w:rsid w:val="00A53929"/>
    <w:rsid w:val="00A53A81"/>
    <w:rsid w:val="00A53BB1"/>
    <w:rsid w:val="00A53C1E"/>
    <w:rsid w:val="00A54CA6"/>
    <w:rsid w:val="00A54E38"/>
    <w:rsid w:val="00A55376"/>
    <w:rsid w:val="00A55857"/>
    <w:rsid w:val="00A55928"/>
    <w:rsid w:val="00A571DB"/>
    <w:rsid w:val="00A575D0"/>
    <w:rsid w:val="00A6067B"/>
    <w:rsid w:val="00A608DA"/>
    <w:rsid w:val="00A6108B"/>
    <w:rsid w:val="00A61186"/>
    <w:rsid w:val="00A61312"/>
    <w:rsid w:val="00A625C6"/>
    <w:rsid w:val="00A62A3F"/>
    <w:rsid w:val="00A62A68"/>
    <w:rsid w:val="00A62CFE"/>
    <w:rsid w:val="00A62EFA"/>
    <w:rsid w:val="00A64A05"/>
    <w:rsid w:val="00A652D0"/>
    <w:rsid w:val="00A653DE"/>
    <w:rsid w:val="00A65668"/>
    <w:rsid w:val="00A66764"/>
    <w:rsid w:val="00A66A8B"/>
    <w:rsid w:val="00A70346"/>
    <w:rsid w:val="00A71632"/>
    <w:rsid w:val="00A72564"/>
    <w:rsid w:val="00A72622"/>
    <w:rsid w:val="00A72C55"/>
    <w:rsid w:val="00A73267"/>
    <w:rsid w:val="00A738A7"/>
    <w:rsid w:val="00A73E27"/>
    <w:rsid w:val="00A74205"/>
    <w:rsid w:val="00A7451D"/>
    <w:rsid w:val="00A74A23"/>
    <w:rsid w:val="00A75651"/>
    <w:rsid w:val="00A7587C"/>
    <w:rsid w:val="00A75885"/>
    <w:rsid w:val="00A75F7C"/>
    <w:rsid w:val="00A76A8A"/>
    <w:rsid w:val="00A7722F"/>
    <w:rsid w:val="00A77A11"/>
    <w:rsid w:val="00A80151"/>
    <w:rsid w:val="00A80664"/>
    <w:rsid w:val="00A80DE8"/>
    <w:rsid w:val="00A8120B"/>
    <w:rsid w:val="00A81841"/>
    <w:rsid w:val="00A81949"/>
    <w:rsid w:val="00A81C45"/>
    <w:rsid w:val="00A843B0"/>
    <w:rsid w:val="00A84B05"/>
    <w:rsid w:val="00A851C5"/>
    <w:rsid w:val="00A851D2"/>
    <w:rsid w:val="00A859B7"/>
    <w:rsid w:val="00A85A4C"/>
    <w:rsid w:val="00A85AEB"/>
    <w:rsid w:val="00A85FCE"/>
    <w:rsid w:val="00A861D4"/>
    <w:rsid w:val="00A86229"/>
    <w:rsid w:val="00A867D7"/>
    <w:rsid w:val="00A86CFF"/>
    <w:rsid w:val="00A870D7"/>
    <w:rsid w:val="00A87112"/>
    <w:rsid w:val="00A87143"/>
    <w:rsid w:val="00A879C7"/>
    <w:rsid w:val="00A87DD3"/>
    <w:rsid w:val="00A87DEE"/>
    <w:rsid w:val="00A90597"/>
    <w:rsid w:val="00A91B4B"/>
    <w:rsid w:val="00A91C3E"/>
    <w:rsid w:val="00A9464C"/>
    <w:rsid w:val="00A946C8"/>
    <w:rsid w:val="00A95034"/>
    <w:rsid w:val="00A95212"/>
    <w:rsid w:val="00AA06BF"/>
    <w:rsid w:val="00AA2CB2"/>
    <w:rsid w:val="00AA64FC"/>
    <w:rsid w:val="00AA674C"/>
    <w:rsid w:val="00AA6B50"/>
    <w:rsid w:val="00AB06BC"/>
    <w:rsid w:val="00AB07BE"/>
    <w:rsid w:val="00AB09E1"/>
    <w:rsid w:val="00AB0AC3"/>
    <w:rsid w:val="00AB16F4"/>
    <w:rsid w:val="00AB2378"/>
    <w:rsid w:val="00AB3262"/>
    <w:rsid w:val="00AB3742"/>
    <w:rsid w:val="00AB4F3D"/>
    <w:rsid w:val="00AB56DD"/>
    <w:rsid w:val="00AB5C98"/>
    <w:rsid w:val="00AB6E6B"/>
    <w:rsid w:val="00AB72FB"/>
    <w:rsid w:val="00AC03B9"/>
    <w:rsid w:val="00AC03EC"/>
    <w:rsid w:val="00AC04D8"/>
    <w:rsid w:val="00AC0ED3"/>
    <w:rsid w:val="00AC1F66"/>
    <w:rsid w:val="00AC2E1F"/>
    <w:rsid w:val="00AC3B58"/>
    <w:rsid w:val="00AC3C96"/>
    <w:rsid w:val="00AC3F65"/>
    <w:rsid w:val="00AC48E6"/>
    <w:rsid w:val="00AC503E"/>
    <w:rsid w:val="00AC6202"/>
    <w:rsid w:val="00AC68B2"/>
    <w:rsid w:val="00AC6F87"/>
    <w:rsid w:val="00AC704B"/>
    <w:rsid w:val="00AC7580"/>
    <w:rsid w:val="00AC7833"/>
    <w:rsid w:val="00AC7C5A"/>
    <w:rsid w:val="00AC7C69"/>
    <w:rsid w:val="00AD0180"/>
    <w:rsid w:val="00AD2C11"/>
    <w:rsid w:val="00AD3503"/>
    <w:rsid w:val="00AD36A6"/>
    <w:rsid w:val="00AD4604"/>
    <w:rsid w:val="00AD4CC7"/>
    <w:rsid w:val="00AD5EEB"/>
    <w:rsid w:val="00AD66F0"/>
    <w:rsid w:val="00AD709A"/>
    <w:rsid w:val="00AD7113"/>
    <w:rsid w:val="00AD760B"/>
    <w:rsid w:val="00AD7747"/>
    <w:rsid w:val="00AD7938"/>
    <w:rsid w:val="00AD7B08"/>
    <w:rsid w:val="00AE0881"/>
    <w:rsid w:val="00AE0D80"/>
    <w:rsid w:val="00AE11B4"/>
    <w:rsid w:val="00AE1AB6"/>
    <w:rsid w:val="00AE2366"/>
    <w:rsid w:val="00AE2478"/>
    <w:rsid w:val="00AE2F82"/>
    <w:rsid w:val="00AE31FE"/>
    <w:rsid w:val="00AE3788"/>
    <w:rsid w:val="00AE40E0"/>
    <w:rsid w:val="00AE44E1"/>
    <w:rsid w:val="00AE4D35"/>
    <w:rsid w:val="00AE5A4E"/>
    <w:rsid w:val="00AE5FFF"/>
    <w:rsid w:val="00AE6040"/>
    <w:rsid w:val="00AE6162"/>
    <w:rsid w:val="00AE65C1"/>
    <w:rsid w:val="00AE6E6A"/>
    <w:rsid w:val="00AF094B"/>
    <w:rsid w:val="00AF0993"/>
    <w:rsid w:val="00AF10E0"/>
    <w:rsid w:val="00AF1AA5"/>
    <w:rsid w:val="00AF2262"/>
    <w:rsid w:val="00AF2386"/>
    <w:rsid w:val="00AF41D0"/>
    <w:rsid w:val="00AF46BF"/>
    <w:rsid w:val="00AF5565"/>
    <w:rsid w:val="00AF59A7"/>
    <w:rsid w:val="00AF5ACD"/>
    <w:rsid w:val="00AF5EFE"/>
    <w:rsid w:val="00AF5F15"/>
    <w:rsid w:val="00AF7133"/>
    <w:rsid w:val="00AF726D"/>
    <w:rsid w:val="00AF7F00"/>
    <w:rsid w:val="00B008EF"/>
    <w:rsid w:val="00B00FDA"/>
    <w:rsid w:val="00B02C97"/>
    <w:rsid w:val="00B03F08"/>
    <w:rsid w:val="00B03FA6"/>
    <w:rsid w:val="00B0465B"/>
    <w:rsid w:val="00B04706"/>
    <w:rsid w:val="00B04F4B"/>
    <w:rsid w:val="00B051A0"/>
    <w:rsid w:val="00B051FC"/>
    <w:rsid w:val="00B05332"/>
    <w:rsid w:val="00B055F4"/>
    <w:rsid w:val="00B07450"/>
    <w:rsid w:val="00B106C2"/>
    <w:rsid w:val="00B11563"/>
    <w:rsid w:val="00B1171F"/>
    <w:rsid w:val="00B11948"/>
    <w:rsid w:val="00B12D1A"/>
    <w:rsid w:val="00B133FF"/>
    <w:rsid w:val="00B13720"/>
    <w:rsid w:val="00B13BBE"/>
    <w:rsid w:val="00B142DD"/>
    <w:rsid w:val="00B1457B"/>
    <w:rsid w:val="00B17D99"/>
    <w:rsid w:val="00B20EBB"/>
    <w:rsid w:val="00B23251"/>
    <w:rsid w:val="00B23B60"/>
    <w:rsid w:val="00B24056"/>
    <w:rsid w:val="00B24B9B"/>
    <w:rsid w:val="00B250F8"/>
    <w:rsid w:val="00B25270"/>
    <w:rsid w:val="00B25552"/>
    <w:rsid w:val="00B27687"/>
    <w:rsid w:val="00B27C87"/>
    <w:rsid w:val="00B3052C"/>
    <w:rsid w:val="00B30709"/>
    <w:rsid w:val="00B31109"/>
    <w:rsid w:val="00B320F1"/>
    <w:rsid w:val="00B32CE5"/>
    <w:rsid w:val="00B33A0C"/>
    <w:rsid w:val="00B341A6"/>
    <w:rsid w:val="00B344BB"/>
    <w:rsid w:val="00B35801"/>
    <w:rsid w:val="00B3598F"/>
    <w:rsid w:val="00B35C5F"/>
    <w:rsid w:val="00B36A2B"/>
    <w:rsid w:val="00B371DE"/>
    <w:rsid w:val="00B4011C"/>
    <w:rsid w:val="00B40FD0"/>
    <w:rsid w:val="00B412C4"/>
    <w:rsid w:val="00B41E86"/>
    <w:rsid w:val="00B41E99"/>
    <w:rsid w:val="00B42660"/>
    <w:rsid w:val="00B429F7"/>
    <w:rsid w:val="00B431BE"/>
    <w:rsid w:val="00B43882"/>
    <w:rsid w:val="00B43A75"/>
    <w:rsid w:val="00B43E0B"/>
    <w:rsid w:val="00B44366"/>
    <w:rsid w:val="00B449A8"/>
    <w:rsid w:val="00B45269"/>
    <w:rsid w:val="00B45417"/>
    <w:rsid w:val="00B45FD2"/>
    <w:rsid w:val="00B46374"/>
    <w:rsid w:val="00B4675E"/>
    <w:rsid w:val="00B4721C"/>
    <w:rsid w:val="00B473F7"/>
    <w:rsid w:val="00B50B78"/>
    <w:rsid w:val="00B51172"/>
    <w:rsid w:val="00B516BC"/>
    <w:rsid w:val="00B51822"/>
    <w:rsid w:val="00B5182C"/>
    <w:rsid w:val="00B53343"/>
    <w:rsid w:val="00B5392B"/>
    <w:rsid w:val="00B546EF"/>
    <w:rsid w:val="00B54B97"/>
    <w:rsid w:val="00B55565"/>
    <w:rsid w:val="00B55B55"/>
    <w:rsid w:val="00B56050"/>
    <w:rsid w:val="00B56E1D"/>
    <w:rsid w:val="00B572E8"/>
    <w:rsid w:val="00B575C4"/>
    <w:rsid w:val="00B57AB6"/>
    <w:rsid w:val="00B57D95"/>
    <w:rsid w:val="00B60DF6"/>
    <w:rsid w:val="00B612F5"/>
    <w:rsid w:val="00B646B1"/>
    <w:rsid w:val="00B646DF"/>
    <w:rsid w:val="00B64DD8"/>
    <w:rsid w:val="00B64F7E"/>
    <w:rsid w:val="00B65323"/>
    <w:rsid w:val="00B65406"/>
    <w:rsid w:val="00B65750"/>
    <w:rsid w:val="00B65C3B"/>
    <w:rsid w:val="00B668FD"/>
    <w:rsid w:val="00B67210"/>
    <w:rsid w:val="00B6756B"/>
    <w:rsid w:val="00B678E4"/>
    <w:rsid w:val="00B67F1F"/>
    <w:rsid w:val="00B70972"/>
    <w:rsid w:val="00B70E0A"/>
    <w:rsid w:val="00B713C6"/>
    <w:rsid w:val="00B71BE2"/>
    <w:rsid w:val="00B723C3"/>
    <w:rsid w:val="00B72819"/>
    <w:rsid w:val="00B72899"/>
    <w:rsid w:val="00B7354F"/>
    <w:rsid w:val="00B73719"/>
    <w:rsid w:val="00B7372B"/>
    <w:rsid w:val="00B743B6"/>
    <w:rsid w:val="00B74658"/>
    <w:rsid w:val="00B74AAE"/>
    <w:rsid w:val="00B74BFF"/>
    <w:rsid w:val="00B75D38"/>
    <w:rsid w:val="00B75FEA"/>
    <w:rsid w:val="00B768D2"/>
    <w:rsid w:val="00B7695F"/>
    <w:rsid w:val="00B80DCD"/>
    <w:rsid w:val="00B80E79"/>
    <w:rsid w:val="00B8122D"/>
    <w:rsid w:val="00B81AB3"/>
    <w:rsid w:val="00B836B5"/>
    <w:rsid w:val="00B83CF6"/>
    <w:rsid w:val="00B84358"/>
    <w:rsid w:val="00B84536"/>
    <w:rsid w:val="00B846A1"/>
    <w:rsid w:val="00B84F2E"/>
    <w:rsid w:val="00B86687"/>
    <w:rsid w:val="00B866E8"/>
    <w:rsid w:val="00B86C71"/>
    <w:rsid w:val="00B87751"/>
    <w:rsid w:val="00B878CC"/>
    <w:rsid w:val="00B9005E"/>
    <w:rsid w:val="00B90669"/>
    <w:rsid w:val="00B90776"/>
    <w:rsid w:val="00B915F7"/>
    <w:rsid w:val="00B9204A"/>
    <w:rsid w:val="00B922A2"/>
    <w:rsid w:val="00B923EA"/>
    <w:rsid w:val="00B938A5"/>
    <w:rsid w:val="00B93F85"/>
    <w:rsid w:val="00B94253"/>
    <w:rsid w:val="00B945F9"/>
    <w:rsid w:val="00B94F4F"/>
    <w:rsid w:val="00B94F8A"/>
    <w:rsid w:val="00B950A9"/>
    <w:rsid w:val="00B95239"/>
    <w:rsid w:val="00B952BC"/>
    <w:rsid w:val="00B95914"/>
    <w:rsid w:val="00B9594B"/>
    <w:rsid w:val="00B97807"/>
    <w:rsid w:val="00B97AC8"/>
    <w:rsid w:val="00B97BEB"/>
    <w:rsid w:val="00BA0575"/>
    <w:rsid w:val="00BA1B19"/>
    <w:rsid w:val="00BA2B45"/>
    <w:rsid w:val="00BA2BB9"/>
    <w:rsid w:val="00BA2BF4"/>
    <w:rsid w:val="00BA40DE"/>
    <w:rsid w:val="00BA4E7C"/>
    <w:rsid w:val="00BA7751"/>
    <w:rsid w:val="00BA77E2"/>
    <w:rsid w:val="00BA78F0"/>
    <w:rsid w:val="00BB085D"/>
    <w:rsid w:val="00BB0ABD"/>
    <w:rsid w:val="00BB14C3"/>
    <w:rsid w:val="00BB2909"/>
    <w:rsid w:val="00BB3538"/>
    <w:rsid w:val="00BB3B73"/>
    <w:rsid w:val="00BB47D3"/>
    <w:rsid w:val="00BB4D79"/>
    <w:rsid w:val="00BB607A"/>
    <w:rsid w:val="00BB6A00"/>
    <w:rsid w:val="00BB6A57"/>
    <w:rsid w:val="00BB6E58"/>
    <w:rsid w:val="00BC07A4"/>
    <w:rsid w:val="00BC09AC"/>
    <w:rsid w:val="00BC0E92"/>
    <w:rsid w:val="00BC14FB"/>
    <w:rsid w:val="00BC2196"/>
    <w:rsid w:val="00BC2E11"/>
    <w:rsid w:val="00BC2ECA"/>
    <w:rsid w:val="00BC34FA"/>
    <w:rsid w:val="00BC49A4"/>
    <w:rsid w:val="00BC58DE"/>
    <w:rsid w:val="00BC64B1"/>
    <w:rsid w:val="00BC72D5"/>
    <w:rsid w:val="00BC7683"/>
    <w:rsid w:val="00BD0279"/>
    <w:rsid w:val="00BD1C85"/>
    <w:rsid w:val="00BD1D60"/>
    <w:rsid w:val="00BD2827"/>
    <w:rsid w:val="00BD384C"/>
    <w:rsid w:val="00BD3AD4"/>
    <w:rsid w:val="00BD486B"/>
    <w:rsid w:val="00BD4F53"/>
    <w:rsid w:val="00BD5862"/>
    <w:rsid w:val="00BD5EDB"/>
    <w:rsid w:val="00BD5EF8"/>
    <w:rsid w:val="00BD65D8"/>
    <w:rsid w:val="00BD6979"/>
    <w:rsid w:val="00BD6F89"/>
    <w:rsid w:val="00BD7EA5"/>
    <w:rsid w:val="00BE037C"/>
    <w:rsid w:val="00BE080E"/>
    <w:rsid w:val="00BE1275"/>
    <w:rsid w:val="00BE2289"/>
    <w:rsid w:val="00BE3AD4"/>
    <w:rsid w:val="00BE40CD"/>
    <w:rsid w:val="00BE552A"/>
    <w:rsid w:val="00BE73B4"/>
    <w:rsid w:val="00BF147F"/>
    <w:rsid w:val="00BF1E28"/>
    <w:rsid w:val="00BF1EEC"/>
    <w:rsid w:val="00BF1FCC"/>
    <w:rsid w:val="00BF45FA"/>
    <w:rsid w:val="00BF476C"/>
    <w:rsid w:val="00BF52BB"/>
    <w:rsid w:val="00BF56AF"/>
    <w:rsid w:val="00BF58E6"/>
    <w:rsid w:val="00BF6168"/>
    <w:rsid w:val="00BF64AD"/>
    <w:rsid w:val="00BF677C"/>
    <w:rsid w:val="00BF6E7E"/>
    <w:rsid w:val="00BF75CB"/>
    <w:rsid w:val="00BF76E9"/>
    <w:rsid w:val="00BF770E"/>
    <w:rsid w:val="00BF7D6E"/>
    <w:rsid w:val="00BF7F23"/>
    <w:rsid w:val="00C0168C"/>
    <w:rsid w:val="00C01E23"/>
    <w:rsid w:val="00C024BF"/>
    <w:rsid w:val="00C025D5"/>
    <w:rsid w:val="00C0271E"/>
    <w:rsid w:val="00C02C48"/>
    <w:rsid w:val="00C036C1"/>
    <w:rsid w:val="00C04A00"/>
    <w:rsid w:val="00C04BA0"/>
    <w:rsid w:val="00C04EFB"/>
    <w:rsid w:val="00C0551C"/>
    <w:rsid w:val="00C05731"/>
    <w:rsid w:val="00C064F9"/>
    <w:rsid w:val="00C07974"/>
    <w:rsid w:val="00C104A6"/>
    <w:rsid w:val="00C1158E"/>
    <w:rsid w:val="00C12218"/>
    <w:rsid w:val="00C12356"/>
    <w:rsid w:val="00C132F5"/>
    <w:rsid w:val="00C133FA"/>
    <w:rsid w:val="00C13F8B"/>
    <w:rsid w:val="00C149B8"/>
    <w:rsid w:val="00C149D5"/>
    <w:rsid w:val="00C14C72"/>
    <w:rsid w:val="00C15B6A"/>
    <w:rsid w:val="00C164A0"/>
    <w:rsid w:val="00C17816"/>
    <w:rsid w:val="00C20241"/>
    <w:rsid w:val="00C203F7"/>
    <w:rsid w:val="00C21C9C"/>
    <w:rsid w:val="00C22093"/>
    <w:rsid w:val="00C23E7E"/>
    <w:rsid w:val="00C2596F"/>
    <w:rsid w:val="00C26113"/>
    <w:rsid w:val="00C26CCA"/>
    <w:rsid w:val="00C2709C"/>
    <w:rsid w:val="00C277A6"/>
    <w:rsid w:val="00C30AFC"/>
    <w:rsid w:val="00C3118E"/>
    <w:rsid w:val="00C3132F"/>
    <w:rsid w:val="00C31739"/>
    <w:rsid w:val="00C32383"/>
    <w:rsid w:val="00C32CB8"/>
    <w:rsid w:val="00C33B77"/>
    <w:rsid w:val="00C33EE1"/>
    <w:rsid w:val="00C34180"/>
    <w:rsid w:val="00C34D6F"/>
    <w:rsid w:val="00C3515C"/>
    <w:rsid w:val="00C35423"/>
    <w:rsid w:val="00C366E1"/>
    <w:rsid w:val="00C3699D"/>
    <w:rsid w:val="00C36B3E"/>
    <w:rsid w:val="00C370FB"/>
    <w:rsid w:val="00C37EB8"/>
    <w:rsid w:val="00C4216C"/>
    <w:rsid w:val="00C4287B"/>
    <w:rsid w:val="00C42BA7"/>
    <w:rsid w:val="00C43087"/>
    <w:rsid w:val="00C44A86"/>
    <w:rsid w:val="00C450D6"/>
    <w:rsid w:val="00C45178"/>
    <w:rsid w:val="00C45DCF"/>
    <w:rsid w:val="00C46945"/>
    <w:rsid w:val="00C46D63"/>
    <w:rsid w:val="00C4730A"/>
    <w:rsid w:val="00C47369"/>
    <w:rsid w:val="00C5196A"/>
    <w:rsid w:val="00C51A06"/>
    <w:rsid w:val="00C5295E"/>
    <w:rsid w:val="00C5372D"/>
    <w:rsid w:val="00C554A1"/>
    <w:rsid w:val="00C5583A"/>
    <w:rsid w:val="00C55AA6"/>
    <w:rsid w:val="00C55D28"/>
    <w:rsid w:val="00C56069"/>
    <w:rsid w:val="00C562D1"/>
    <w:rsid w:val="00C564BA"/>
    <w:rsid w:val="00C56EE7"/>
    <w:rsid w:val="00C57D17"/>
    <w:rsid w:val="00C61B21"/>
    <w:rsid w:val="00C62199"/>
    <w:rsid w:val="00C624B4"/>
    <w:rsid w:val="00C6329C"/>
    <w:rsid w:val="00C635FC"/>
    <w:rsid w:val="00C6388E"/>
    <w:rsid w:val="00C63B0F"/>
    <w:rsid w:val="00C641E8"/>
    <w:rsid w:val="00C642FC"/>
    <w:rsid w:val="00C64990"/>
    <w:rsid w:val="00C64A0A"/>
    <w:rsid w:val="00C65A9F"/>
    <w:rsid w:val="00C65E52"/>
    <w:rsid w:val="00C7010D"/>
    <w:rsid w:val="00C73F87"/>
    <w:rsid w:val="00C74B4E"/>
    <w:rsid w:val="00C74D5A"/>
    <w:rsid w:val="00C7625E"/>
    <w:rsid w:val="00C76750"/>
    <w:rsid w:val="00C7722F"/>
    <w:rsid w:val="00C77D5E"/>
    <w:rsid w:val="00C801E2"/>
    <w:rsid w:val="00C80769"/>
    <w:rsid w:val="00C81841"/>
    <w:rsid w:val="00C820FF"/>
    <w:rsid w:val="00C836D4"/>
    <w:rsid w:val="00C844AB"/>
    <w:rsid w:val="00C844FD"/>
    <w:rsid w:val="00C847EA"/>
    <w:rsid w:val="00C84FF9"/>
    <w:rsid w:val="00C85CD6"/>
    <w:rsid w:val="00C87A3D"/>
    <w:rsid w:val="00C87B3F"/>
    <w:rsid w:val="00C87B93"/>
    <w:rsid w:val="00C87CA8"/>
    <w:rsid w:val="00C9048B"/>
    <w:rsid w:val="00C917DD"/>
    <w:rsid w:val="00C919E2"/>
    <w:rsid w:val="00C920F2"/>
    <w:rsid w:val="00C92107"/>
    <w:rsid w:val="00C932D8"/>
    <w:rsid w:val="00C9417F"/>
    <w:rsid w:val="00C94CF8"/>
    <w:rsid w:val="00C951C5"/>
    <w:rsid w:val="00C95384"/>
    <w:rsid w:val="00C9679F"/>
    <w:rsid w:val="00C9695D"/>
    <w:rsid w:val="00C96E89"/>
    <w:rsid w:val="00C97FE5"/>
    <w:rsid w:val="00CA09C7"/>
    <w:rsid w:val="00CA0E9D"/>
    <w:rsid w:val="00CA10C7"/>
    <w:rsid w:val="00CA1BED"/>
    <w:rsid w:val="00CA21F5"/>
    <w:rsid w:val="00CA3138"/>
    <w:rsid w:val="00CA336B"/>
    <w:rsid w:val="00CA396B"/>
    <w:rsid w:val="00CA3A7E"/>
    <w:rsid w:val="00CA3C71"/>
    <w:rsid w:val="00CA3E0E"/>
    <w:rsid w:val="00CA532B"/>
    <w:rsid w:val="00CA5363"/>
    <w:rsid w:val="00CA5B75"/>
    <w:rsid w:val="00CA6307"/>
    <w:rsid w:val="00CA657D"/>
    <w:rsid w:val="00CA6822"/>
    <w:rsid w:val="00CA6A5B"/>
    <w:rsid w:val="00CA76ED"/>
    <w:rsid w:val="00CA7B58"/>
    <w:rsid w:val="00CA7B6C"/>
    <w:rsid w:val="00CB0F0B"/>
    <w:rsid w:val="00CB31AC"/>
    <w:rsid w:val="00CB32CE"/>
    <w:rsid w:val="00CB33E5"/>
    <w:rsid w:val="00CB618D"/>
    <w:rsid w:val="00CB6429"/>
    <w:rsid w:val="00CB6432"/>
    <w:rsid w:val="00CB6B7C"/>
    <w:rsid w:val="00CB70B7"/>
    <w:rsid w:val="00CB7AB9"/>
    <w:rsid w:val="00CC06D9"/>
    <w:rsid w:val="00CC0AAB"/>
    <w:rsid w:val="00CC0CD3"/>
    <w:rsid w:val="00CC11A3"/>
    <w:rsid w:val="00CC1BA0"/>
    <w:rsid w:val="00CC1F0E"/>
    <w:rsid w:val="00CC25C2"/>
    <w:rsid w:val="00CC266D"/>
    <w:rsid w:val="00CC2BA7"/>
    <w:rsid w:val="00CC2ED2"/>
    <w:rsid w:val="00CC3280"/>
    <w:rsid w:val="00CC3A06"/>
    <w:rsid w:val="00CC3CEA"/>
    <w:rsid w:val="00CC43EF"/>
    <w:rsid w:val="00CC456C"/>
    <w:rsid w:val="00CC4E0A"/>
    <w:rsid w:val="00CC4E86"/>
    <w:rsid w:val="00CC59BB"/>
    <w:rsid w:val="00CC61D0"/>
    <w:rsid w:val="00CC664E"/>
    <w:rsid w:val="00CC6ED4"/>
    <w:rsid w:val="00CC7215"/>
    <w:rsid w:val="00CC7CC8"/>
    <w:rsid w:val="00CD075A"/>
    <w:rsid w:val="00CD1824"/>
    <w:rsid w:val="00CD18FA"/>
    <w:rsid w:val="00CD2006"/>
    <w:rsid w:val="00CD223B"/>
    <w:rsid w:val="00CD2306"/>
    <w:rsid w:val="00CD2E4B"/>
    <w:rsid w:val="00CD30F6"/>
    <w:rsid w:val="00CD3978"/>
    <w:rsid w:val="00CD3C32"/>
    <w:rsid w:val="00CD4843"/>
    <w:rsid w:val="00CD685E"/>
    <w:rsid w:val="00CD68B8"/>
    <w:rsid w:val="00CD6D19"/>
    <w:rsid w:val="00CD7A8E"/>
    <w:rsid w:val="00CE0691"/>
    <w:rsid w:val="00CE2AA4"/>
    <w:rsid w:val="00CE307F"/>
    <w:rsid w:val="00CE3ACD"/>
    <w:rsid w:val="00CE3EF7"/>
    <w:rsid w:val="00CE46DA"/>
    <w:rsid w:val="00CE5756"/>
    <w:rsid w:val="00CE5873"/>
    <w:rsid w:val="00CE648A"/>
    <w:rsid w:val="00CE6A45"/>
    <w:rsid w:val="00CE6C24"/>
    <w:rsid w:val="00CE71F5"/>
    <w:rsid w:val="00CE75EC"/>
    <w:rsid w:val="00CF02D4"/>
    <w:rsid w:val="00CF21DC"/>
    <w:rsid w:val="00CF2C8A"/>
    <w:rsid w:val="00CF5270"/>
    <w:rsid w:val="00CF59EC"/>
    <w:rsid w:val="00CF5F2A"/>
    <w:rsid w:val="00CF6750"/>
    <w:rsid w:val="00CF71E4"/>
    <w:rsid w:val="00CF757F"/>
    <w:rsid w:val="00CF782C"/>
    <w:rsid w:val="00D01269"/>
    <w:rsid w:val="00D03157"/>
    <w:rsid w:val="00D03DF0"/>
    <w:rsid w:val="00D04A2C"/>
    <w:rsid w:val="00D055B5"/>
    <w:rsid w:val="00D05DDC"/>
    <w:rsid w:val="00D065F7"/>
    <w:rsid w:val="00D104EF"/>
    <w:rsid w:val="00D10753"/>
    <w:rsid w:val="00D10A7A"/>
    <w:rsid w:val="00D10F45"/>
    <w:rsid w:val="00D12DC7"/>
    <w:rsid w:val="00D12F35"/>
    <w:rsid w:val="00D13DBB"/>
    <w:rsid w:val="00D13DD5"/>
    <w:rsid w:val="00D1417F"/>
    <w:rsid w:val="00D1458A"/>
    <w:rsid w:val="00D1464D"/>
    <w:rsid w:val="00D14EAC"/>
    <w:rsid w:val="00D153EB"/>
    <w:rsid w:val="00D16B41"/>
    <w:rsid w:val="00D16B82"/>
    <w:rsid w:val="00D20A42"/>
    <w:rsid w:val="00D225C4"/>
    <w:rsid w:val="00D227D9"/>
    <w:rsid w:val="00D22EA5"/>
    <w:rsid w:val="00D23240"/>
    <w:rsid w:val="00D24494"/>
    <w:rsid w:val="00D24DE2"/>
    <w:rsid w:val="00D24FCA"/>
    <w:rsid w:val="00D25371"/>
    <w:rsid w:val="00D25414"/>
    <w:rsid w:val="00D26D45"/>
    <w:rsid w:val="00D27100"/>
    <w:rsid w:val="00D2718A"/>
    <w:rsid w:val="00D27CF1"/>
    <w:rsid w:val="00D30F76"/>
    <w:rsid w:val="00D311CC"/>
    <w:rsid w:val="00D3163C"/>
    <w:rsid w:val="00D32822"/>
    <w:rsid w:val="00D32DFD"/>
    <w:rsid w:val="00D340BE"/>
    <w:rsid w:val="00D34239"/>
    <w:rsid w:val="00D343CE"/>
    <w:rsid w:val="00D34713"/>
    <w:rsid w:val="00D368F4"/>
    <w:rsid w:val="00D36DA3"/>
    <w:rsid w:val="00D37237"/>
    <w:rsid w:val="00D37679"/>
    <w:rsid w:val="00D37AD4"/>
    <w:rsid w:val="00D408B6"/>
    <w:rsid w:val="00D40B1A"/>
    <w:rsid w:val="00D41028"/>
    <w:rsid w:val="00D41F2F"/>
    <w:rsid w:val="00D421D4"/>
    <w:rsid w:val="00D4236C"/>
    <w:rsid w:val="00D429A2"/>
    <w:rsid w:val="00D42E94"/>
    <w:rsid w:val="00D42F04"/>
    <w:rsid w:val="00D43CD4"/>
    <w:rsid w:val="00D43E1E"/>
    <w:rsid w:val="00D44DED"/>
    <w:rsid w:val="00D44E61"/>
    <w:rsid w:val="00D45CCD"/>
    <w:rsid w:val="00D470A2"/>
    <w:rsid w:val="00D47120"/>
    <w:rsid w:val="00D50BB1"/>
    <w:rsid w:val="00D51DFC"/>
    <w:rsid w:val="00D5204F"/>
    <w:rsid w:val="00D53780"/>
    <w:rsid w:val="00D53AA0"/>
    <w:rsid w:val="00D54A3C"/>
    <w:rsid w:val="00D551D3"/>
    <w:rsid w:val="00D55E88"/>
    <w:rsid w:val="00D56096"/>
    <w:rsid w:val="00D56405"/>
    <w:rsid w:val="00D5695A"/>
    <w:rsid w:val="00D60875"/>
    <w:rsid w:val="00D60A21"/>
    <w:rsid w:val="00D60D86"/>
    <w:rsid w:val="00D60F17"/>
    <w:rsid w:val="00D630FC"/>
    <w:rsid w:val="00D634C8"/>
    <w:rsid w:val="00D64359"/>
    <w:rsid w:val="00D64713"/>
    <w:rsid w:val="00D6575B"/>
    <w:rsid w:val="00D6649E"/>
    <w:rsid w:val="00D664D1"/>
    <w:rsid w:val="00D6697C"/>
    <w:rsid w:val="00D66BD3"/>
    <w:rsid w:val="00D66EC9"/>
    <w:rsid w:val="00D67688"/>
    <w:rsid w:val="00D717D5"/>
    <w:rsid w:val="00D71F0C"/>
    <w:rsid w:val="00D71FD1"/>
    <w:rsid w:val="00D726B4"/>
    <w:rsid w:val="00D72E1E"/>
    <w:rsid w:val="00D72FD6"/>
    <w:rsid w:val="00D734CB"/>
    <w:rsid w:val="00D73DC7"/>
    <w:rsid w:val="00D74A47"/>
    <w:rsid w:val="00D74FD6"/>
    <w:rsid w:val="00D754C5"/>
    <w:rsid w:val="00D7563B"/>
    <w:rsid w:val="00D75982"/>
    <w:rsid w:val="00D76898"/>
    <w:rsid w:val="00D8082D"/>
    <w:rsid w:val="00D81049"/>
    <w:rsid w:val="00D81F2B"/>
    <w:rsid w:val="00D8202A"/>
    <w:rsid w:val="00D821BC"/>
    <w:rsid w:val="00D82BC5"/>
    <w:rsid w:val="00D84872"/>
    <w:rsid w:val="00D85739"/>
    <w:rsid w:val="00D85CB6"/>
    <w:rsid w:val="00D868BB"/>
    <w:rsid w:val="00D90F5B"/>
    <w:rsid w:val="00D91A0C"/>
    <w:rsid w:val="00D92FCC"/>
    <w:rsid w:val="00D93091"/>
    <w:rsid w:val="00D9327F"/>
    <w:rsid w:val="00D93C8C"/>
    <w:rsid w:val="00D93E81"/>
    <w:rsid w:val="00D94EA5"/>
    <w:rsid w:val="00D94FEF"/>
    <w:rsid w:val="00D9564B"/>
    <w:rsid w:val="00D95BBE"/>
    <w:rsid w:val="00D96710"/>
    <w:rsid w:val="00D97974"/>
    <w:rsid w:val="00D979DF"/>
    <w:rsid w:val="00DA049E"/>
    <w:rsid w:val="00DA0636"/>
    <w:rsid w:val="00DA1919"/>
    <w:rsid w:val="00DA1A2C"/>
    <w:rsid w:val="00DA1EBF"/>
    <w:rsid w:val="00DA2BE2"/>
    <w:rsid w:val="00DA33AD"/>
    <w:rsid w:val="00DA35E0"/>
    <w:rsid w:val="00DA3FF6"/>
    <w:rsid w:val="00DA447C"/>
    <w:rsid w:val="00DA4493"/>
    <w:rsid w:val="00DA5632"/>
    <w:rsid w:val="00DA6429"/>
    <w:rsid w:val="00DA7644"/>
    <w:rsid w:val="00DA7859"/>
    <w:rsid w:val="00DA7880"/>
    <w:rsid w:val="00DB1228"/>
    <w:rsid w:val="00DB1517"/>
    <w:rsid w:val="00DB1863"/>
    <w:rsid w:val="00DB1B50"/>
    <w:rsid w:val="00DB25CF"/>
    <w:rsid w:val="00DB2680"/>
    <w:rsid w:val="00DB2F61"/>
    <w:rsid w:val="00DB3AAE"/>
    <w:rsid w:val="00DB3D9B"/>
    <w:rsid w:val="00DB4227"/>
    <w:rsid w:val="00DB439E"/>
    <w:rsid w:val="00DB5BEE"/>
    <w:rsid w:val="00DB7F46"/>
    <w:rsid w:val="00DC026A"/>
    <w:rsid w:val="00DC2CDF"/>
    <w:rsid w:val="00DC3632"/>
    <w:rsid w:val="00DC4868"/>
    <w:rsid w:val="00DC4A2F"/>
    <w:rsid w:val="00DC4F63"/>
    <w:rsid w:val="00DC5316"/>
    <w:rsid w:val="00DC5C5A"/>
    <w:rsid w:val="00DC64BD"/>
    <w:rsid w:val="00DC66A8"/>
    <w:rsid w:val="00DC6CD0"/>
    <w:rsid w:val="00DC79A6"/>
    <w:rsid w:val="00DD2E5D"/>
    <w:rsid w:val="00DD2F2C"/>
    <w:rsid w:val="00DD30CF"/>
    <w:rsid w:val="00DD366D"/>
    <w:rsid w:val="00DD3886"/>
    <w:rsid w:val="00DD42E6"/>
    <w:rsid w:val="00DD442F"/>
    <w:rsid w:val="00DD5919"/>
    <w:rsid w:val="00DD5C6A"/>
    <w:rsid w:val="00DD5DB5"/>
    <w:rsid w:val="00DD627D"/>
    <w:rsid w:val="00DD6BEE"/>
    <w:rsid w:val="00DD76B5"/>
    <w:rsid w:val="00DD7F18"/>
    <w:rsid w:val="00DD7F4B"/>
    <w:rsid w:val="00DE054C"/>
    <w:rsid w:val="00DE1FE0"/>
    <w:rsid w:val="00DE23AE"/>
    <w:rsid w:val="00DE28E2"/>
    <w:rsid w:val="00DE376B"/>
    <w:rsid w:val="00DE37D2"/>
    <w:rsid w:val="00DE42A9"/>
    <w:rsid w:val="00DE487C"/>
    <w:rsid w:val="00DE4C0F"/>
    <w:rsid w:val="00DE4C11"/>
    <w:rsid w:val="00DE5144"/>
    <w:rsid w:val="00DE61AB"/>
    <w:rsid w:val="00DE627E"/>
    <w:rsid w:val="00DE6513"/>
    <w:rsid w:val="00DE656B"/>
    <w:rsid w:val="00DE6A69"/>
    <w:rsid w:val="00DE7416"/>
    <w:rsid w:val="00DE7428"/>
    <w:rsid w:val="00DE7DCF"/>
    <w:rsid w:val="00DF030F"/>
    <w:rsid w:val="00DF06E1"/>
    <w:rsid w:val="00DF1156"/>
    <w:rsid w:val="00DF15CD"/>
    <w:rsid w:val="00DF16C4"/>
    <w:rsid w:val="00DF1D56"/>
    <w:rsid w:val="00DF1D71"/>
    <w:rsid w:val="00DF1FBA"/>
    <w:rsid w:val="00DF2626"/>
    <w:rsid w:val="00DF285C"/>
    <w:rsid w:val="00DF2A27"/>
    <w:rsid w:val="00DF327E"/>
    <w:rsid w:val="00DF40B2"/>
    <w:rsid w:val="00DF40CE"/>
    <w:rsid w:val="00DF4127"/>
    <w:rsid w:val="00DF4233"/>
    <w:rsid w:val="00DF4958"/>
    <w:rsid w:val="00DF5109"/>
    <w:rsid w:val="00DF5F46"/>
    <w:rsid w:val="00DF6B34"/>
    <w:rsid w:val="00DF6EB6"/>
    <w:rsid w:val="00DF7008"/>
    <w:rsid w:val="00DF70F3"/>
    <w:rsid w:val="00E002F5"/>
    <w:rsid w:val="00E01498"/>
    <w:rsid w:val="00E015E9"/>
    <w:rsid w:val="00E027A4"/>
    <w:rsid w:val="00E02B70"/>
    <w:rsid w:val="00E03AE6"/>
    <w:rsid w:val="00E05105"/>
    <w:rsid w:val="00E05342"/>
    <w:rsid w:val="00E05C5A"/>
    <w:rsid w:val="00E060B0"/>
    <w:rsid w:val="00E0771D"/>
    <w:rsid w:val="00E103D6"/>
    <w:rsid w:val="00E10888"/>
    <w:rsid w:val="00E109CF"/>
    <w:rsid w:val="00E10F0D"/>
    <w:rsid w:val="00E11634"/>
    <w:rsid w:val="00E11D5C"/>
    <w:rsid w:val="00E1259E"/>
    <w:rsid w:val="00E12721"/>
    <w:rsid w:val="00E1294C"/>
    <w:rsid w:val="00E139ED"/>
    <w:rsid w:val="00E15945"/>
    <w:rsid w:val="00E1598C"/>
    <w:rsid w:val="00E159CF"/>
    <w:rsid w:val="00E16F2E"/>
    <w:rsid w:val="00E17BC8"/>
    <w:rsid w:val="00E17D16"/>
    <w:rsid w:val="00E20D7D"/>
    <w:rsid w:val="00E20EF4"/>
    <w:rsid w:val="00E225DA"/>
    <w:rsid w:val="00E22F16"/>
    <w:rsid w:val="00E2361F"/>
    <w:rsid w:val="00E24BCE"/>
    <w:rsid w:val="00E252FD"/>
    <w:rsid w:val="00E25E11"/>
    <w:rsid w:val="00E263D4"/>
    <w:rsid w:val="00E268D9"/>
    <w:rsid w:val="00E27D83"/>
    <w:rsid w:val="00E30809"/>
    <w:rsid w:val="00E30BFB"/>
    <w:rsid w:val="00E314EA"/>
    <w:rsid w:val="00E31A1C"/>
    <w:rsid w:val="00E31FB8"/>
    <w:rsid w:val="00E323FC"/>
    <w:rsid w:val="00E3451D"/>
    <w:rsid w:val="00E3512E"/>
    <w:rsid w:val="00E360BA"/>
    <w:rsid w:val="00E37777"/>
    <w:rsid w:val="00E378DA"/>
    <w:rsid w:val="00E378EB"/>
    <w:rsid w:val="00E40C37"/>
    <w:rsid w:val="00E41663"/>
    <w:rsid w:val="00E427A3"/>
    <w:rsid w:val="00E42BEF"/>
    <w:rsid w:val="00E434D2"/>
    <w:rsid w:val="00E43599"/>
    <w:rsid w:val="00E43B13"/>
    <w:rsid w:val="00E43F65"/>
    <w:rsid w:val="00E448ED"/>
    <w:rsid w:val="00E46798"/>
    <w:rsid w:val="00E4786A"/>
    <w:rsid w:val="00E50106"/>
    <w:rsid w:val="00E50300"/>
    <w:rsid w:val="00E5056C"/>
    <w:rsid w:val="00E51936"/>
    <w:rsid w:val="00E525CC"/>
    <w:rsid w:val="00E52906"/>
    <w:rsid w:val="00E53579"/>
    <w:rsid w:val="00E535FD"/>
    <w:rsid w:val="00E5436B"/>
    <w:rsid w:val="00E55467"/>
    <w:rsid w:val="00E57857"/>
    <w:rsid w:val="00E60194"/>
    <w:rsid w:val="00E606B1"/>
    <w:rsid w:val="00E60DB4"/>
    <w:rsid w:val="00E60DF6"/>
    <w:rsid w:val="00E612C4"/>
    <w:rsid w:val="00E615B8"/>
    <w:rsid w:val="00E620F3"/>
    <w:rsid w:val="00E62ABA"/>
    <w:rsid w:val="00E62F3C"/>
    <w:rsid w:val="00E634C9"/>
    <w:rsid w:val="00E63994"/>
    <w:rsid w:val="00E64DA5"/>
    <w:rsid w:val="00E651C5"/>
    <w:rsid w:val="00E65858"/>
    <w:rsid w:val="00E65CA1"/>
    <w:rsid w:val="00E662A9"/>
    <w:rsid w:val="00E66AF6"/>
    <w:rsid w:val="00E66D7E"/>
    <w:rsid w:val="00E67584"/>
    <w:rsid w:val="00E675E7"/>
    <w:rsid w:val="00E679A6"/>
    <w:rsid w:val="00E70026"/>
    <w:rsid w:val="00E714C0"/>
    <w:rsid w:val="00E720CF"/>
    <w:rsid w:val="00E72545"/>
    <w:rsid w:val="00E72623"/>
    <w:rsid w:val="00E72666"/>
    <w:rsid w:val="00E7360F"/>
    <w:rsid w:val="00E73B9F"/>
    <w:rsid w:val="00E746F7"/>
    <w:rsid w:val="00E751E7"/>
    <w:rsid w:val="00E75265"/>
    <w:rsid w:val="00E7543F"/>
    <w:rsid w:val="00E771CE"/>
    <w:rsid w:val="00E80632"/>
    <w:rsid w:val="00E80657"/>
    <w:rsid w:val="00E8259C"/>
    <w:rsid w:val="00E83D92"/>
    <w:rsid w:val="00E840C7"/>
    <w:rsid w:val="00E85887"/>
    <w:rsid w:val="00E85B21"/>
    <w:rsid w:val="00E85EF6"/>
    <w:rsid w:val="00E862F3"/>
    <w:rsid w:val="00E867E0"/>
    <w:rsid w:val="00E8698C"/>
    <w:rsid w:val="00E870EB"/>
    <w:rsid w:val="00E874D6"/>
    <w:rsid w:val="00E87A35"/>
    <w:rsid w:val="00E87D94"/>
    <w:rsid w:val="00E911BE"/>
    <w:rsid w:val="00E919BD"/>
    <w:rsid w:val="00E91E53"/>
    <w:rsid w:val="00E92C1A"/>
    <w:rsid w:val="00E92EBC"/>
    <w:rsid w:val="00E92FC6"/>
    <w:rsid w:val="00E9434C"/>
    <w:rsid w:val="00E94482"/>
    <w:rsid w:val="00E94844"/>
    <w:rsid w:val="00E9565C"/>
    <w:rsid w:val="00E957D7"/>
    <w:rsid w:val="00E95F8E"/>
    <w:rsid w:val="00E97A5B"/>
    <w:rsid w:val="00E97ECD"/>
    <w:rsid w:val="00E97F02"/>
    <w:rsid w:val="00EA0221"/>
    <w:rsid w:val="00EA05D1"/>
    <w:rsid w:val="00EA085F"/>
    <w:rsid w:val="00EA08D1"/>
    <w:rsid w:val="00EA0CD7"/>
    <w:rsid w:val="00EA1A3E"/>
    <w:rsid w:val="00EA1C15"/>
    <w:rsid w:val="00EA1D45"/>
    <w:rsid w:val="00EA206E"/>
    <w:rsid w:val="00EA21BC"/>
    <w:rsid w:val="00EA25C9"/>
    <w:rsid w:val="00EA2C98"/>
    <w:rsid w:val="00EA34A6"/>
    <w:rsid w:val="00EA3AB4"/>
    <w:rsid w:val="00EA4366"/>
    <w:rsid w:val="00EA5074"/>
    <w:rsid w:val="00EA50FA"/>
    <w:rsid w:val="00EA5D13"/>
    <w:rsid w:val="00EA64BE"/>
    <w:rsid w:val="00EB05F9"/>
    <w:rsid w:val="00EB0C4B"/>
    <w:rsid w:val="00EB1011"/>
    <w:rsid w:val="00EB10B9"/>
    <w:rsid w:val="00EB17C2"/>
    <w:rsid w:val="00EB19A2"/>
    <w:rsid w:val="00EB229F"/>
    <w:rsid w:val="00EB260C"/>
    <w:rsid w:val="00EB28F5"/>
    <w:rsid w:val="00EB2995"/>
    <w:rsid w:val="00EB2F13"/>
    <w:rsid w:val="00EB30C3"/>
    <w:rsid w:val="00EB3186"/>
    <w:rsid w:val="00EB34E6"/>
    <w:rsid w:val="00EB4EAD"/>
    <w:rsid w:val="00EB4F41"/>
    <w:rsid w:val="00EB5966"/>
    <w:rsid w:val="00EB5E5A"/>
    <w:rsid w:val="00EB6522"/>
    <w:rsid w:val="00EB75FB"/>
    <w:rsid w:val="00EB76C5"/>
    <w:rsid w:val="00EB76EA"/>
    <w:rsid w:val="00EB7928"/>
    <w:rsid w:val="00EC1A1D"/>
    <w:rsid w:val="00EC1D2D"/>
    <w:rsid w:val="00EC1F33"/>
    <w:rsid w:val="00EC2004"/>
    <w:rsid w:val="00EC2B20"/>
    <w:rsid w:val="00EC4CDF"/>
    <w:rsid w:val="00EC5F1B"/>
    <w:rsid w:val="00EC635A"/>
    <w:rsid w:val="00EC641A"/>
    <w:rsid w:val="00EC6489"/>
    <w:rsid w:val="00EC7C99"/>
    <w:rsid w:val="00ED0685"/>
    <w:rsid w:val="00ED1624"/>
    <w:rsid w:val="00ED1B9A"/>
    <w:rsid w:val="00ED2A9F"/>
    <w:rsid w:val="00ED2D6B"/>
    <w:rsid w:val="00ED32F9"/>
    <w:rsid w:val="00ED3948"/>
    <w:rsid w:val="00ED40BA"/>
    <w:rsid w:val="00ED43CD"/>
    <w:rsid w:val="00ED4CA5"/>
    <w:rsid w:val="00ED4E8A"/>
    <w:rsid w:val="00ED582C"/>
    <w:rsid w:val="00ED5972"/>
    <w:rsid w:val="00ED5C9D"/>
    <w:rsid w:val="00ED5EE0"/>
    <w:rsid w:val="00ED5FE1"/>
    <w:rsid w:val="00ED6788"/>
    <w:rsid w:val="00ED6D74"/>
    <w:rsid w:val="00EE1141"/>
    <w:rsid w:val="00EE224C"/>
    <w:rsid w:val="00EE2AFB"/>
    <w:rsid w:val="00EE371A"/>
    <w:rsid w:val="00EE3AD2"/>
    <w:rsid w:val="00EE4776"/>
    <w:rsid w:val="00EE49E1"/>
    <w:rsid w:val="00EE51B9"/>
    <w:rsid w:val="00EE522C"/>
    <w:rsid w:val="00EE5595"/>
    <w:rsid w:val="00EE5794"/>
    <w:rsid w:val="00EE5BAA"/>
    <w:rsid w:val="00EE6176"/>
    <w:rsid w:val="00EE6507"/>
    <w:rsid w:val="00EE656D"/>
    <w:rsid w:val="00EE680A"/>
    <w:rsid w:val="00EE6CE2"/>
    <w:rsid w:val="00EE6D75"/>
    <w:rsid w:val="00EE6EBE"/>
    <w:rsid w:val="00EE730A"/>
    <w:rsid w:val="00EE7559"/>
    <w:rsid w:val="00EE75D3"/>
    <w:rsid w:val="00EE79E0"/>
    <w:rsid w:val="00EE7A99"/>
    <w:rsid w:val="00EF0214"/>
    <w:rsid w:val="00EF0685"/>
    <w:rsid w:val="00EF1FD7"/>
    <w:rsid w:val="00EF27DE"/>
    <w:rsid w:val="00EF27F2"/>
    <w:rsid w:val="00EF2C3B"/>
    <w:rsid w:val="00EF2EEA"/>
    <w:rsid w:val="00EF2FC3"/>
    <w:rsid w:val="00EF33AA"/>
    <w:rsid w:val="00EF366A"/>
    <w:rsid w:val="00EF395C"/>
    <w:rsid w:val="00EF3981"/>
    <w:rsid w:val="00EF3B82"/>
    <w:rsid w:val="00EF4372"/>
    <w:rsid w:val="00EF437D"/>
    <w:rsid w:val="00EF4C0C"/>
    <w:rsid w:val="00EF4C2F"/>
    <w:rsid w:val="00EF5A67"/>
    <w:rsid w:val="00EF6153"/>
    <w:rsid w:val="00EF6AE1"/>
    <w:rsid w:val="00EF73AA"/>
    <w:rsid w:val="00EF7949"/>
    <w:rsid w:val="00EF7993"/>
    <w:rsid w:val="00EF7D1F"/>
    <w:rsid w:val="00F00D6E"/>
    <w:rsid w:val="00F0219C"/>
    <w:rsid w:val="00F02CB2"/>
    <w:rsid w:val="00F03A24"/>
    <w:rsid w:val="00F03F6A"/>
    <w:rsid w:val="00F04D4C"/>
    <w:rsid w:val="00F04DA8"/>
    <w:rsid w:val="00F05450"/>
    <w:rsid w:val="00F05A72"/>
    <w:rsid w:val="00F06151"/>
    <w:rsid w:val="00F06642"/>
    <w:rsid w:val="00F073B4"/>
    <w:rsid w:val="00F0741F"/>
    <w:rsid w:val="00F10384"/>
    <w:rsid w:val="00F132FA"/>
    <w:rsid w:val="00F13675"/>
    <w:rsid w:val="00F14C52"/>
    <w:rsid w:val="00F1532A"/>
    <w:rsid w:val="00F15BDF"/>
    <w:rsid w:val="00F15F24"/>
    <w:rsid w:val="00F16988"/>
    <w:rsid w:val="00F1728D"/>
    <w:rsid w:val="00F204D0"/>
    <w:rsid w:val="00F21403"/>
    <w:rsid w:val="00F21543"/>
    <w:rsid w:val="00F227D2"/>
    <w:rsid w:val="00F234BD"/>
    <w:rsid w:val="00F23EE9"/>
    <w:rsid w:val="00F23EF3"/>
    <w:rsid w:val="00F23F34"/>
    <w:rsid w:val="00F2540B"/>
    <w:rsid w:val="00F2630D"/>
    <w:rsid w:val="00F263EE"/>
    <w:rsid w:val="00F264EF"/>
    <w:rsid w:val="00F26F4D"/>
    <w:rsid w:val="00F277E8"/>
    <w:rsid w:val="00F30781"/>
    <w:rsid w:val="00F30790"/>
    <w:rsid w:val="00F30793"/>
    <w:rsid w:val="00F3139E"/>
    <w:rsid w:val="00F315CB"/>
    <w:rsid w:val="00F32D07"/>
    <w:rsid w:val="00F33F8C"/>
    <w:rsid w:val="00F344EC"/>
    <w:rsid w:val="00F345F2"/>
    <w:rsid w:val="00F34AA8"/>
    <w:rsid w:val="00F35BDF"/>
    <w:rsid w:val="00F3704C"/>
    <w:rsid w:val="00F37A02"/>
    <w:rsid w:val="00F37AB3"/>
    <w:rsid w:val="00F40021"/>
    <w:rsid w:val="00F404E6"/>
    <w:rsid w:val="00F40CAB"/>
    <w:rsid w:val="00F411B0"/>
    <w:rsid w:val="00F41955"/>
    <w:rsid w:val="00F42317"/>
    <w:rsid w:val="00F423A6"/>
    <w:rsid w:val="00F4264E"/>
    <w:rsid w:val="00F4413F"/>
    <w:rsid w:val="00F445EB"/>
    <w:rsid w:val="00F45472"/>
    <w:rsid w:val="00F4549E"/>
    <w:rsid w:val="00F45651"/>
    <w:rsid w:val="00F457DB"/>
    <w:rsid w:val="00F4587F"/>
    <w:rsid w:val="00F458A8"/>
    <w:rsid w:val="00F46DFE"/>
    <w:rsid w:val="00F470A8"/>
    <w:rsid w:val="00F474D0"/>
    <w:rsid w:val="00F47F40"/>
    <w:rsid w:val="00F50CD9"/>
    <w:rsid w:val="00F5150C"/>
    <w:rsid w:val="00F51BB1"/>
    <w:rsid w:val="00F52606"/>
    <w:rsid w:val="00F534A0"/>
    <w:rsid w:val="00F5380E"/>
    <w:rsid w:val="00F570C0"/>
    <w:rsid w:val="00F57905"/>
    <w:rsid w:val="00F57F5C"/>
    <w:rsid w:val="00F6031A"/>
    <w:rsid w:val="00F6089D"/>
    <w:rsid w:val="00F609AB"/>
    <w:rsid w:val="00F61532"/>
    <w:rsid w:val="00F619EB"/>
    <w:rsid w:val="00F61BEB"/>
    <w:rsid w:val="00F61F80"/>
    <w:rsid w:val="00F620E3"/>
    <w:rsid w:val="00F6229F"/>
    <w:rsid w:val="00F622F0"/>
    <w:rsid w:val="00F64EC4"/>
    <w:rsid w:val="00F64F1E"/>
    <w:rsid w:val="00F6576B"/>
    <w:rsid w:val="00F66399"/>
    <w:rsid w:val="00F665FD"/>
    <w:rsid w:val="00F666FC"/>
    <w:rsid w:val="00F66CEF"/>
    <w:rsid w:val="00F66EF5"/>
    <w:rsid w:val="00F66F4D"/>
    <w:rsid w:val="00F6781F"/>
    <w:rsid w:val="00F7014A"/>
    <w:rsid w:val="00F70473"/>
    <w:rsid w:val="00F70625"/>
    <w:rsid w:val="00F70B3E"/>
    <w:rsid w:val="00F70CBA"/>
    <w:rsid w:val="00F7151C"/>
    <w:rsid w:val="00F7174B"/>
    <w:rsid w:val="00F72181"/>
    <w:rsid w:val="00F721FB"/>
    <w:rsid w:val="00F722AD"/>
    <w:rsid w:val="00F73169"/>
    <w:rsid w:val="00F738F5"/>
    <w:rsid w:val="00F73E2D"/>
    <w:rsid w:val="00F741FD"/>
    <w:rsid w:val="00F747E5"/>
    <w:rsid w:val="00F74F05"/>
    <w:rsid w:val="00F765AF"/>
    <w:rsid w:val="00F76A0D"/>
    <w:rsid w:val="00F76B67"/>
    <w:rsid w:val="00F77BF7"/>
    <w:rsid w:val="00F80138"/>
    <w:rsid w:val="00F821B7"/>
    <w:rsid w:val="00F8275B"/>
    <w:rsid w:val="00F82A80"/>
    <w:rsid w:val="00F82CF4"/>
    <w:rsid w:val="00F82F10"/>
    <w:rsid w:val="00F837F2"/>
    <w:rsid w:val="00F83805"/>
    <w:rsid w:val="00F83919"/>
    <w:rsid w:val="00F83C9D"/>
    <w:rsid w:val="00F83E03"/>
    <w:rsid w:val="00F85654"/>
    <w:rsid w:val="00F8565C"/>
    <w:rsid w:val="00F86E38"/>
    <w:rsid w:val="00F900E5"/>
    <w:rsid w:val="00F908AD"/>
    <w:rsid w:val="00F90933"/>
    <w:rsid w:val="00F90CEE"/>
    <w:rsid w:val="00F91071"/>
    <w:rsid w:val="00F91450"/>
    <w:rsid w:val="00F915B0"/>
    <w:rsid w:val="00F915F2"/>
    <w:rsid w:val="00F9188E"/>
    <w:rsid w:val="00F9255F"/>
    <w:rsid w:val="00F926A2"/>
    <w:rsid w:val="00F92D8D"/>
    <w:rsid w:val="00F93A55"/>
    <w:rsid w:val="00F93D11"/>
    <w:rsid w:val="00F93D1A"/>
    <w:rsid w:val="00F93E4A"/>
    <w:rsid w:val="00F9412F"/>
    <w:rsid w:val="00F94FC5"/>
    <w:rsid w:val="00F96314"/>
    <w:rsid w:val="00F96DC7"/>
    <w:rsid w:val="00F97CAA"/>
    <w:rsid w:val="00F97EE6"/>
    <w:rsid w:val="00F97F96"/>
    <w:rsid w:val="00FA02C5"/>
    <w:rsid w:val="00FA0850"/>
    <w:rsid w:val="00FA25D6"/>
    <w:rsid w:val="00FA3D8D"/>
    <w:rsid w:val="00FA48B0"/>
    <w:rsid w:val="00FA4E02"/>
    <w:rsid w:val="00FA6408"/>
    <w:rsid w:val="00FA683C"/>
    <w:rsid w:val="00FA78ED"/>
    <w:rsid w:val="00FB0972"/>
    <w:rsid w:val="00FB0AD9"/>
    <w:rsid w:val="00FB15EA"/>
    <w:rsid w:val="00FB1F00"/>
    <w:rsid w:val="00FB227B"/>
    <w:rsid w:val="00FB2762"/>
    <w:rsid w:val="00FB38CA"/>
    <w:rsid w:val="00FB3B96"/>
    <w:rsid w:val="00FB4A01"/>
    <w:rsid w:val="00FB4AD5"/>
    <w:rsid w:val="00FB6F3F"/>
    <w:rsid w:val="00FB7819"/>
    <w:rsid w:val="00FB7C56"/>
    <w:rsid w:val="00FB7FFE"/>
    <w:rsid w:val="00FC0563"/>
    <w:rsid w:val="00FC09A2"/>
    <w:rsid w:val="00FC0C37"/>
    <w:rsid w:val="00FC0E24"/>
    <w:rsid w:val="00FC19B8"/>
    <w:rsid w:val="00FC1D39"/>
    <w:rsid w:val="00FC1D4A"/>
    <w:rsid w:val="00FC3302"/>
    <w:rsid w:val="00FC3449"/>
    <w:rsid w:val="00FC3EA8"/>
    <w:rsid w:val="00FC40EE"/>
    <w:rsid w:val="00FC436E"/>
    <w:rsid w:val="00FC46DF"/>
    <w:rsid w:val="00FC6016"/>
    <w:rsid w:val="00FC6BB9"/>
    <w:rsid w:val="00FC747E"/>
    <w:rsid w:val="00FC7895"/>
    <w:rsid w:val="00FD0577"/>
    <w:rsid w:val="00FD07B4"/>
    <w:rsid w:val="00FD0937"/>
    <w:rsid w:val="00FD13BA"/>
    <w:rsid w:val="00FD1AC9"/>
    <w:rsid w:val="00FD202D"/>
    <w:rsid w:val="00FD2397"/>
    <w:rsid w:val="00FD2677"/>
    <w:rsid w:val="00FD2CA1"/>
    <w:rsid w:val="00FD306A"/>
    <w:rsid w:val="00FD3189"/>
    <w:rsid w:val="00FD3558"/>
    <w:rsid w:val="00FD37B3"/>
    <w:rsid w:val="00FD420C"/>
    <w:rsid w:val="00FD4C89"/>
    <w:rsid w:val="00FD4FB8"/>
    <w:rsid w:val="00FD5438"/>
    <w:rsid w:val="00FD57A0"/>
    <w:rsid w:val="00FD5DF7"/>
    <w:rsid w:val="00FD6553"/>
    <w:rsid w:val="00FD6E4B"/>
    <w:rsid w:val="00FD76D5"/>
    <w:rsid w:val="00FD78D8"/>
    <w:rsid w:val="00FE0924"/>
    <w:rsid w:val="00FE0D6F"/>
    <w:rsid w:val="00FE0EB6"/>
    <w:rsid w:val="00FE115E"/>
    <w:rsid w:val="00FE168C"/>
    <w:rsid w:val="00FE16D6"/>
    <w:rsid w:val="00FE2245"/>
    <w:rsid w:val="00FE2658"/>
    <w:rsid w:val="00FE274F"/>
    <w:rsid w:val="00FE35A5"/>
    <w:rsid w:val="00FE3685"/>
    <w:rsid w:val="00FE394F"/>
    <w:rsid w:val="00FE3B27"/>
    <w:rsid w:val="00FE476D"/>
    <w:rsid w:val="00FE59C4"/>
    <w:rsid w:val="00FE647A"/>
    <w:rsid w:val="00FE6735"/>
    <w:rsid w:val="00FE68AD"/>
    <w:rsid w:val="00FE6A3D"/>
    <w:rsid w:val="00FF0EE9"/>
    <w:rsid w:val="00FF1AB7"/>
    <w:rsid w:val="00FF1E97"/>
    <w:rsid w:val="00FF2390"/>
    <w:rsid w:val="00FF3093"/>
    <w:rsid w:val="00FF37BC"/>
    <w:rsid w:val="00FF4E44"/>
    <w:rsid w:val="00FF59C7"/>
    <w:rsid w:val="00FF59C9"/>
    <w:rsid w:val="00FF5F80"/>
    <w:rsid w:val="00FF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C1"/>
    <w:rPr>
      <w:lang w:eastAsia="en-US"/>
    </w:rPr>
  </w:style>
  <w:style w:type="paragraph" w:styleId="Heading1">
    <w:name w:val="heading 1"/>
    <w:basedOn w:val="Normal"/>
    <w:next w:val="Normal"/>
    <w:qFormat/>
    <w:rsid w:val="004258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58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58CC"/>
    <w:pPr>
      <w:keepNext/>
      <w:spacing w:before="240" w:after="60"/>
      <w:outlineLvl w:val="2"/>
    </w:pPr>
    <w:rPr>
      <w:rFonts w:ascii="Arial" w:hAnsi="Arial" w:cs="Arial"/>
      <w:b/>
      <w:bCs/>
      <w:sz w:val="26"/>
      <w:szCs w:val="26"/>
    </w:rPr>
  </w:style>
  <w:style w:type="paragraph" w:styleId="Heading4">
    <w:name w:val="heading 4"/>
    <w:basedOn w:val="Normal"/>
    <w:next w:val="Normal"/>
    <w:qFormat/>
    <w:rsid w:val="00925ED9"/>
    <w:pPr>
      <w:keepNext/>
      <w:widowControl w:val="0"/>
      <w:tabs>
        <w:tab w:val="left" w:pos="1080"/>
        <w:tab w:val="right" w:pos="6207"/>
        <w:tab w:val="right" w:pos="8007"/>
      </w:tabs>
      <w:outlineLvl w:val="3"/>
    </w:pPr>
    <w:rPr>
      <w:b/>
      <w:snapToGrid w:val="0"/>
      <w:color w:val="000000"/>
    </w:rPr>
  </w:style>
  <w:style w:type="paragraph" w:styleId="Heading5">
    <w:name w:val="heading 5"/>
    <w:basedOn w:val="Normal"/>
    <w:next w:val="Normal"/>
    <w:link w:val="Heading5Char"/>
    <w:semiHidden/>
    <w:unhideWhenUsed/>
    <w:qFormat/>
    <w:rsid w:val="0028516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A5E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C1D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5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014A"/>
    <w:rPr>
      <w:rFonts w:ascii="Tahoma" w:hAnsi="Tahoma" w:cs="Tahoma"/>
      <w:sz w:val="16"/>
      <w:szCs w:val="16"/>
    </w:rPr>
  </w:style>
  <w:style w:type="paragraph" w:styleId="Footer">
    <w:name w:val="footer"/>
    <w:basedOn w:val="Normal"/>
    <w:link w:val="FooterChar"/>
    <w:uiPriority w:val="99"/>
    <w:rsid w:val="002F66F1"/>
    <w:pPr>
      <w:tabs>
        <w:tab w:val="center" w:pos="4153"/>
        <w:tab w:val="right" w:pos="8306"/>
      </w:tabs>
    </w:pPr>
  </w:style>
  <w:style w:type="character" w:styleId="PageNumber">
    <w:name w:val="page number"/>
    <w:basedOn w:val="DefaultParagraphFont"/>
    <w:rsid w:val="002F66F1"/>
  </w:style>
  <w:style w:type="paragraph" w:styleId="Header">
    <w:name w:val="header"/>
    <w:basedOn w:val="Normal"/>
    <w:link w:val="HeaderChar"/>
    <w:rsid w:val="0019670A"/>
    <w:pPr>
      <w:tabs>
        <w:tab w:val="center" w:pos="4153"/>
        <w:tab w:val="right" w:pos="8306"/>
      </w:tabs>
    </w:pPr>
  </w:style>
  <w:style w:type="paragraph" w:customStyle="1" w:styleId="PlainTableHead">
    <w:name w:val="Plain Table Head"/>
    <w:basedOn w:val="Normal"/>
    <w:rsid w:val="007F1E9B"/>
    <w:pPr>
      <w:keepNext/>
      <w:overflowPunct w:val="0"/>
      <w:autoSpaceDE w:val="0"/>
      <w:autoSpaceDN w:val="0"/>
      <w:adjustRightInd w:val="0"/>
      <w:spacing w:before="60" w:after="60"/>
      <w:textAlignment w:val="baseline"/>
    </w:pPr>
    <w:rPr>
      <w:rFonts w:ascii="Arial" w:hAnsi="Arial"/>
      <w:b/>
      <w:color w:val="263C6B"/>
      <w:lang w:val="en-US"/>
    </w:rPr>
  </w:style>
  <w:style w:type="paragraph" w:customStyle="1" w:styleId="PlainTableText">
    <w:name w:val="Plain Table Text"/>
    <w:basedOn w:val="Normal"/>
    <w:rsid w:val="007F1E9B"/>
    <w:pPr>
      <w:overflowPunct w:val="0"/>
      <w:autoSpaceDE w:val="0"/>
      <w:autoSpaceDN w:val="0"/>
      <w:adjustRightInd w:val="0"/>
      <w:textAlignment w:val="baseline"/>
    </w:pPr>
    <w:rPr>
      <w:rFonts w:ascii="Arial" w:hAnsi="Arial"/>
      <w:lang w:val="en-US"/>
    </w:rPr>
  </w:style>
  <w:style w:type="paragraph" w:customStyle="1" w:styleId="RuledTableText">
    <w:name w:val="Ruled Table Text"/>
    <w:basedOn w:val="Normal"/>
    <w:rsid w:val="007F1E9B"/>
    <w:pPr>
      <w:overflowPunct w:val="0"/>
      <w:autoSpaceDE w:val="0"/>
      <w:autoSpaceDN w:val="0"/>
      <w:adjustRightInd w:val="0"/>
      <w:textAlignment w:val="baseline"/>
    </w:pPr>
    <w:rPr>
      <w:rFonts w:ascii="Arial" w:hAnsi="Arial"/>
      <w:lang w:val="en-US"/>
    </w:rPr>
  </w:style>
  <w:style w:type="paragraph" w:customStyle="1" w:styleId="Table3Data">
    <w:name w:val="Table3/Data"/>
    <w:basedOn w:val="Normal"/>
    <w:rsid w:val="007F1E9B"/>
    <w:rPr>
      <w:rFonts w:ascii="Arial" w:hAnsi="Arial"/>
      <w:lang w:val="en-US"/>
    </w:rPr>
  </w:style>
  <w:style w:type="paragraph" w:customStyle="1" w:styleId="AonBodyCopy">
    <w:name w:val="Aon Body Copy"/>
    <w:basedOn w:val="Normal"/>
    <w:link w:val="AonBodyCopyChar"/>
    <w:rsid w:val="007F1E9B"/>
    <w:pPr>
      <w:spacing w:after="120"/>
    </w:pPr>
    <w:rPr>
      <w:rFonts w:ascii="Arial" w:eastAsia="MS Mincho" w:hAnsi="Arial"/>
      <w:sz w:val="23"/>
    </w:rPr>
  </w:style>
  <w:style w:type="numbering" w:customStyle="1" w:styleId="AonList">
    <w:name w:val="Aon List"/>
    <w:rsid w:val="007F1E9B"/>
    <w:pPr>
      <w:numPr>
        <w:numId w:val="1"/>
      </w:numPr>
    </w:pPr>
  </w:style>
  <w:style w:type="paragraph" w:customStyle="1" w:styleId="AonBullet1">
    <w:name w:val="Aon Bullet 1"/>
    <w:basedOn w:val="Normal"/>
    <w:rsid w:val="007F1E9B"/>
    <w:pPr>
      <w:numPr>
        <w:numId w:val="1"/>
      </w:numPr>
      <w:spacing w:after="120"/>
    </w:pPr>
    <w:rPr>
      <w:rFonts w:ascii="Arial" w:hAnsi="Arial"/>
      <w:sz w:val="23"/>
    </w:rPr>
  </w:style>
  <w:style w:type="paragraph" w:customStyle="1" w:styleId="AonBullet2">
    <w:name w:val="Aon Bullet 2"/>
    <w:basedOn w:val="Normal"/>
    <w:rsid w:val="007F1E9B"/>
    <w:pPr>
      <w:numPr>
        <w:ilvl w:val="1"/>
        <w:numId w:val="1"/>
      </w:numPr>
      <w:spacing w:after="120"/>
    </w:pPr>
    <w:rPr>
      <w:rFonts w:ascii="Arial" w:hAnsi="Arial"/>
      <w:sz w:val="23"/>
    </w:rPr>
  </w:style>
  <w:style w:type="paragraph" w:customStyle="1" w:styleId="AonBullet3">
    <w:name w:val="Aon Bullet 3"/>
    <w:basedOn w:val="Normal"/>
    <w:rsid w:val="007F1E9B"/>
    <w:pPr>
      <w:numPr>
        <w:ilvl w:val="2"/>
        <w:numId w:val="1"/>
      </w:numPr>
      <w:spacing w:after="120"/>
    </w:pPr>
    <w:rPr>
      <w:rFonts w:ascii="Arial" w:hAnsi="Arial"/>
      <w:sz w:val="23"/>
    </w:rPr>
  </w:style>
  <w:style w:type="paragraph" w:customStyle="1" w:styleId="AonBullet4">
    <w:name w:val="Aon Bullet 4"/>
    <w:basedOn w:val="Normal"/>
    <w:rsid w:val="007F1E9B"/>
    <w:pPr>
      <w:numPr>
        <w:ilvl w:val="3"/>
        <w:numId w:val="1"/>
      </w:numPr>
      <w:spacing w:after="120"/>
    </w:pPr>
    <w:rPr>
      <w:rFonts w:ascii="Arial" w:hAnsi="Arial"/>
      <w:sz w:val="23"/>
      <w:lang w:val="de-DE"/>
    </w:rPr>
  </w:style>
  <w:style w:type="paragraph" w:customStyle="1" w:styleId="AonBullet5">
    <w:name w:val="Aon Bullet 5"/>
    <w:basedOn w:val="Normal"/>
    <w:rsid w:val="007F1E9B"/>
    <w:pPr>
      <w:numPr>
        <w:ilvl w:val="4"/>
        <w:numId w:val="1"/>
      </w:numPr>
      <w:spacing w:after="120"/>
    </w:pPr>
    <w:rPr>
      <w:rFonts w:ascii="Arial" w:hAnsi="Arial"/>
      <w:sz w:val="23"/>
    </w:rPr>
  </w:style>
  <w:style w:type="character" w:customStyle="1" w:styleId="AonBlue">
    <w:name w:val="Aon  Blue"/>
    <w:rsid w:val="007F1E9B"/>
    <w:rPr>
      <w:color w:val="0083A9"/>
    </w:rPr>
  </w:style>
  <w:style w:type="paragraph" w:customStyle="1" w:styleId="2ColumnTableTitle">
    <w:name w:val="2 Column Table Title"/>
    <w:basedOn w:val="Normal"/>
    <w:rsid w:val="007F1E9B"/>
    <w:pPr>
      <w:autoSpaceDE w:val="0"/>
      <w:autoSpaceDN w:val="0"/>
      <w:adjustRightInd w:val="0"/>
      <w:spacing w:after="120"/>
      <w:textAlignment w:val="center"/>
    </w:pPr>
    <w:rPr>
      <w:rFonts w:ascii="Arial" w:hAnsi="Arial"/>
      <w:b/>
      <w:bCs/>
      <w:color w:val="000000"/>
      <w:lang w:val="en-US"/>
    </w:rPr>
  </w:style>
  <w:style w:type="paragraph" w:customStyle="1" w:styleId="2ColumnBody">
    <w:name w:val="2 Column Body"/>
    <w:basedOn w:val="AonBodyCopy"/>
    <w:link w:val="2ColumnBodyChar"/>
    <w:rsid w:val="007F1E9B"/>
  </w:style>
  <w:style w:type="paragraph" w:customStyle="1" w:styleId="2ColumnVerticalSpace">
    <w:name w:val="2 Column Vertical Space"/>
    <w:basedOn w:val="AonBodyCopy"/>
    <w:next w:val="AonBodyCopy"/>
    <w:rsid w:val="007F1E9B"/>
    <w:pPr>
      <w:pBdr>
        <w:top w:val="single" w:sz="4" w:space="1" w:color="auto"/>
      </w:pBdr>
      <w:spacing w:before="120" w:after="0"/>
      <w:ind w:left="2520"/>
      <w:jc w:val="right"/>
    </w:pPr>
    <w:rPr>
      <w:sz w:val="16"/>
      <w:szCs w:val="16"/>
    </w:rPr>
  </w:style>
  <w:style w:type="paragraph" w:customStyle="1" w:styleId="2ColumnHeading1">
    <w:name w:val="2 Column Heading 1"/>
    <w:basedOn w:val="2ColumnBody"/>
    <w:next w:val="2ColumnBody"/>
    <w:rsid w:val="007F1E9B"/>
    <w:pPr>
      <w:spacing w:after="0"/>
    </w:pPr>
    <w:rPr>
      <w:b/>
    </w:rPr>
  </w:style>
  <w:style w:type="paragraph" w:customStyle="1" w:styleId="Bulletplus">
    <w:name w:val="Bullet plus"/>
    <w:basedOn w:val="Normal"/>
    <w:link w:val="BulletplusChar"/>
    <w:rsid w:val="007F1E9B"/>
    <w:pPr>
      <w:numPr>
        <w:numId w:val="3"/>
      </w:numPr>
      <w:spacing w:after="120"/>
    </w:pPr>
    <w:rPr>
      <w:rFonts w:ascii="Arial" w:eastAsia="MS Mincho" w:hAnsi="Arial"/>
      <w:sz w:val="23"/>
      <w:szCs w:val="23"/>
    </w:rPr>
  </w:style>
  <w:style w:type="paragraph" w:customStyle="1" w:styleId="AonIndentBullet1">
    <w:name w:val="Aon Indent Bullet 1"/>
    <w:basedOn w:val="AonBullet1"/>
    <w:rsid w:val="007F1E9B"/>
    <w:pPr>
      <w:numPr>
        <w:numId w:val="0"/>
      </w:numPr>
      <w:ind w:left="357"/>
    </w:pPr>
  </w:style>
  <w:style w:type="paragraph" w:customStyle="1" w:styleId="EmDashplus">
    <w:name w:val="EmDash plus"/>
    <w:basedOn w:val="Normal"/>
    <w:rsid w:val="007F1E9B"/>
    <w:pPr>
      <w:numPr>
        <w:ilvl w:val="1"/>
        <w:numId w:val="3"/>
      </w:numPr>
      <w:spacing w:after="120"/>
    </w:pPr>
    <w:rPr>
      <w:rFonts w:ascii="Arial" w:hAnsi="Arial"/>
    </w:rPr>
  </w:style>
  <w:style w:type="paragraph" w:customStyle="1" w:styleId="2ColumnHeading2">
    <w:name w:val="2 Column Heading 2"/>
    <w:basedOn w:val="2ColumnBody"/>
    <w:next w:val="2ColumnBody"/>
    <w:rsid w:val="007F1E9B"/>
    <w:pPr>
      <w:spacing w:after="0"/>
    </w:pPr>
    <w:rPr>
      <w:b/>
      <w:i/>
    </w:rPr>
  </w:style>
  <w:style w:type="paragraph" w:customStyle="1" w:styleId="SubSectionLine">
    <w:name w:val="SubSectionLine"/>
    <w:basedOn w:val="Normal"/>
    <w:next w:val="Normal"/>
    <w:rsid w:val="007F1E9B"/>
    <w:pPr>
      <w:pBdr>
        <w:top w:val="single" w:sz="2" w:space="1" w:color="000000"/>
        <w:between w:val="single" w:sz="2" w:space="1" w:color="000000"/>
      </w:pBdr>
      <w:overflowPunct w:val="0"/>
      <w:autoSpaceDE w:val="0"/>
      <w:autoSpaceDN w:val="0"/>
      <w:adjustRightInd w:val="0"/>
      <w:spacing w:before="120"/>
      <w:ind w:left="2347" w:right="28"/>
      <w:jc w:val="right"/>
      <w:textAlignment w:val="baseline"/>
    </w:pPr>
    <w:rPr>
      <w:rFonts w:ascii="Arial" w:hAnsi="Arial"/>
      <w:sz w:val="16"/>
    </w:rPr>
  </w:style>
  <w:style w:type="paragraph" w:customStyle="1" w:styleId="note">
    <w:name w:val="note"/>
    <w:basedOn w:val="Normal"/>
    <w:rsid w:val="007F1E9B"/>
    <w:pPr>
      <w:widowControl w:val="0"/>
      <w:overflowPunct w:val="0"/>
      <w:autoSpaceDE w:val="0"/>
      <w:autoSpaceDN w:val="0"/>
      <w:adjustRightInd w:val="0"/>
      <w:spacing w:after="120"/>
      <w:ind w:left="680" w:hanging="680"/>
      <w:textAlignment w:val="baseline"/>
    </w:pPr>
    <w:rPr>
      <w:rFonts w:ascii="Arial" w:hAnsi="Arial"/>
      <w:i/>
    </w:rPr>
  </w:style>
  <w:style w:type="paragraph" w:customStyle="1" w:styleId="Normalplus">
    <w:name w:val="Normal plus"/>
    <w:basedOn w:val="Normal"/>
    <w:link w:val="NormalplusChar"/>
    <w:rsid w:val="007F1E9B"/>
    <w:pPr>
      <w:overflowPunct w:val="0"/>
      <w:autoSpaceDE w:val="0"/>
      <w:autoSpaceDN w:val="0"/>
      <w:adjustRightInd w:val="0"/>
      <w:spacing w:after="120"/>
      <w:textAlignment w:val="baseline"/>
    </w:pPr>
    <w:rPr>
      <w:rFonts w:ascii="Arial" w:eastAsia="MS Mincho" w:hAnsi="Arial"/>
      <w:lang w:val="en-US"/>
    </w:rPr>
  </w:style>
  <w:style w:type="character" w:customStyle="1" w:styleId="NormalplusChar">
    <w:name w:val="Normal plus Char"/>
    <w:basedOn w:val="DefaultParagraphFont"/>
    <w:link w:val="Normalplus"/>
    <w:rsid w:val="007F1E9B"/>
    <w:rPr>
      <w:rFonts w:ascii="Arial" w:eastAsia="MS Mincho" w:hAnsi="Arial"/>
      <w:lang w:val="en-US" w:eastAsia="en-US" w:bidi="ar-SA"/>
    </w:rPr>
  </w:style>
  <w:style w:type="paragraph" w:customStyle="1" w:styleId="PlainTableTitle">
    <w:name w:val="Plain Table Title"/>
    <w:basedOn w:val="PlainTableHead"/>
    <w:rsid w:val="007F1E9B"/>
    <w:pPr>
      <w:jc w:val="center"/>
    </w:pPr>
    <w:rPr>
      <w:sz w:val="22"/>
    </w:rPr>
  </w:style>
  <w:style w:type="paragraph" w:customStyle="1" w:styleId="space">
    <w:name w:val="space"/>
    <w:basedOn w:val="Normal"/>
    <w:link w:val="spaceChar"/>
    <w:rsid w:val="007F1E9B"/>
    <w:pPr>
      <w:keepNext/>
      <w:overflowPunct w:val="0"/>
      <w:autoSpaceDE w:val="0"/>
      <w:autoSpaceDN w:val="0"/>
      <w:adjustRightInd w:val="0"/>
      <w:textAlignment w:val="baseline"/>
    </w:pPr>
    <w:rPr>
      <w:rFonts w:ascii="Arial" w:eastAsia="MS Mincho" w:hAnsi="Arial"/>
      <w:sz w:val="12"/>
      <w:lang w:val="en-US"/>
    </w:rPr>
  </w:style>
  <w:style w:type="paragraph" w:customStyle="1" w:styleId="SubtitleL2">
    <w:name w:val="Subtitle L2"/>
    <w:basedOn w:val="Normalplus"/>
    <w:next w:val="Normalplus"/>
    <w:link w:val="SubtitleL2Char"/>
    <w:rsid w:val="007F1E9B"/>
    <w:pPr>
      <w:spacing w:after="0"/>
    </w:pPr>
    <w:rPr>
      <w:b/>
      <w:color w:val="263C6B"/>
    </w:rPr>
  </w:style>
  <w:style w:type="character" w:customStyle="1" w:styleId="SubtitleL2Char">
    <w:name w:val="Subtitle L2 Char"/>
    <w:basedOn w:val="NormalplusChar"/>
    <w:link w:val="SubtitleL2"/>
    <w:rsid w:val="007F1E9B"/>
    <w:rPr>
      <w:rFonts w:ascii="Arial" w:eastAsia="MS Mincho" w:hAnsi="Arial"/>
      <w:b/>
      <w:color w:val="263C6B"/>
      <w:lang w:val="en-US" w:eastAsia="en-US" w:bidi="ar-SA"/>
    </w:rPr>
  </w:style>
  <w:style w:type="character" w:customStyle="1" w:styleId="spaceChar">
    <w:name w:val="space Char"/>
    <w:basedOn w:val="DefaultParagraphFont"/>
    <w:link w:val="space"/>
    <w:rsid w:val="007F1E9B"/>
    <w:rPr>
      <w:rFonts w:ascii="Arial" w:eastAsia="MS Mincho" w:hAnsi="Arial"/>
      <w:sz w:val="12"/>
      <w:lang w:val="en-US" w:eastAsia="en-US" w:bidi="ar-SA"/>
    </w:rPr>
  </w:style>
  <w:style w:type="paragraph" w:customStyle="1" w:styleId="TableHead2">
    <w:name w:val="Table Head 2"/>
    <w:basedOn w:val="Normal"/>
    <w:rsid w:val="007F1E9B"/>
    <w:rPr>
      <w:rFonts w:ascii="Arial" w:eastAsia="MS Mincho" w:hAnsi="Arial"/>
      <w:sz w:val="18"/>
      <w:lang w:val="en-US"/>
    </w:rPr>
  </w:style>
  <w:style w:type="paragraph" w:customStyle="1" w:styleId="TableHead3">
    <w:name w:val="Table Head 3"/>
    <w:basedOn w:val="Normal"/>
    <w:rsid w:val="007F1E9B"/>
    <w:pPr>
      <w:spacing w:before="60" w:after="60"/>
    </w:pPr>
    <w:rPr>
      <w:rFonts w:ascii="Arial" w:eastAsia="MS Mincho" w:hAnsi="Arial"/>
      <w:b/>
      <w:color w:val="0000FF"/>
      <w:lang w:val="en-US"/>
    </w:rPr>
  </w:style>
  <w:style w:type="paragraph" w:customStyle="1" w:styleId="Tablesubhead">
    <w:name w:val="Table subhead"/>
    <w:basedOn w:val="Normal"/>
    <w:rsid w:val="007F1E9B"/>
    <w:pPr>
      <w:spacing w:before="60" w:after="60"/>
      <w:jc w:val="both"/>
    </w:pPr>
    <w:rPr>
      <w:rFonts w:ascii="Arial" w:eastAsia="MS Mincho" w:hAnsi="Arial"/>
      <w:b/>
      <w:color w:val="000080"/>
      <w:lang w:val="en-US"/>
    </w:rPr>
  </w:style>
  <w:style w:type="paragraph" w:customStyle="1" w:styleId="TableText5">
    <w:name w:val="Table Text5"/>
    <w:basedOn w:val="Normal"/>
    <w:rsid w:val="007F1E9B"/>
    <w:pPr>
      <w:tabs>
        <w:tab w:val="decimal" w:pos="787"/>
      </w:tabs>
      <w:spacing w:before="60" w:after="60"/>
      <w:jc w:val="both"/>
    </w:pPr>
    <w:rPr>
      <w:rFonts w:ascii="Arial" w:eastAsia="MS Mincho" w:hAnsi="Arial"/>
      <w:lang w:val="en-US"/>
    </w:rPr>
  </w:style>
  <w:style w:type="character" w:customStyle="1" w:styleId="AonBodyCopyChar">
    <w:name w:val="Aon Body Copy Char"/>
    <w:basedOn w:val="DefaultParagraphFont"/>
    <w:link w:val="AonBodyCopy"/>
    <w:rsid w:val="007F1E9B"/>
    <w:rPr>
      <w:rFonts w:ascii="Arial" w:eastAsia="MS Mincho" w:hAnsi="Arial"/>
      <w:sz w:val="23"/>
      <w:lang w:val="en-GB" w:eastAsia="en-US" w:bidi="ar-SA"/>
    </w:rPr>
  </w:style>
  <w:style w:type="character" w:customStyle="1" w:styleId="2ColumnBodyChar">
    <w:name w:val="2 Column Body Char"/>
    <w:basedOn w:val="DefaultParagraphFont"/>
    <w:link w:val="2ColumnBody"/>
    <w:rsid w:val="007F1E9B"/>
    <w:rPr>
      <w:rFonts w:ascii="Arial" w:eastAsia="MS Mincho" w:hAnsi="Arial"/>
      <w:sz w:val="23"/>
      <w:lang w:val="en-GB" w:eastAsia="en-US" w:bidi="ar-SA"/>
    </w:rPr>
  </w:style>
  <w:style w:type="character" w:customStyle="1" w:styleId="BulletplusChar">
    <w:name w:val="Bullet plus Char"/>
    <w:basedOn w:val="DefaultParagraphFont"/>
    <w:link w:val="Bulletplus"/>
    <w:rsid w:val="007F1E9B"/>
    <w:rPr>
      <w:rFonts w:ascii="Arial" w:eastAsia="MS Mincho" w:hAnsi="Arial"/>
      <w:sz w:val="23"/>
      <w:szCs w:val="23"/>
      <w:lang w:eastAsia="en-US"/>
    </w:rPr>
  </w:style>
  <w:style w:type="character" w:styleId="Hyperlink">
    <w:name w:val="Hyperlink"/>
    <w:basedOn w:val="DefaultParagraphFont"/>
    <w:rsid w:val="00806CC4"/>
    <w:rPr>
      <w:color w:val="0000FF"/>
      <w:u w:val="single"/>
    </w:rPr>
  </w:style>
  <w:style w:type="paragraph" w:styleId="NormalWeb">
    <w:name w:val="Normal (Web)"/>
    <w:basedOn w:val="Normal"/>
    <w:unhideWhenUsed/>
    <w:rsid w:val="00045FEB"/>
    <w:pPr>
      <w:spacing w:before="96" w:after="216" w:line="312" w:lineRule="atLeast"/>
    </w:pPr>
    <w:rPr>
      <w:sz w:val="24"/>
      <w:szCs w:val="24"/>
      <w:lang w:eastAsia="en-GB"/>
    </w:rPr>
  </w:style>
  <w:style w:type="character" w:customStyle="1" w:styleId="bold1">
    <w:name w:val="bold1"/>
    <w:basedOn w:val="DefaultParagraphFont"/>
    <w:rsid w:val="00045FEB"/>
    <w:rPr>
      <w:b/>
      <w:bCs/>
    </w:rPr>
  </w:style>
  <w:style w:type="paragraph" w:customStyle="1" w:styleId="Default">
    <w:name w:val="Default"/>
    <w:rsid w:val="002B1E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69E5"/>
    <w:pPr>
      <w:ind w:left="720"/>
      <w:contextualSpacing/>
    </w:pPr>
  </w:style>
  <w:style w:type="character" w:customStyle="1" w:styleId="FooterChar">
    <w:name w:val="Footer Char"/>
    <w:basedOn w:val="DefaultParagraphFont"/>
    <w:link w:val="Footer"/>
    <w:uiPriority w:val="99"/>
    <w:rsid w:val="001F4E03"/>
    <w:rPr>
      <w:lang w:eastAsia="en-US"/>
    </w:rPr>
  </w:style>
  <w:style w:type="paragraph" w:styleId="BodyTextIndent3">
    <w:name w:val="Body Text Indent 3"/>
    <w:basedOn w:val="Normal"/>
    <w:link w:val="BodyTextIndent3Char"/>
    <w:rsid w:val="00A72C55"/>
    <w:pPr>
      <w:ind w:left="720" w:hanging="720"/>
      <w:jc w:val="both"/>
    </w:pPr>
    <w:rPr>
      <w:rFonts w:ascii="Arial" w:hAnsi="Arial"/>
      <w:sz w:val="24"/>
      <w:lang w:eastAsia="en-GB"/>
    </w:rPr>
  </w:style>
  <w:style w:type="character" w:customStyle="1" w:styleId="BodyTextIndent3Char">
    <w:name w:val="Body Text Indent 3 Char"/>
    <w:basedOn w:val="DefaultParagraphFont"/>
    <w:link w:val="BodyTextIndent3"/>
    <w:rsid w:val="00A72C55"/>
    <w:rPr>
      <w:rFonts w:ascii="Arial" w:hAnsi="Arial"/>
      <w:sz w:val="24"/>
    </w:rPr>
  </w:style>
  <w:style w:type="character" w:customStyle="1" w:styleId="Heading6Char">
    <w:name w:val="Heading 6 Char"/>
    <w:basedOn w:val="DefaultParagraphFont"/>
    <w:link w:val="Heading6"/>
    <w:semiHidden/>
    <w:rsid w:val="003A5EF3"/>
    <w:rPr>
      <w:rFonts w:asciiTheme="majorHAnsi" w:eastAsiaTheme="majorEastAsia" w:hAnsiTheme="majorHAnsi" w:cstheme="majorBidi"/>
      <w:i/>
      <w:iCs/>
      <w:color w:val="243F60" w:themeColor="accent1" w:themeShade="7F"/>
      <w:lang w:eastAsia="en-US"/>
    </w:rPr>
  </w:style>
  <w:style w:type="paragraph" w:styleId="BodyText">
    <w:name w:val="Body Text"/>
    <w:basedOn w:val="Normal"/>
    <w:link w:val="BodyTextChar"/>
    <w:rsid w:val="003A5EF3"/>
    <w:pPr>
      <w:spacing w:after="120"/>
    </w:pPr>
  </w:style>
  <w:style w:type="character" w:customStyle="1" w:styleId="BodyTextChar">
    <w:name w:val="Body Text Char"/>
    <w:basedOn w:val="DefaultParagraphFont"/>
    <w:link w:val="BodyText"/>
    <w:rsid w:val="003A5EF3"/>
    <w:rPr>
      <w:lang w:eastAsia="en-US"/>
    </w:rPr>
  </w:style>
  <w:style w:type="paragraph" w:styleId="BodyTextIndent">
    <w:name w:val="Body Text Indent"/>
    <w:basedOn w:val="Normal"/>
    <w:link w:val="BodyTextIndentChar"/>
    <w:rsid w:val="003A5EF3"/>
    <w:pPr>
      <w:spacing w:after="120"/>
      <w:ind w:left="283"/>
    </w:pPr>
  </w:style>
  <w:style w:type="character" w:customStyle="1" w:styleId="BodyTextIndentChar">
    <w:name w:val="Body Text Indent Char"/>
    <w:basedOn w:val="DefaultParagraphFont"/>
    <w:link w:val="BodyTextIndent"/>
    <w:rsid w:val="003A5EF3"/>
    <w:rPr>
      <w:lang w:eastAsia="en-US"/>
    </w:rPr>
  </w:style>
  <w:style w:type="paragraph" w:styleId="BodyTextIndent2">
    <w:name w:val="Body Text Indent 2"/>
    <w:basedOn w:val="Normal"/>
    <w:link w:val="BodyTextIndent2Char"/>
    <w:rsid w:val="003A5EF3"/>
    <w:pPr>
      <w:spacing w:after="120" w:line="480" w:lineRule="auto"/>
      <w:ind w:left="283"/>
    </w:pPr>
    <w:rPr>
      <w:lang w:eastAsia="en-GB"/>
    </w:rPr>
  </w:style>
  <w:style w:type="character" w:customStyle="1" w:styleId="BodyTextIndent2Char">
    <w:name w:val="Body Text Indent 2 Char"/>
    <w:basedOn w:val="DefaultParagraphFont"/>
    <w:link w:val="BodyTextIndent2"/>
    <w:rsid w:val="003A5EF3"/>
  </w:style>
  <w:style w:type="character" w:customStyle="1" w:styleId="Heading5Char">
    <w:name w:val="Heading 5 Char"/>
    <w:basedOn w:val="DefaultParagraphFont"/>
    <w:link w:val="Heading5"/>
    <w:semiHidden/>
    <w:rsid w:val="0028516A"/>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FC1D4A"/>
    <w:rPr>
      <w:rFonts w:asciiTheme="majorHAnsi" w:eastAsiaTheme="majorEastAsia" w:hAnsiTheme="majorHAnsi" w:cstheme="majorBidi"/>
      <w:i/>
      <w:iCs/>
      <w:color w:val="404040" w:themeColor="text1" w:themeTint="BF"/>
      <w:lang w:eastAsia="en-US"/>
    </w:rPr>
  </w:style>
  <w:style w:type="character" w:customStyle="1" w:styleId="HeaderChar">
    <w:name w:val="Header Char"/>
    <w:basedOn w:val="DefaultParagraphFont"/>
    <w:link w:val="Header"/>
    <w:rsid w:val="00FC1D4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C1"/>
    <w:rPr>
      <w:lang w:eastAsia="en-US"/>
    </w:rPr>
  </w:style>
  <w:style w:type="paragraph" w:styleId="Heading1">
    <w:name w:val="heading 1"/>
    <w:basedOn w:val="Normal"/>
    <w:next w:val="Normal"/>
    <w:qFormat/>
    <w:rsid w:val="004258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58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58CC"/>
    <w:pPr>
      <w:keepNext/>
      <w:spacing w:before="240" w:after="60"/>
      <w:outlineLvl w:val="2"/>
    </w:pPr>
    <w:rPr>
      <w:rFonts w:ascii="Arial" w:hAnsi="Arial" w:cs="Arial"/>
      <w:b/>
      <w:bCs/>
      <w:sz w:val="26"/>
      <w:szCs w:val="26"/>
    </w:rPr>
  </w:style>
  <w:style w:type="paragraph" w:styleId="Heading4">
    <w:name w:val="heading 4"/>
    <w:basedOn w:val="Normal"/>
    <w:next w:val="Normal"/>
    <w:qFormat/>
    <w:rsid w:val="00925ED9"/>
    <w:pPr>
      <w:keepNext/>
      <w:widowControl w:val="0"/>
      <w:tabs>
        <w:tab w:val="left" w:pos="1080"/>
        <w:tab w:val="right" w:pos="6207"/>
        <w:tab w:val="right" w:pos="8007"/>
      </w:tabs>
      <w:outlineLvl w:val="3"/>
    </w:pPr>
    <w:rPr>
      <w:b/>
      <w:snapToGrid w:val="0"/>
      <w:color w:val="000000"/>
    </w:rPr>
  </w:style>
  <w:style w:type="paragraph" w:styleId="Heading5">
    <w:name w:val="heading 5"/>
    <w:basedOn w:val="Normal"/>
    <w:next w:val="Normal"/>
    <w:link w:val="Heading5Char"/>
    <w:semiHidden/>
    <w:unhideWhenUsed/>
    <w:qFormat/>
    <w:rsid w:val="0028516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A5E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C1D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5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014A"/>
    <w:rPr>
      <w:rFonts w:ascii="Tahoma" w:hAnsi="Tahoma" w:cs="Tahoma"/>
      <w:sz w:val="16"/>
      <w:szCs w:val="16"/>
    </w:rPr>
  </w:style>
  <w:style w:type="paragraph" w:styleId="Footer">
    <w:name w:val="footer"/>
    <w:basedOn w:val="Normal"/>
    <w:link w:val="FooterChar"/>
    <w:uiPriority w:val="99"/>
    <w:rsid w:val="002F66F1"/>
    <w:pPr>
      <w:tabs>
        <w:tab w:val="center" w:pos="4153"/>
        <w:tab w:val="right" w:pos="8306"/>
      </w:tabs>
    </w:pPr>
  </w:style>
  <w:style w:type="character" w:styleId="PageNumber">
    <w:name w:val="page number"/>
    <w:basedOn w:val="DefaultParagraphFont"/>
    <w:rsid w:val="002F66F1"/>
  </w:style>
  <w:style w:type="paragraph" w:styleId="Header">
    <w:name w:val="header"/>
    <w:basedOn w:val="Normal"/>
    <w:link w:val="HeaderChar"/>
    <w:rsid w:val="0019670A"/>
    <w:pPr>
      <w:tabs>
        <w:tab w:val="center" w:pos="4153"/>
        <w:tab w:val="right" w:pos="8306"/>
      </w:tabs>
    </w:pPr>
  </w:style>
  <w:style w:type="paragraph" w:customStyle="1" w:styleId="PlainTableHead">
    <w:name w:val="Plain Table Head"/>
    <w:basedOn w:val="Normal"/>
    <w:rsid w:val="007F1E9B"/>
    <w:pPr>
      <w:keepNext/>
      <w:overflowPunct w:val="0"/>
      <w:autoSpaceDE w:val="0"/>
      <w:autoSpaceDN w:val="0"/>
      <w:adjustRightInd w:val="0"/>
      <w:spacing w:before="60" w:after="60"/>
      <w:textAlignment w:val="baseline"/>
    </w:pPr>
    <w:rPr>
      <w:rFonts w:ascii="Arial" w:hAnsi="Arial"/>
      <w:b/>
      <w:color w:val="263C6B"/>
      <w:lang w:val="en-US"/>
    </w:rPr>
  </w:style>
  <w:style w:type="paragraph" w:customStyle="1" w:styleId="PlainTableText">
    <w:name w:val="Plain Table Text"/>
    <w:basedOn w:val="Normal"/>
    <w:rsid w:val="007F1E9B"/>
    <w:pPr>
      <w:overflowPunct w:val="0"/>
      <w:autoSpaceDE w:val="0"/>
      <w:autoSpaceDN w:val="0"/>
      <w:adjustRightInd w:val="0"/>
      <w:textAlignment w:val="baseline"/>
    </w:pPr>
    <w:rPr>
      <w:rFonts w:ascii="Arial" w:hAnsi="Arial"/>
      <w:lang w:val="en-US"/>
    </w:rPr>
  </w:style>
  <w:style w:type="paragraph" w:customStyle="1" w:styleId="RuledTableText">
    <w:name w:val="Ruled Table Text"/>
    <w:basedOn w:val="Normal"/>
    <w:rsid w:val="007F1E9B"/>
    <w:pPr>
      <w:overflowPunct w:val="0"/>
      <w:autoSpaceDE w:val="0"/>
      <w:autoSpaceDN w:val="0"/>
      <w:adjustRightInd w:val="0"/>
      <w:textAlignment w:val="baseline"/>
    </w:pPr>
    <w:rPr>
      <w:rFonts w:ascii="Arial" w:hAnsi="Arial"/>
      <w:lang w:val="en-US"/>
    </w:rPr>
  </w:style>
  <w:style w:type="paragraph" w:customStyle="1" w:styleId="Table3Data">
    <w:name w:val="Table3/Data"/>
    <w:basedOn w:val="Normal"/>
    <w:rsid w:val="007F1E9B"/>
    <w:rPr>
      <w:rFonts w:ascii="Arial" w:hAnsi="Arial"/>
      <w:lang w:val="en-US"/>
    </w:rPr>
  </w:style>
  <w:style w:type="paragraph" w:customStyle="1" w:styleId="AonBodyCopy">
    <w:name w:val="Aon Body Copy"/>
    <w:basedOn w:val="Normal"/>
    <w:link w:val="AonBodyCopyChar"/>
    <w:rsid w:val="007F1E9B"/>
    <w:pPr>
      <w:spacing w:after="120"/>
    </w:pPr>
    <w:rPr>
      <w:rFonts w:ascii="Arial" w:eastAsia="MS Mincho" w:hAnsi="Arial"/>
      <w:sz w:val="23"/>
    </w:rPr>
  </w:style>
  <w:style w:type="numbering" w:customStyle="1" w:styleId="AonList">
    <w:name w:val="Aon List"/>
    <w:rsid w:val="007F1E9B"/>
    <w:pPr>
      <w:numPr>
        <w:numId w:val="1"/>
      </w:numPr>
    </w:pPr>
  </w:style>
  <w:style w:type="paragraph" w:customStyle="1" w:styleId="AonBullet1">
    <w:name w:val="Aon Bullet 1"/>
    <w:basedOn w:val="Normal"/>
    <w:rsid w:val="007F1E9B"/>
    <w:pPr>
      <w:numPr>
        <w:numId w:val="1"/>
      </w:numPr>
      <w:spacing w:after="120"/>
    </w:pPr>
    <w:rPr>
      <w:rFonts w:ascii="Arial" w:hAnsi="Arial"/>
      <w:sz w:val="23"/>
    </w:rPr>
  </w:style>
  <w:style w:type="paragraph" w:customStyle="1" w:styleId="AonBullet2">
    <w:name w:val="Aon Bullet 2"/>
    <w:basedOn w:val="Normal"/>
    <w:rsid w:val="007F1E9B"/>
    <w:pPr>
      <w:numPr>
        <w:ilvl w:val="1"/>
        <w:numId w:val="1"/>
      </w:numPr>
      <w:spacing w:after="120"/>
    </w:pPr>
    <w:rPr>
      <w:rFonts w:ascii="Arial" w:hAnsi="Arial"/>
      <w:sz w:val="23"/>
    </w:rPr>
  </w:style>
  <w:style w:type="paragraph" w:customStyle="1" w:styleId="AonBullet3">
    <w:name w:val="Aon Bullet 3"/>
    <w:basedOn w:val="Normal"/>
    <w:rsid w:val="007F1E9B"/>
    <w:pPr>
      <w:numPr>
        <w:ilvl w:val="2"/>
        <w:numId w:val="1"/>
      </w:numPr>
      <w:spacing w:after="120"/>
    </w:pPr>
    <w:rPr>
      <w:rFonts w:ascii="Arial" w:hAnsi="Arial"/>
      <w:sz w:val="23"/>
    </w:rPr>
  </w:style>
  <w:style w:type="paragraph" w:customStyle="1" w:styleId="AonBullet4">
    <w:name w:val="Aon Bullet 4"/>
    <w:basedOn w:val="Normal"/>
    <w:rsid w:val="007F1E9B"/>
    <w:pPr>
      <w:numPr>
        <w:ilvl w:val="3"/>
        <w:numId w:val="1"/>
      </w:numPr>
      <w:spacing w:after="120"/>
    </w:pPr>
    <w:rPr>
      <w:rFonts w:ascii="Arial" w:hAnsi="Arial"/>
      <w:sz w:val="23"/>
      <w:lang w:val="de-DE"/>
    </w:rPr>
  </w:style>
  <w:style w:type="paragraph" w:customStyle="1" w:styleId="AonBullet5">
    <w:name w:val="Aon Bullet 5"/>
    <w:basedOn w:val="Normal"/>
    <w:rsid w:val="007F1E9B"/>
    <w:pPr>
      <w:numPr>
        <w:ilvl w:val="4"/>
        <w:numId w:val="1"/>
      </w:numPr>
      <w:spacing w:after="120"/>
    </w:pPr>
    <w:rPr>
      <w:rFonts w:ascii="Arial" w:hAnsi="Arial"/>
      <w:sz w:val="23"/>
    </w:rPr>
  </w:style>
  <w:style w:type="character" w:customStyle="1" w:styleId="AonBlue">
    <w:name w:val="Aon  Blue"/>
    <w:rsid w:val="007F1E9B"/>
    <w:rPr>
      <w:color w:val="0083A9"/>
    </w:rPr>
  </w:style>
  <w:style w:type="paragraph" w:customStyle="1" w:styleId="2ColumnTableTitle">
    <w:name w:val="2 Column Table Title"/>
    <w:basedOn w:val="Normal"/>
    <w:rsid w:val="007F1E9B"/>
    <w:pPr>
      <w:autoSpaceDE w:val="0"/>
      <w:autoSpaceDN w:val="0"/>
      <w:adjustRightInd w:val="0"/>
      <w:spacing w:after="120"/>
      <w:textAlignment w:val="center"/>
    </w:pPr>
    <w:rPr>
      <w:rFonts w:ascii="Arial" w:hAnsi="Arial"/>
      <w:b/>
      <w:bCs/>
      <w:color w:val="000000"/>
      <w:lang w:val="en-US"/>
    </w:rPr>
  </w:style>
  <w:style w:type="paragraph" w:customStyle="1" w:styleId="2ColumnBody">
    <w:name w:val="2 Column Body"/>
    <w:basedOn w:val="AonBodyCopy"/>
    <w:link w:val="2ColumnBodyChar"/>
    <w:rsid w:val="007F1E9B"/>
  </w:style>
  <w:style w:type="paragraph" w:customStyle="1" w:styleId="2ColumnVerticalSpace">
    <w:name w:val="2 Column Vertical Space"/>
    <w:basedOn w:val="AonBodyCopy"/>
    <w:next w:val="AonBodyCopy"/>
    <w:rsid w:val="007F1E9B"/>
    <w:pPr>
      <w:pBdr>
        <w:top w:val="single" w:sz="4" w:space="1" w:color="auto"/>
      </w:pBdr>
      <w:spacing w:before="120" w:after="0"/>
      <w:ind w:left="2520"/>
      <w:jc w:val="right"/>
    </w:pPr>
    <w:rPr>
      <w:sz w:val="16"/>
      <w:szCs w:val="16"/>
    </w:rPr>
  </w:style>
  <w:style w:type="paragraph" w:customStyle="1" w:styleId="2ColumnHeading1">
    <w:name w:val="2 Column Heading 1"/>
    <w:basedOn w:val="2ColumnBody"/>
    <w:next w:val="2ColumnBody"/>
    <w:rsid w:val="007F1E9B"/>
    <w:pPr>
      <w:spacing w:after="0"/>
    </w:pPr>
    <w:rPr>
      <w:b/>
    </w:rPr>
  </w:style>
  <w:style w:type="paragraph" w:customStyle="1" w:styleId="Bulletplus">
    <w:name w:val="Bullet plus"/>
    <w:basedOn w:val="Normal"/>
    <w:link w:val="BulletplusChar"/>
    <w:rsid w:val="007F1E9B"/>
    <w:pPr>
      <w:numPr>
        <w:numId w:val="3"/>
      </w:numPr>
      <w:spacing w:after="120"/>
    </w:pPr>
    <w:rPr>
      <w:rFonts w:ascii="Arial" w:eastAsia="MS Mincho" w:hAnsi="Arial"/>
      <w:sz w:val="23"/>
      <w:szCs w:val="23"/>
    </w:rPr>
  </w:style>
  <w:style w:type="paragraph" w:customStyle="1" w:styleId="AonIndentBullet1">
    <w:name w:val="Aon Indent Bullet 1"/>
    <w:basedOn w:val="AonBullet1"/>
    <w:rsid w:val="007F1E9B"/>
    <w:pPr>
      <w:numPr>
        <w:numId w:val="0"/>
      </w:numPr>
      <w:ind w:left="357"/>
    </w:pPr>
  </w:style>
  <w:style w:type="paragraph" w:customStyle="1" w:styleId="EmDashplus">
    <w:name w:val="EmDash plus"/>
    <w:basedOn w:val="Normal"/>
    <w:rsid w:val="007F1E9B"/>
    <w:pPr>
      <w:numPr>
        <w:ilvl w:val="1"/>
        <w:numId w:val="3"/>
      </w:numPr>
      <w:spacing w:after="120"/>
    </w:pPr>
    <w:rPr>
      <w:rFonts w:ascii="Arial" w:hAnsi="Arial"/>
    </w:rPr>
  </w:style>
  <w:style w:type="paragraph" w:customStyle="1" w:styleId="2ColumnHeading2">
    <w:name w:val="2 Column Heading 2"/>
    <w:basedOn w:val="2ColumnBody"/>
    <w:next w:val="2ColumnBody"/>
    <w:rsid w:val="007F1E9B"/>
    <w:pPr>
      <w:spacing w:after="0"/>
    </w:pPr>
    <w:rPr>
      <w:b/>
      <w:i/>
    </w:rPr>
  </w:style>
  <w:style w:type="paragraph" w:customStyle="1" w:styleId="SubSectionLine">
    <w:name w:val="SubSectionLine"/>
    <w:basedOn w:val="Normal"/>
    <w:next w:val="Normal"/>
    <w:rsid w:val="007F1E9B"/>
    <w:pPr>
      <w:pBdr>
        <w:top w:val="single" w:sz="2" w:space="1" w:color="000000"/>
        <w:between w:val="single" w:sz="2" w:space="1" w:color="000000"/>
      </w:pBdr>
      <w:overflowPunct w:val="0"/>
      <w:autoSpaceDE w:val="0"/>
      <w:autoSpaceDN w:val="0"/>
      <w:adjustRightInd w:val="0"/>
      <w:spacing w:before="120"/>
      <w:ind w:left="2347" w:right="28"/>
      <w:jc w:val="right"/>
      <w:textAlignment w:val="baseline"/>
    </w:pPr>
    <w:rPr>
      <w:rFonts w:ascii="Arial" w:hAnsi="Arial"/>
      <w:sz w:val="16"/>
    </w:rPr>
  </w:style>
  <w:style w:type="paragraph" w:customStyle="1" w:styleId="note">
    <w:name w:val="note"/>
    <w:basedOn w:val="Normal"/>
    <w:rsid w:val="007F1E9B"/>
    <w:pPr>
      <w:widowControl w:val="0"/>
      <w:overflowPunct w:val="0"/>
      <w:autoSpaceDE w:val="0"/>
      <w:autoSpaceDN w:val="0"/>
      <w:adjustRightInd w:val="0"/>
      <w:spacing w:after="120"/>
      <w:ind w:left="680" w:hanging="680"/>
      <w:textAlignment w:val="baseline"/>
    </w:pPr>
    <w:rPr>
      <w:rFonts w:ascii="Arial" w:hAnsi="Arial"/>
      <w:i/>
    </w:rPr>
  </w:style>
  <w:style w:type="paragraph" w:customStyle="1" w:styleId="Normalplus">
    <w:name w:val="Normal plus"/>
    <w:basedOn w:val="Normal"/>
    <w:link w:val="NormalplusChar"/>
    <w:rsid w:val="007F1E9B"/>
    <w:pPr>
      <w:overflowPunct w:val="0"/>
      <w:autoSpaceDE w:val="0"/>
      <w:autoSpaceDN w:val="0"/>
      <w:adjustRightInd w:val="0"/>
      <w:spacing w:after="120"/>
      <w:textAlignment w:val="baseline"/>
    </w:pPr>
    <w:rPr>
      <w:rFonts w:ascii="Arial" w:eastAsia="MS Mincho" w:hAnsi="Arial"/>
      <w:lang w:val="en-US"/>
    </w:rPr>
  </w:style>
  <w:style w:type="character" w:customStyle="1" w:styleId="NormalplusChar">
    <w:name w:val="Normal plus Char"/>
    <w:basedOn w:val="DefaultParagraphFont"/>
    <w:link w:val="Normalplus"/>
    <w:rsid w:val="007F1E9B"/>
    <w:rPr>
      <w:rFonts w:ascii="Arial" w:eastAsia="MS Mincho" w:hAnsi="Arial"/>
      <w:lang w:val="en-US" w:eastAsia="en-US" w:bidi="ar-SA"/>
    </w:rPr>
  </w:style>
  <w:style w:type="paragraph" w:customStyle="1" w:styleId="PlainTableTitle">
    <w:name w:val="Plain Table Title"/>
    <w:basedOn w:val="PlainTableHead"/>
    <w:rsid w:val="007F1E9B"/>
    <w:pPr>
      <w:jc w:val="center"/>
    </w:pPr>
    <w:rPr>
      <w:sz w:val="22"/>
    </w:rPr>
  </w:style>
  <w:style w:type="paragraph" w:customStyle="1" w:styleId="space">
    <w:name w:val="space"/>
    <w:basedOn w:val="Normal"/>
    <w:link w:val="spaceChar"/>
    <w:rsid w:val="007F1E9B"/>
    <w:pPr>
      <w:keepNext/>
      <w:overflowPunct w:val="0"/>
      <w:autoSpaceDE w:val="0"/>
      <w:autoSpaceDN w:val="0"/>
      <w:adjustRightInd w:val="0"/>
      <w:textAlignment w:val="baseline"/>
    </w:pPr>
    <w:rPr>
      <w:rFonts w:ascii="Arial" w:eastAsia="MS Mincho" w:hAnsi="Arial"/>
      <w:sz w:val="12"/>
      <w:lang w:val="en-US"/>
    </w:rPr>
  </w:style>
  <w:style w:type="paragraph" w:customStyle="1" w:styleId="SubtitleL2">
    <w:name w:val="Subtitle L2"/>
    <w:basedOn w:val="Normalplus"/>
    <w:next w:val="Normalplus"/>
    <w:link w:val="SubtitleL2Char"/>
    <w:rsid w:val="007F1E9B"/>
    <w:pPr>
      <w:spacing w:after="0"/>
    </w:pPr>
    <w:rPr>
      <w:b/>
      <w:color w:val="263C6B"/>
    </w:rPr>
  </w:style>
  <w:style w:type="character" w:customStyle="1" w:styleId="SubtitleL2Char">
    <w:name w:val="Subtitle L2 Char"/>
    <w:basedOn w:val="NormalplusChar"/>
    <w:link w:val="SubtitleL2"/>
    <w:rsid w:val="007F1E9B"/>
    <w:rPr>
      <w:rFonts w:ascii="Arial" w:eastAsia="MS Mincho" w:hAnsi="Arial"/>
      <w:b/>
      <w:color w:val="263C6B"/>
      <w:lang w:val="en-US" w:eastAsia="en-US" w:bidi="ar-SA"/>
    </w:rPr>
  </w:style>
  <w:style w:type="character" w:customStyle="1" w:styleId="spaceChar">
    <w:name w:val="space Char"/>
    <w:basedOn w:val="DefaultParagraphFont"/>
    <w:link w:val="space"/>
    <w:rsid w:val="007F1E9B"/>
    <w:rPr>
      <w:rFonts w:ascii="Arial" w:eastAsia="MS Mincho" w:hAnsi="Arial"/>
      <w:sz w:val="12"/>
      <w:lang w:val="en-US" w:eastAsia="en-US" w:bidi="ar-SA"/>
    </w:rPr>
  </w:style>
  <w:style w:type="paragraph" w:customStyle="1" w:styleId="TableHead2">
    <w:name w:val="Table Head 2"/>
    <w:basedOn w:val="Normal"/>
    <w:rsid w:val="007F1E9B"/>
    <w:rPr>
      <w:rFonts w:ascii="Arial" w:eastAsia="MS Mincho" w:hAnsi="Arial"/>
      <w:sz w:val="18"/>
      <w:lang w:val="en-US"/>
    </w:rPr>
  </w:style>
  <w:style w:type="paragraph" w:customStyle="1" w:styleId="TableHead3">
    <w:name w:val="Table Head 3"/>
    <w:basedOn w:val="Normal"/>
    <w:rsid w:val="007F1E9B"/>
    <w:pPr>
      <w:spacing w:before="60" w:after="60"/>
    </w:pPr>
    <w:rPr>
      <w:rFonts w:ascii="Arial" w:eastAsia="MS Mincho" w:hAnsi="Arial"/>
      <w:b/>
      <w:color w:val="0000FF"/>
      <w:lang w:val="en-US"/>
    </w:rPr>
  </w:style>
  <w:style w:type="paragraph" w:customStyle="1" w:styleId="Tablesubhead">
    <w:name w:val="Table subhead"/>
    <w:basedOn w:val="Normal"/>
    <w:rsid w:val="007F1E9B"/>
    <w:pPr>
      <w:spacing w:before="60" w:after="60"/>
      <w:jc w:val="both"/>
    </w:pPr>
    <w:rPr>
      <w:rFonts w:ascii="Arial" w:eastAsia="MS Mincho" w:hAnsi="Arial"/>
      <w:b/>
      <w:color w:val="000080"/>
      <w:lang w:val="en-US"/>
    </w:rPr>
  </w:style>
  <w:style w:type="paragraph" w:customStyle="1" w:styleId="TableText5">
    <w:name w:val="Table Text5"/>
    <w:basedOn w:val="Normal"/>
    <w:rsid w:val="007F1E9B"/>
    <w:pPr>
      <w:tabs>
        <w:tab w:val="decimal" w:pos="787"/>
      </w:tabs>
      <w:spacing w:before="60" w:after="60"/>
      <w:jc w:val="both"/>
    </w:pPr>
    <w:rPr>
      <w:rFonts w:ascii="Arial" w:eastAsia="MS Mincho" w:hAnsi="Arial"/>
      <w:lang w:val="en-US"/>
    </w:rPr>
  </w:style>
  <w:style w:type="character" w:customStyle="1" w:styleId="AonBodyCopyChar">
    <w:name w:val="Aon Body Copy Char"/>
    <w:basedOn w:val="DefaultParagraphFont"/>
    <w:link w:val="AonBodyCopy"/>
    <w:rsid w:val="007F1E9B"/>
    <w:rPr>
      <w:rFonts w:ascii="Arial" w:eastAsia="MS Mincho" w:hAnsi="Arial"/>
      <w:sz w:val="23"/>
      <w:lang w:val="en-GB" w:eastAsia="en-US" w:bidi="ar-SA"/>
    </w:rPr>
  </w:style>
  <w:style w:type="character" w:customStyle="1" w:styleId="2ColumnBodyChar">
    <w:name w:val="2 Column Body Char"/>
    <w:basedOn w:val="DefaultParagraphFont"/>
    <w:link w:val="2ColumnBody"/>
    <w:rsid w:val="007F1E9B"/>
    <w:rPr>
      <w:rFonts w:ascii="Arial" w:eastAsia="MS Mincho" w:hAnsi="Arial"/>
      <w:sz w:val="23"/>
      <w:lang w:val="en-GB" w:eastAsia="en-US" w:bidi="ar-SA"/>
    </w:rPr>
  </w:style>
  <w:style w:type="character" w:customStyle="1" w:styleId="BulletplusChar">
    <w:name w:val="Bullet plus Char"/>
    <w:basedOn w:val="DefaultParagraphFont"/>
    <w:link w:val="Bulletplus"/>
    <w:rsid w:val="007F1E9B"/>
    <w:rPr>
      <w:rFonts w:ascii="Arial" w:eastAsia="MS Mincho" w:hAnsi="Arial"/>
      <w:sz w:val="23"/>
      <w:szCs w:val="23"/>
      <w:lang w:eastAsia="en-US"/>
    </w:rPr>
  </w:style>
  <w:style w:type="character" w:styleId="Hyperlink">
    <w:name w:val="Hyperlink"/>
    <w:basedOn w:val="DefaultParagraphFont"/>
    <w:rsid w:val="00806CC4"/>
    <w:rPr>
      <w:color w:val="0000FF"/>
      <w:u w:val="single"/>
    </w:rPr>
  </w:style>
  <w:style w:type="paragraph" w:styleId="NormalWeb">
    <w:name w:val="Normal (Web)"/>
    <w:basedOn w:val="Normal"/>
    <w:unhideWhenUsed/>
    <w:rsid w:val="00045FEB"/>
    <w:pPr>
      <w:spacing w:before="96" w:after="216" w:line="312" w:lineRule="atLeast"/>
    </w:pPr>
    <w:rPr>
      <w:sz w:val="24"/>
      <w:szCs w:val="24"/>
      <w:lang w:eastAsia="en-GB"/>
    </w:rPr>
  </w:style>
  <w:style w:type="character" w:customStyle="1" w:styleId="bold1">
    <w:name w:val="bold1"/>
    <w:basedOn w:val="DefaultParagraphFont"/>
    <w:rsid w:val="00045FEB"/>
    <w:rPr>
      <w:b/>
      <w:bCs/>
    </w:rPr>
  </w:style>
  <w:style w:type="paragraph" w:customStyle="1" w:styleId="Default">
    <w:name w:val="Default"/>
    <w:rsid w:val="002B1E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69E5"/>
    <w:pPr>
      <w:ind w:left="720"/>
      <w:contextualSpacing/>
    </w:pPr>
  </w:style>
  <w:style w:type="character" w:customStyle="1" w:styleId="FooterChar">
    <w:name w:val="Footer Char"/>
    <w:basedOn w:val="DefaultParagraphFont"/>
    <w:link w:val="Footer"/>
    <w:uiPriority w:val="99"/>
    <w:rsid w:val="001F4E03"/>
    <w:rPr>
      <w:lang w:eastAsia="en-US"/>
    </w:rPr>
  </w:style>
  <w:style w:type="paragraph" w:styleId="BodyTextIndent3">
    <w:name w:val="Body Text Indent 3"/>
    <w:basedOn w:val="Normal"/>
    <w:link w:val="BodyTextIndent3Char"/>
    <w:rsid w:val="00A72C55"/>
    <w:pPr>
      <w:ind w:left="720" w:hanging="720"/>
      <w:jc w:val="both"/>
    </w:pPr>
    <w:rPr>
      <w:rFonts w:ascii="Arial" w:hAnsi="Arial"/>
      <w:sz w:val="24"/>
      <w:lang w:eastAsia="en-GB"/>
    </w:rPr>
  </w:style>
  <w:style w:type="character" w:customStyle="1" w:styleId="BodyTextIndent3Char">
    <w:name w:val="Body Text Indent 3 Char"/>
    <w:basedOn w:val="DefaultParagraphFont"/>
    <w:link w:val="BodyTextIndent3"/>
    <w:rsid w:val="00A72C55"/>
    <w:rPr>
      <w:rFonts w:ascii="Arial" w:hAnsi="Arial"/>
      <w:sz w:val="24"/>
    </w:rPr>
  </w:style>
  <w:style w:type="character" w:customStyle="1" w:styleId="Heading6Char">
    <w:name w:val="Heading 6 Char"/>
    <w:basedOn w:val="DefaultParagraphFont"/>
    <w:link w:val="Heading6"/>
    <w:semiHidden/>
    <w:rsid w:val="003A5EF3"/>
    <w:rPr>
      <w:rFonts w:asciiTheme="majorHAnsi" w:eastAsiaTheme="majorEastAsia" w:hAnsiTheme="majorHAnsi" w:cstheme="majorBidi"/>
      <w:i/>
      <w:iCs/>
      <w:color w:val="243F60" w:themeColor="accent1" w:themeShade="7F"/>
      <w:lang w:eastAsia="en-US"/>
    </w:rPr>
  </w:style>
  <w:style w:type="paragraph" w:styleId="BodyText">
    <w:name w:val="Body Text"/>
    <w:basedOn w:val="Normal"/>
    <w:link w:val="BodyTextChar"/>
    <w:rsid w:val="003A5EF3"/>
    <w:pPr>
      <w:spacing w:after="120"/>
    </w:pPr>
  </w:style>
  <w:style w:type="character" w:customStyle="1" w:styleId="BodyTextChar">
    <w:name w:val="Body Text Char"/>
    <w:basedOn w:val="DefaultParagraphFont"/>
    <w:link w:val="BodyText"/>
    <w:rsid w:val="003A5EF3"/>
    <w:rPr>
      <w:lang w:eastAsia="en-US"/>
    </w:rPr>
  </w:style>
  <w:style w:type="paragraph" w:styleId="BodyTextIndent">
    <w:name w:val="Body Text Indent"/>
    <w:basedOn w:val="Normal"/>
    <w:link w:val="BodyTextIndentChar"/>
    <w:rsid w:val="003A5EF3"/>
    <w:pPr>
      <w:spacing w:after="120"/>
      <w:ind w:left="283"/>
    </w:pPr>
  </w:style>
  <w:style w:type="character" w:customStyle="1" w:styleId="BodyTextIndentChar">
    <w:name w:val="Body Text Indent Char"/>
    <w:basedOn w:val="DefaultParagraphFont"/>
    <w:link w:val="BodyTextIndent"/>
    <w:rsid w:val="003A5EF3"/>
    <w:rPr>
      <w:lang w:eastAsia="en-US"/>
    </w:rPr>
  </w:style>
  <w:style w:type="paragraph" w:styleId="BodyTextIndent2">
    <w:name w:val="Body Text Indent 2"/>
    <w:basedOn w:val="Normal"/>
    <w:link w:val="BodyTextIndent2Char"/>
    <w:rsid w:val="003A5EF3"/>
    <w:pPr>
      <w:spacing w:after="120" w:line="480" w:lineRule="auto"/>
      <w:ind w:left="283"/>
    </w:pPr>
    <w:rPr>
      <w:lang w:eastAsia="en-GB"/>
    </w:rPr>
  </w:style>
  <w:style w:type="character" w:customStyle="1" w:styleId="BodyTextIndent2Char">
    <w:name w:val="Body Text Indent 2 Char"/>
    <w:basedOn w:val="DefaultParagraphFont"/>
    <w:link w:val="BodyTextIndent2"/>
    <w:rsid w:val="003A5EF3"/>
  </w:style>
  <w:style w:type="character" w:customStyle="1" w:styleId="Heading5Char">
    <w:name w:val="Heading 5 Char"/>
    <w:basedOn w:val="DefaultParagraphFont"/>
    <w:link w:val="Heading5"/>
    <w:semiHidden/>
    <w:rsid w:val="0028516A"/>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FC1D4A"/>
    <w:rPr>
      <w:rFonts w:asciiTheme="majorHAnsi" w:eastAsiaTheme="majorEastAsia" w:hAnsiTheme="majorHAnsi" w:cstheme="majorBidi"/>
      <w:i/>
      <w:iCs/>
      <w:color w:val="404040" w:themeColor="text1" w:themeTint="BF"/>
      <w:lang w:eastAsia="en-US"/>
    </w:rPr>
  </w:style>
  <w:style w:type="character" w:customStyle="1" w:styleId="HeaderChar">
    <w:name w:val="Header Char"/>
    <w:basedOn w:val="DefaultParagraphFont"/>
    <w:link w:val="Header"/>
    <w:rsid w:val="00FC1D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7007">
      <w:bodyDiv w:val="1"/>
      <w:marLeft w:val="0"/>
      <w:marRight w:val="0"/>
      <w:marTop w:val="0"/>
      <w:marBottom w:val="0"/>
      <w:divBdr>
        <w:top w:val="none" w:sz="0" w:space="0" w:color="auto"/>
        <w:left w:val="none" w:sz="0" w:space="0" w:color="auto"/>
        <w:bottom w:val="none" w:sz="0" w:space="0" w:color="auto"/>
        <w:right w:val="none" w:sz="0" w:space="0" w:color="auto"/>
      </w:divBdr>
      <w:divsChild>
        <w:div w:id="600912403">
          <w:marLeft w:val="0"/>
          <w:marRight w:val="0"/>
          <w:marTop w:val="0"/>
          <w:marBottom w:val="0"/>
          <w:divBdr>
            <w:top w:val="none" w:sz="0" w:space="0" w:color="auto"/>
            <w:left w:val="none" w:sz="0" w:space="0" w:color="auto"/>
            <w:bottom w:val="none" w:sz="0" w:space="0" w:color="auto"/>
            <w:right w:val="none" w:sz="0" w:space="0" w:color="auto"/>
          </w:divBdr>
          <w:divsChild>
            <w:div w:id="734938791">
              <w:marLeft w:val="0"/>
              <w:marRight w:val="0"/>
              <w:marTop w:val="0"/>
              <w:marBottom w:val="0"/>
              <w:divBdr>
                <w:top w:val="none" w:sz="0" w:space="0" w:color="auto"/>
                <w:left w:val="none" w:sz="0" w:space="0" w:color="auto"/>
                <w:bottom w:val="none" w:sz="0" w:space="0" w:color="auto"/>
                <w:right w:val="none" w:sz="0" w:space="0" w:color="auto"/>
              </w:divBdr>
              <w:divsChild>
                <w:div w:id="1522008475">
                  <w:marLeft w:val="0"/>
                  <w:marRight w:val="0"/>
                  <w:marTop w:val="0"/>
                  <w:marBottom w:val="0"/>
                  <w:divBdr>
                    <w:top w:val="none" w:sz="0" w:space="0" w:color="auto"/>
                    <w:left w:val="none" w:sz="0" w:space="0" w:color="auto"/>
                    <w:bottom w:val="none" w:sz="0" w:space="0" w:color="auto"/>
                    <w:right w:val="none" w:sz="0" w:space="0" w:color="auto"/>
                  </w:divBdr>
                  <w:divsChild>
                    <w:div w:id="2139295894">
                      <w:marLeft w:val="0"/>
                      <w:marRight w:val="0"/>
                      <w:marTop w:val="0"/>
                      <w:marBottom w:val="0"/>
                      <w:divBdr>
                        <w:top w:val="none" w:sz="0" w:space="0" w:color="auto"/>
                        <w:left w:val="none" w:sz="0" w:space="0" w:color="auto"/>
                        <w:bottom w:val="none" w:sz="0" w:space="0" w:color="auto"/>
                        <w:right w:val="none" w:sz="0" w:space="0" w:color="auto"/>
                      </w:divBdr>
                      <w:divsChild>
                        <w:div w:id="926117705">
                          <w:marLeft w:val="0"/>
                          <w:marRight w:val="0"/>
                          <w:marTop w:val="0"/>
                          <w:marBottom w:val="0"/>
                          <w:divBdr>
                            <w:top w:val="none" w:sz="0" w:space="0" w:color="auto"/>
                            <w:left w:val="none" w:sz="0" w:space="0" w:color="auto"/>
                            <w:bottom w:val="none" w:sz="0" w:space="0" w:color="auto"/>
                            <w:right w:val="none" w:sz="0" w:space="0" w:color="auto"/>
                          </w:divBdr>
                          <w:divsChild>
                            <w:div w:id="1016929130">
                              <w:marLeft w:val="0"/>
                              <w:marRight w:val="0"/>
                              <w:marTop w:val="0"/>
                              <w:marBottom w:val="0"/>
                              <w:divBdr>
                                <w:top w:val="none" w:sz="0" w:space="0" w:color="auto"/>
                                <w:left w:val="none" w:sz="0" w:space="0" w:color="auto"/>
                                <w:bottom w:val="none" w:sz="0" w:space="0" w:color="auto"/>
                                <w:right w:val="none" w:sz="0" w:space="0" w:color="auto"/>
                              </w:divBdr>
                              <w:divsChild>
                                <w:div w:id="1433279698">
                                  <w:marLeft w:val="0"/>
                                  <w:marRight w:val="0"/>
                                  <w:marTop w:val="0"/>
                                  <w:marBottom w:val="0"/>
                                  <w:divBdr>
                                    <w:top w:val="none" w:sz="0" w:space="0" w:color="auto"/>
                                    <w:left w:val="none" w:sz="0" w:space="0" w:color="auto"/>
                                    <w:bottom w:val="none" w:sz="0" w:space="0" w:color="auto"/>
                                    <w:right w:val="none" w:sz="0" w:space="0" w:color="auto"/>
                                  </w:divBdr>
                                  <w:divsChild>
                                    <w:div w:id="1084716406">
                                      <w:marLeft w:val="0"/>
                                      <w:marRight w:val="0"/>
                                      <w:marTop w:val="0"/>
                                      <w:marBottom w:val="0"/>
                                      <w:divBdr>
                                        <w:top w:val="none" w:sz="0" w:space="0" w:color="auto"/>
                                        <w:left w:val="none" w:sz="0" w:space="0" w:color="auto"/>
                                        <w:bottom w:val="none" w:sz="0" w:space="0" w:color="auto"/>
                                        <w:right w:val="none" w:sz="0" w:space="0" w:color="auto"/>
                                      </w:divBdr>
                                      <w:divsChild>
                                        <w:div w:id="1094085995">
                                          <w:marLeft w:val="3"/>
                                          <w:marRight w:val="3"/>
                                          <w:marTop w:val="0"/>
                                          <w:marBottom w:val="480"/>
                                          <w:divBdr>
                                            <w:top w:val="none" w:sz="0" w:space="0" w:color="auto"/>
                                            <w:left w:val="none" w:sz="0" w:space="0" w:color="auto"/>
                                            <w:bottom w:val="none" w:sz="0" w:space="0" w:color="auto"/>
                                            <w:right w:val="none" w:sz="0" w:space="0" w:color="auto"/>
                                          </w:divBdr>
                                          <w:divsChild>
                                            <w:div w:id="1092823338">
                                              <w:marLeft w:val="2"/>
                                              <w:marRight w:val="2"/>
                                              <w:marTop w:val="96"/>
                                              <w:marBottom w:val="2"/>
                                              <w:divBdr>
                                                <w:top w:val="none" w:sz="0" w:space="0" w:color="auto"/>
                                                <w:left w:val="single" w:sz="24" w:space="31" w:color="336699"/>
                                                <w:bottom w:val="none" w:sz="0" w:space="0" w:color="auto"/>
                                                <w:right w:val="single" w:sz="24" w:space="31" w:color="336699"/>
                                              </w:divBdr>
                                              <w:divsChild>
                                                <w:div w:id="449670750">
                                                  <w:marLeft w:val="0"/>
                                                  <w:marRight w:val="0"/>
                                                  <w:marTop w:val="0"/>
                                                  <w:marBottom w:val="168"/>
                                                  <w:divBdr>
                                                    <w:top w:val="single" w:sz="18" w:space="0" w:color="336699"/>
                                                    <w:left w:val="single" w:sz="18" w:space="0" w:color="336699"/>
                                                    <w:bottom w:val="single" w:sz="18" w:space="0" w:color="336699"/>
                                                    <w:right w:val="single" w:sz="18" w:space="0" w:color="336699"/>
                                                  </w:divBdr>
                                                  <w:divsChild>
                                                    <w:div w:id="728304191">
                                                      <w:marLeft w:val="10"/>
                                                      <w:marRight w:val="10"/>
                                                      <w:marTop w:val="0"/>
                                                      <w:marBottom w:val="192"/>
                                                      <w:divBdr>
                                                        <w:top w:val="none" w:sz="0" w:space="0" w:color="auto"/>
                                                        <w:left w:val="none" w:sz="0" w:space="0" w:color="auto"/>
                                                        <w:bottom w:val="none" w:sz="0" w:space="0" w:color="auto"/>
                                                        <w:right w:val="none" w:sz="0" w:space="0" w:color="auto"/>
                                                      </w:divBdr>
                                                      <w:divsChild>
                                                        <w:div w:id="9148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ent.gov.uk" TargetMode="External"/><Relationship Id="rId4" Type="http://schemas.openxmlformats.org/officeDocument/2006/relationships/settings" Target="settings.xml"/><Relationship Id="rId9" Type="http://schemas.openxmlformats.org/officeDocument/2006/relationships/hyperlink" Target="http://www.bren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D8FDF6FC.dotm</Template>
  <TotalTime>3253</TotalTime>
  <Pages>92</Pages>
  <Words>22077</Words>
  <Characters>125844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Pension Fund Accounts</vt:lpstr>
    </vt:vector>
  </TitlesOfParts>
  <Company>Hampshire County Council</Company>
  <LinksUpToDate>false</LinksUpToDate>
  <CharactersWithSpaces>147626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Fund Accounts</dc:title>
  <dc:creator>Dodridge, Anthony</dc:creator>
  <cp:lastModifiedBy>Dodridge, Anthony</cp:lastModifiedBy>
  <cp:revision>279</cp:revision>
  <cp:lastPrinted>2013-09-11T14:04:00Z</cp:lastPrinted>
  <dcterms:created xsi:type="dcterms:W3CDTF">2013-06-25T14:41:00Z</dcterms:created>
  <dcterms:modified xsi:type="dcterms:W3CDTF">2013-10-03T11:32:00Z</dcterms:modified>
</cp:coreProperties>
</file>