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A116F" w14:textId="13918984" w:rsidR="005604A7" w:rsidRPr="005604A7" w:rsidRDefault="7652CFC5" w:rsidP="7652CFC5">
      <w:pPr>
        <w:rPr>
          <w:b/>
          <w:bCs/>
        </w:rPr>
      </w:pPr>
      <w:r w:rsidRPr="7652CFC5">
        <w:rPr>
          <w:b/>
          <w:bCs/>
        </w:rPr>
        <w:t xml:space="preserve">Land &amp; Property Liaison Group (VAT) meeting – </w:t>
      </w:r>
      <w:r w:rsidR="00DE427C">
        <w:rPr>
          <w:b/>
          <w:bCs/>
        </w:rPr>
        <w:t>2</w:t>
      </w:r>
      <w:r w:rsidR="0082017D">
        <w:rPr>
          <w:b/>
          <w:bCs/>
        </w:rPr>
        <w:t>1</w:t>
      </w:r>
      <w:r w:rsidR="0082017D" w:rsidRPr="0082017D">
        <w:rPr>
          <w:b/>
          <w:bCs/>
          <w:vertAlign w:val="superscript"/>
        </w:rPr>
        <w:t>st</w:t>
      </w:r>
      <w:r w:rsidR="0082017D">
        <w:rPr>
          <w:b/>
          <w:bCs/>
        </w:rPr>
        <w:t xml:space="preserve"> </w:t>
      </w:r>
      <w:bookmarkStart w:id="0" w:name="_GoBack"/>
      <w:bookmarkEnd w:id="0"/>
      <w:r w:rsidR="00DE427C">
        <w:rPr>
          <w:b/>
          <w:bCs/>
        </w:rPr>
        <w:t>January 2020</w:t>
      </w:r>
      <w:r w:rsidRPr="7652CFC5">
        <w:rPr>
          <w:b/>
          <w:bCs/>
        </w:rPr>
        <w:t xml:space="preserve">, held at 10 South Colonnade, E14 4PU. </w:t>
      </w:r>
    </w:p>
    <w:p w14:paraId="384BB288" w14:textId="382227EA" w:rsidR="005604A7" w:rsidRDefault="005604A7">
      <w:pPr>
        <w:rPr>
          <w:b/>
        </w:rPr>
      </w:pPr>
      <w:r w:rsidRPr="002C7599">
        <w:rPr>
          <w:b/>
        </w:rPr>
        <w:t>This document is purely intended to reflect the discussions that took place at this meeting. Any comments made by HMRC (</w:t>
      </w:r>
      <w:proofErr w:type="gramStart"/>
      <w:r w:rsidRPr="002C7599">
        <w:rPr>
          <w:b/>
        </w:rPr>
        <w:t>in particular if</w:t>
      </w:r>
      <w:proofErr w:type="gramEnd"/>
      <w:r w:rsidRPr="002C7599">
        <w:rPr>
          <w:b/>
        </w:rPr>
        <w:t xml:space="preserve"> they relate to a potential/likely change of HMRC policy) do not constitute HMRC policy or practice unless and until they are supported by published material (for example HMRC Notices, Revenue &amp; Custom Briefs (RCBs) or Manuals) </w:t>
      </w:r>
    </w:p>
    <w:p w14:paraId="11620DAF" w14:textId="77777777" w:rsidR="0082017D" w:rsidRPr="002C7599" w:rsidRDefault="0082017D">
      <w:pPr>
        <w:rPr>
          <w:b/>
        </w:rPr>
      </w:pPr>
    </w:p>
    <w:p w14:paraId="4B0CD1C3" w14:textId="77777777" w:rsidR="007507EC" w:rsidRDefault="005604A7">
      <w:pPr>
        <w:rPr>
          <w:b/>
        </w:rPr>
      </w:pPr>
      <w:r w:rsidRPr="007507EC">
        <w:rPr>
          <w:b/>
        </w:rPr>
        <w:t>Introductions/Housekeeping</w:t>
      </w:r>
    </w:p>
    <w:p w14:paraId="0132D160" w14:textId="2ACE5DED" w:rsidR="00015974" w:rsidRDefault="00015974">
      <w:r>
        <w:t xml:space="preserve">It was agreed that future LPLG meeting minutes would include a list of attendees and the organisations they represented, as happens with the minutes of the Joint VAT Consultative </w:t>
      </w:r>
      <w:r w:rsidR="00F35521">
        <w:t>C</w:t>
      </w:r>
      <w:r>
        <w:t>ommittee.</w:t>
      </w:r>
      <w:r w:rsidR="00F35521">
        <w:t xml:space="preserve"> </w:t>
      </w:r>
      <w:r w:rsidR="00F35521" w:rsidRPr="00DE427C">
        <w:t>A list</w:t>
      </w:r>
      <w:r w:rsidR="00F35521">
        <w:t xml:space="preserve"> of attendees is set out in Appendix A.</w:t>
      </w:r>
    </w:p>
    <w:p w14:paraId="49F62271" w14:textId="77777777" w:rsidR="00F35521" w:rsidRPr="00DE427C" w:rsidRDefault="00F35521"/>
    <w:p w14:paraId="0DB182C5" w14:textId="77777777" w:rsidR="007507EC" w:rsidRDefault="007507EC" w:rsidP="007507EC">
      <w:pPr>
        <w:rPr>
          <w:b/>
        </w:rPr>
      </w:pPr>
      <w:r>
        <w:rPr>
          <w:b/>
        </w:rPr>
        <w:t>Matters arising from previous meeting (</w:t>
      </w:r>
      <w:r w:rsidR="00E61951">
        <w:rPr>
          <w:b/>
        </w:rPr>
        <w:t>17</w:t>
      </w:r>
      <w:r w:rsidR="00E61951" w:rsidRPr="00E61951">
        <w:rPr>
          <w:b/>
          <w:vertAlign w:val="superscript"/>
        </w:rPr>
        <w:t>th</w:t>
      </w:r>
      <w:r w:rsidR="00E61951">
        <w:rPr>
          <w:b/>
        </w:rPr>
        <w:t xml:space="preserve"> May 2019</w:t>
      </w:r>
      <w:r>
        <w:rPr>
          <w:b/>
        </w:rPr>
        <w:t>)</w:t>
      </w:r>
    </w:p>
    <w:p w14:paraId="6DF2791C" w14:textId="08675EBA" w:rsidR="00986F7A" w:rsidRPr="00BD6C24" w:rsidRDefault="002C7599" w:rsidP="007A5B33">
      <w:pPr>
        <w:pStyle w:val="ListParagraph"/>
        <w:numPr>
          <w:ilvl w:val="0"/>
          <w:numId w:val="1"/>
        </w:numPr>
        <w:spacing w:after="120"/>
        <w:ind w:left="771" w:hanging="357"/>
        <w:contextualSpacing w:val="0"/>
        <w:rPr>
          <w:b/>
        </w:rPr>
      </w:pPr>
      <w:r w:rsidRPr="00986F7A">
        <w:rPr>
          <w:i/>
        </w:rPr>
        <w:t>Authorised signatories – OTT notification:</w:t>
      </w:r>
      <w:r>
        <w:t xml:space="preserve"> </w:t>
      </w:r>
      <w:r w:rsidR="00986F7A">
        <w:t xml:space="preserve">Following the previous meeting, </w:t>
      </w:r>
      <w:r>
        <w:t xml:space="preserve">HMRC had </w:t>
      </w:r>
      <w:r w:rsidR="00986F7A">
        <w:t xml:space="preserve">set out its position regarding the application of the relevant associate rules in the context of OTT notifications. Further clarification had been sought on this in advance of this meeting, in particular whether </w:t>
      </w:r>
      <w:r w:rsidR="00BD6C24">
        <w:t xml:space="preserve">HMRC would accept as valid an option exercised by one member of a VAT group, such as </w:t>
      </w:r>
      <w:r w:rsidR="00986F7A">
        <w:t>the representative member</w:t>
      </w:r>
      <w:r w:rsidR="00BD6C24">
        <w:t>, and notified by an authorised signatory of that member,</w:t>
      </w:r>
      <w:r w:rsidR="00986F7A">
        <w:t xml:space="preserve"> in respect of property owned by any other member of the VAT group. </w:t>
      </w:r>
    </w:p>
    <w:p w14:paraId="0A1D1432" w14:textId="3E7992F9" w:rsidR="00986F7A" w:rsidRPr="00986F7A" w:rsidRDefault="00986F7A" w:rsidP="007A5B33">
      <w:pPr>
        <w:pStyle w:val="ListParagraph"/>
        <w:numPr>
          <w:ilvl w:val="0"/>
          <w:numId w:val="1"/>
        </w:numPr>
        <w:spacing w:after="120"/>
        <w:ind w:left="771" w:hanging="357"/>
        <w:contextualSpacing w:val="0"/>
        <w:rPr>
          <w:b/>
        </w:rPr>
      </w:pPr>
      <w:r w:rsidRPr="00986F7A">
        <w:t>It w</w:t>
      </w:r>
      <w:r>
        <w:t>as noted that if this were the case, there would be an operational benefit to HMRC</w:t>
      </w:r>
      <w:r w:rsidR="00A6158B">
        <w:t>’s</w:t>
      </w:r>
      <w:r>
        <w:t xml:space="preserve"> OTT unit, which currently expends considerable resource in maintaining records of the relationships between OTTs made by different members of a VAT group.</w:t>
      </w:r>
      <w:r w:rsidR="00FB05DB">
        <w:t xml:space="preserve"> </w:t>
      </w:r>
    </w:p>
    <w:p w14:paraId="189C80BB" w14:textId="3C035DE0" w:rsidR="007170F7" w:rsidRDefault="009C322F" w:rsidP="0082017D">
      <w:pPr>
        <w:pStyle w:val="ListParagraph"/>
        <w:spacing w:after="120"/>
        <w:ind w:left="0"/>
        <w:rPr>
          <w:b/>
        </w:rPr>
      </w:pPr>
      <w:r>
        <w:rPr>
          <w:b/>
        </w:rPr>
        <w:t>ACTION</w:t>
      </w:r>
      <w:r w:rsidR="00143B64">
        <w:rPr>
          <w:b/>
        </w:rPr>
        <w:t xml:space="preserve"> POINT 1 - </w:t>
      </w:r>
      <w:r>
        <w:rPr>
          <w:b/>
        </w:rPr>
        <w:t xml:space="preserve">HMRC to </w:t>
      </w:r>
      <w:r w:rsidR="00986F7A">
        <w:rPr>
          <w:b/>
        </w:rPr>
        <w:t>respond in writing to the further clarification sought on this matter</w:t>
      </w:r>
      <w:r w:rsidR="00943AE7">
        <w:rPr>
          <w:b/>
        </w:rPr>
        <w:t xml:space="preserve"> by end of February 2020</w:t>
      </w:r>
      <w:r w:rsidR="00986F7A">
        <w:rPr>
          <w:b/>
        </w:rPr>
        <w:t>.</w:t>
      </w:r>
    </w:p>
    <w:p w14:paraId="68351FFB" w14:textId="77777777" w:rsidR="004A383F" w:rsidRDefault="004A383F" w:rsidP="0082017D">
      <w:pPr>
        <w:pStyle w:val="ListParagraph"/>
        <w:spacing w:after="120"/>
        <w:ind w:left="0"/>
        <w:rPr>
          <w:b/>
        </w:rPr>
      </w:pPr>
    </w:p>
    <w:p w14:paraId="2CDF4C4A" w14:textId="3A1F1D08" w:rsidR="00FB05DB" w:rsidRPr="004A383F" w:rsidRDefault="00943AE7" w:rsidP="0082017D">
      <w:pPr>
        <w:pStyle w:val="ListParagraph"/>
        <w:spacing w:after="120"/>
        <w:ind w:left="0"/>
        <w:contextualSpacing w:val="0"/>
        <w:rPr>
          <w:bCs/>
          <w:i/>
          <w:iCs/>
        </w:rPr>
      </w:pPr>
      <w:r>
        <w:rPr>
          <w:b/>
        </w:rPr>
        <w:t xml:space="preserve">ACTION POINT 2 - </w:t>
      </w:r>
      <w:r w:rsidR="00FB05DB">
        <w:rPr>
          <w:b/>
        </w:rPr>
        <w:t>HMRC to consider amending the words ‘</w:t>
      </w:r>
      <w:r w:rsidR="00FB05DB" w:rsidRPr="00FB05DB">
        <w:rPr>
          <w:b/>
        </w:rPr>
        <w:t>Director or company secretary of the group member that owns the property</w:t>
      </w:r>
      <w:r w:rsidR="00FB05DB">
        <w:rPr>
          <w:b/>
        </w:rPr>
        <w:t>’ in the l</w:t>
      </w:r>
      <w:r w:rsidR="00FB05DB" w:rsidRPr="00FB05DB">
        <w:rPr>
          <w:b/>
        </w:rPr>
        <w:t xml:space="preserve">ist of authorised signatories </w:t>
      </w:r>
      <w:r w:rsidR="00FB05DB">
        <w:rPr>
          <w:b/>
        </w:rPr>
        <w:t>in Notice 742A para 7.6 to ‘</w:t>
      </w:r>
      <w:r w:rsidR="00FB05DB" w:rsidRPr="00FB05DB">
        <w:rPr>
          <w:b/>
        </w:rPr>
        <w:t xml:space="preserve">Director or company secretary of the group member that </w:t>
      </w:r>
      <w:r w:rsidR="00FB05DB">
        <w:rPr>
          <w:b/>
        </w:rPr>
        <w:t>is exercising the option’</w:t>
      </w:r>
    </w:p>
    <w:p w14:paraId="4703531C" w14:textId="383D489B" w:rsidR="00BD4925" w:rsidRPr="00E9354E" w:rsidRDefault="00BD4925" w:rsidP="009C322F">
      <w:pPr>
        <w:pStyle w:val="ListParagraph"/>
        <w:numPr>
          <w:ilvl w:val="0"/>
          <w:numId w:val="1"/>
        </w:numPr>
        <w:spacing w:after="120"/>
        <w:contextualSpacing w:val="0"/>
        <w:rPr>
          <w:i/>
        </w:rPr>
      </w:pPr>
      <w:r w:rsidRPr="00BD4925">
        <w:rPr>
          <w:i/>
        </w:rPr>
        <w:t xml:space="preserve">VAT </w:t>
      </w:r>
      <w:r>
        <w:rPr>
          <w:i/>
        </w:rPr>
        <w:t>on remedial works to cladding</w:t>
      </w:r>
      <w:r>
        <w:t xml:space="preserve">: Referring to discussion at the last LPLG meeting, HMRC </w:t>
      </w:r>
      <w:r w:rsidR="00986F7A">
        <w:t>confirmed that ‘person constructing’ status is transferred in the context of statutory transfers of assets between local authorities. HMRC referred to RCB 27/14.</w:t>
      </w:r>
    </w:p>
    <w:p w14:paraId="65983675" w14:textId="77777777" w:rsidR="0036791D" w:rsidRDefault="00BD4925" w:rsidP="0036791D">
      <w:pPr>
        <w:spacing w:after="120"/>
        <w:rPr>
          <w:b/>
        </w:rPr>
      </w:pPr>
      <w:r>
        <w:rPr>
          <w:b/>
        </w:rPr>
        <w:t>ACTION</w:t>
      </w:r>
      <w:r w:rsidR="00143B64">
        <w:rPr>
          <w:b/>
        </w:rPr>
        <w:t xml:space="preserve"> POINT 2</w:t>
      </w:r>
      <w:r>
        <w:rPr>
          <w:b/>
        </w:rPr>
        <w:t xml:space="preserve">: HMRC to </w:t>
      </w:r>
      <w:r w:rsidR="00A415B8">
        <w:rPr>
          <w:b/>
        </w:rPr>
        <w:t>circulate to LPLG email response provided to CIPFA representative on this point</w:t>
      </w:r>
      <w:r w:rsidR="00143B64">
        <w:rPr>
          <w:b/>
        </w:rPr>
        <w:t>.</w:t>
      </w:r>
    </w:p>
    <w:p w14:paraId="24A3D786" w14:textId="3C900181" w:rsidR="00943AE7" w:rsidRDefault="00A415B8" w:rsidP="004A383F">
      <w:pPr>
        <w:pStyle w:val="ListParagraph"/>
        <w:numPr>
          <w:ilvl w:val="0"/>
          <w:numId w:val="1"/>
        </w:numPr>
        <w:spacing w:after="120"/>
        <w:contextualSpacing w:val="0"/>
        <w:rPr>
          <w:i/>
          <w:iCs/>
        </w:rPr>
      </w:pPr>
      <w:r>
        <w:rPr>
          <w:i/>
        </w:rPr>
        <w:t>Impact of Mydibel on CGS adjustments</w:t>
      </w:r>
      <w:r>
        <w:t xml:space="preserve">: </w:t>
      </w:r>
      <w:r w:rsidR="006838A6">
        <w:t xml:space="preserve">At the previous meeting </w:t>
      </w:r>
      <w:r>
        <w:t xml:space="preserve">HMRC had </w:t>
      </w:r>
      <w:r w:rsidR="006838A6">
        <w:t xml:space="preserve">indicated that it was considering its position </w:t>
      </w:r>
      <w:r w:rsidR="00BF75AF">
        <w:t xml:space="preserve">as regards the impact of the CJEU </w:t>
      </w:r>
      <w:r w:rsidR="00BF75AF">
        <w:rPr>
          <w:i/>
          <w:iCs/>
        </w:rPr>
        <w:t>Mydibel</w:t>
      </w:r>
      <w:r w:rsidR="00BF75AF">
        <w:t xml:space="preserve"> </w:t>
      </w:r>
      <w:r w:rsidR="000C21B1">
        <w:t>decision</w:t>
      </w:r>
      <w:r w:rsidR="005D611B">
        <w:t xml:space="preserve">. By way of update, HMRC </w:t>
      </w:r>
      <w:r w:rsidR="005C5467">
        <w:t>noted that</w:t>
      </w:r>
      <w:r w:rsidR="00943AE7">
        <w:t>:</w:t>
      </w:r>
      <w:r w:rsidR="005C5467">
        <w:t xml:space="preserve"> </w:t>
      </w:r>
    </w:p>
    <w:p w14:paraId="00A3BD5A" w14:textId="77777777" w:rsidR="00943AE7" w:rsidRDefault="00943AE7" w:rsidP="004A383F">
      <w:pPr>
        <w:pStyle w:val="ListParagraph"/>
        <w:spacing w:after="120"/>
        <w:ind w:left="774"/>
        <w:contextualSpacing w:val="0"/>
      </w:pPr>
      <w:r>
        <w:rPr>
          <w:i/>
          <w:iCs/>
        </w:rPr>
        <w:t xml:space="preserve">“In respect of the CJEU decision Mydibel SA, which looked at a sale and leaseback of a building, the sale and leaseback </w:t>
      </w:r>
      <w:r w:rsidRPr="00943AE7">
        <w:rPr>
          <w:i/>
        </w:rPr>
        <w:t>having</w:t>
      </w:r>
      <w:r>
        <w:rPr>
          <w:i/>
          <w:iCs/>
        </w:rPr>
        <w:t xml:space="preserve"> been entered into simply to ‘raise capital’. The court decided that the </w:t>
      </w:r>
      <w:proofErr w:type="gramStart"/>
      <w:r>
        <w:rPr>
          <w:i/>
          <w:iCs/>
        </w:rPr>
        <w:t>particular circumstances</w:t>
      </w:r>
      <w:proofErr w:type="gramEnd"/>
      <w:r>
        <w:rPr>
          <w:i/>
          <w:iCs/>
        </w:rPr>
        <w:t xml:space="preserve"> of the transaction in that case, did not require an adjustment for the purposes of the Capital Goods Scheme. Deductions and Financial services VAT Policy team have considered the decision and the present rules for adjustment in </w:t>
      </w:r>
      <w:r>
        <w:rPr>
          <w:i/>
          <w:iCs/>
        </w:rPr>
        <w:lastRenderedPageBreak/>
        <w:t>respect of the sale of a capital item in accordance with regulation 115 of the VAT regulations 1995, continue to apply”</w:t>
      </w:r>
    </w:p>
    <w:p w14:paraId="6492CA72" w14:textId="51FDA55D" w:rsidR="00663EAA" w:rsidRPr="00663EAA" w:rsidRDefault="00663EAA" w:rsidP="00A415B8">
      <w:pPr>
        <w:pStyle w:val="ListParagraph"/>
        <w:numPr>
          <w:ilvl w:val="0"/>
          <w:numId w:val="1"/>
        </w:numPr>
        <w:spacing w:after="120"/>
        <w:contextualSpacing w:val="0"/>
        <w:rPr>
          <w:b/>
          <w:iCs/>
        </w:rPr>
      </w:pPr>
      <w:r w:rsidRPr="00663EAA">
        <w:rPr>
          <w:iCs/>
        </w:rPr>
        <w:t>In subsequent di</w:t>
      </w:r>
      <w:r>
        <w:rPr>
          <w:iCs/>
        </w:rPr>
        <w:t xml:space="preserve">scussion </w:t>
      </w:r>
      <w:r w:rsidR="00B30CCB">
        <w:rPr>
          <w:iCs/>
        </w:rPr>
        <w:t xml:space="preserve">greater clarity was sought </w:t>
      </w:r>
      <w:r w:rsidR="006E6601">
        <w:rPr>
          <w:iCs/>
        </w:rPr>
        <w:t>on HMRC’s position</w:t>
      </w:r>
      <w:r w:rsidR="005A0416">
        <w:rPr>
          <w:iCs/>
        </w:rPr>
        <w:t xml:space="preserve"> and</w:t>
      </w:r>
      <w:r w:rsidR="00CA1A30">
        <w:rPr>
          <w:iCs/>
        </w:rPr>
        <w:t xml:space="preserve"> whether HMRC</w:t>
      </w:r>
      <w:r w:rsidR="00B72B72">
        <w:rPr>
          <w:iCs/>
        </w:rPr>
        <w:t xml:space="preserve"> were in effect </w:t>
      </w:r>
      <w:r w:rsidR="003D5639">
        <w:rPr>
          <w:iCs/>
        </w:rPr>
        <w:t xml:space="preserve">disregarding the </w:t>
      </w:r>
      <w:r w:rsidR="003D5639">
        <w:rPr>
          <w:i/>
        </w:rPr>
        <w:t>Mydibel</w:t>
      </w:r>
      <w:r w:rsidR="003D5639">
        <w:rPr>
          <w:iCs/>
        </w:rPr>
        <w:t xml:space="preserve"> decision or whether </w:t>
      </w:r>
      <w:r w:rsidR="009C7C3A">
        <w:rPr>
          <w:iCs/>
        </w:rPr>
        <w:t xml:space="preserve">HMRC only considered the decision to apply in cases where the </w:t>
      </w:r>
      <w:r w:rsidR="003261B2">
        <w:rPr>
          <w:iCs/>
        </w:rPr>
        <w:t xml:space="preserve">facts and circumstances very closely accorded with those in </w:t>
      </w:r>
      <w:r w:rsidR="003261B2">
        <w:rPr>
          <w:i/>
        </w:rPr>
        <w:t>Mydibel</w:t>
      </w:r>
      <w:r w:rsidR="003261B2">
        <w:rPr>
          <w:iCs/>
        </w:rPr>
        <w:t>.</w:t>
      </w:r>
    </w:p>
    <w:p w14:paraId="7D9C9F61" w14:textId="77777777" w:rsidR="0082017D" w:rsidRDefault="009B652C" w:rsidP="009B652C">
      <w:pPr>
        <w:rPr>
          <w:b/>
        </w:rPr>
      </w:pPr>
      <w:r>
        <w:rPr>
          <w:b/>
        </w:rPr>
        <w:t>ACTION</w:t>
      </w:r>
      <w:r w:rsidR="00BB4252">
        <w:rPr>
          <w:b/>
        </w:rPr>
        <w:t xml:space="preserve"> POINT 3</w:t>
      </w:r>
      <w:r>
        <w:rPr>
          <w:b/>
        </w:rPr>
        <w:t>: HMRC to circulat</w:t>
      </w:r>
      <w:r w:rsidR="00552C05">
        <w:rPr>
          <w:b/>
        </w:rPr>
        <w:t xml:space="preserve">e </w:t>
      </w:r>
      <w:r w:rsidR="003261B2">
        <w:rPr>
          <w:b/>
        </w:rPr>
        <w:t xml:space="preserve">in writing the update on </w:t>
      </w:r>
      <w:r w:rsidR="003261B2">
        <w:rPr>
          <w:b/>
          <w:i/>
          <w:iCs/>
        </w:rPr>
        <w:t xml:space="preserve">Mydibel </w:t>
      </w:r>
      <w:r w:rsidR="003261B2">
        <w:rPr>
          <w:b/>
        </w:rPr>
        <w:t>provided at th</w:t>
      </w:r>
      <w:r w:rsidR="00545441">
        <w:rPr>
          <w:b/>
        </w:rPr>
        <w:t>is</w:t>
      </w:r>
      <w:r w:rsidR="003261B2">
        <w:rPr>
          <w:b/>
        </w:rPr>
        <w:t xml:space="preserve"> meeting</w:t>
      </w:r>
      <w:r w:rsidR="00943AE7">
        <w:rPr>
          <w:b/>
        </w:rPr>
        <w:t xml:space="preserve"> [since completed – see wording in italics above]</w:t>
      </w:r>
    </w:p>
    <w:p w14:paraId="55EA6557" w14:textId="79B3B110" w:rsidR="00FB05DB" w:rsidRDefault="003261B2" w:rsidP="009B652C">
      <w:pPr>
        <w:rPr>
          <w:b/>
        </w:rPr>
      </w:pPr>
      <w:r>
        <w:rPr>
          <w:b/>
        </w:rPr>
        <w:t>ACTION POINT 4: NHF representative to reformulate request for clarity on HMRC’s position, including illustrative examples.</w:t>
      </w:r>
    </w:p>
    <w:p w14:paraId="012FFBFD" w14:textId="6B2F330B" w:rsidR="00944E90" w:rsidRDefault="00015974" w:rsidP="00015974">
      <w:pPr>
        <w:pStyle w:val="ListParagraph"/>
        <w:numPr>
          <w:ilvl w:val="0"/>
          <w:numId w:val="1"/>
        </w:numPr>
        <w:spacing w:after="120"/>
        <w:contextualSpacing w:val="0"/>
        <w:rPr>
          <w:iCs/>
        </w:rPr>
      </w:pPr>
      <w:r w:rsidRPr="00015974">
        <w:rPr>
          <w:i/>
        </w:rPr>
        <w:t xml:space="preserve">Forfeit deposits </w:t>
      </w:r>
      <w:r>
        <w:rPr>
          <w:i/>
        </w:rPr>
        <w:t>–</w:t>
      </w:r>
      <w:r w:rsidRPr="00015974">
        <w:rPr>
          <w:i/>
        </w:rPr>
        <w:t xml:space="preserve"> </w:t>
      </w:r>
      <w:r>
        <w:rPr>
          <w:iCs/>
        </w:rPr>
        <w:t>HMRC had circulated its written response to a BPF query on this matter and it was agreed as closed.</w:t>
      </w:r>
    </w:p>
    <w:p w14:paraId="0CC61DEB" w14:textId="65C7A8ED" w:rsidR="00015974" w:rsidRPr="00015974" w:rsidRDefault="00015974" w:rsidP="00015974">
      <w:pPr>
        <w:pStyle w:val="ListParagraph"/>
        <w:numPr>
          <w:ilvl w:val="0"/>
          <w:numId w:val="1"/>
        </w:numPr>
        <w:spacing w:after="120"/>
        <w:contextualSpacing w:val="0"/>
        <w:rPr>
          <w:iCs/>
        </w:rPr>
      </w:pPr>
      <w:r>
        <w:rPr>
          <w:i/>
        </w:rPr>
        <w:t>Melbourne</w:t>
      </w:r>
      <w:r>
        <w:rPr>
          <w:iCs/>
        </w:rPr>
        <w:t xml:space="preserve"> – HMRC had circulated this decision, as agreed.</w:t>
      </w:r>
    </w:p>
    <w:p w14:paraId="17115BDE" w14:textId="29189FE3" w:rsidR="00631656" w:rsidRPr="00150429" w:rsidRDefault="00631656" w:rsidP="00015974">
      <w:pPr>
        <w:pStyle w:val="ListParagraph"/>
        <w:spacing w:after="120"/>
        <w:ind w:left="771"/>
        <w:contextualSpacing w:val="0"/>
      </w:pPr>
    </w:p>
    <w:p w14:paraId="0FFE1AC2" w14:textId="5D61FBA8" w:rsidR="005B543A" w:rsidRDefault="00015974" w:rsidP="00FD71B0">
      <w:pPr>
        <w:rPr>
          <w:b/>
          <w:bCs/>
        </w:rPr>
      </w:pPr>
      <w:r>
        <w:rPr>
          <w:b/>
          <w:bCs/>
        </w:rPr>
        <w:t>Template query – construction and DIY claims (timing of submission)</w:t>
      </w:r>
    </w:p>
    <w:p w14:paraId="26376175" w14:textId="5724F0E3" w:rsidR="00015974" w:rsidRDefault="00015974" w:rsidP="00015974">
      <w:pPr>
        <w:pStyle w:val="ListParagraph"/>
        <w:numPr>
          <w:ilvl w:val="0"/>
          <w:numId w:val="1"/>
        </w:numPr>
        <w:spacing w:after="120"/>
        <w:contextualSpacing w:val="0"/>
      </w:pPr>
      <w:r>
        <w:t xml:space="preserve">In response to a query raised by the ICAEW, HMRC confirmed that the production of a </w:t>
      </w:r>
      <w:r w:rsidRPr="00015974">
        <w:rPr>
          <w:iCs/>
        </w:rPr>
        <w:t>completion</w:t>
      </w:r>
      <w:r>
        <w:t xml:space="preserve"> certificate is only one of several pieces of evidence that should be </w:t>
      </w:r>
      <w:proofErr w:type="gramStart"/>
      <w:r>
        <w:t>taken into account</w:t>
      </w:r>
      <w:proofErr w:type="gramEnd"/>
      <w:r>
        <w:t xml:space="preserve"> in determining whether a DIY dwelling had been </w:t>
      </w:r>
      <w:r w:rsidR="000937B2">
        <w:t xml:space="preserve">completed </w:t>
      </w:r>
      <w:r w:rsidR="001A348D">
        <w:t xml:space="preserve">and was ready for </w:t>
      </w:r>
      <w:r w:rsidR="0041370E">
        <w:t>occupation</w:t>
      </w:r>
      <w:r w:rsidR="001A348D">
        <w:t>. HMRC cited case law that supported this position</w:t>
      </w:r>
      <w:r w:rsidR="007A5B33">
        <w:t xml:space="preserve">. They did not agree with the decisions in </w:t>
      </w:r>
      <w:r w:rsidR="007A5B33" w:rsidRPr="004A383F">
        <w:rPr>
          <w:i/>
          <w:iCs/>
        </w:rPr>
        <w:t>Farquharson</w:t>
      </w:r>
      <w:r w:rsidR="007A5B33">
        <w:t xml:space="preserve"> nor, to the extent that it concerned this issue, </w:t>
      </w:r>
      <w:r w:rsidR="007A5B33" w:rsidRPr="004A383F">
        <w:rPr>
          <w:i/>
          <w:iCs/>
        </w:rPr>
        <w:t>Swales</w:t>
      </w:r>
      <w:r w:rsidR="007A5B33">
        <w:t>.</w:t>
      </w:r>
      <w:r w:rsidR="001A348D">
        <w:t xml:space="preserve"> </w:t>
      </w:r>
    </w:p>
    <w:p w14:paraId="617AADD9" w14:textId="2CA0FC8C" w:rsidR="00CE7D63" w:rsidRPr="0082017D" w:rsidRDefault="001A348D" w:rsidP="0082017D">
      <w:pPr>
        <w:pStyle w:val="ListParagraph"/>
        <w:numPr>
          <w:ilvl w:val="0"/>
          <w:numId w:val="1"/>
        </w:numPr>
        <w:spacing w:after="120"/>
        <w:contextualSpacing w:val="0"/>
      </w:pPr>
      <w:r>
        <w:t xml:space="preserve">LPLG members noted that the completion certificate was an objective measure and as such easy for taxpayers to understand. HMRC were aware that this was an area where uncertainty may exist for taxpayers and policy and operational teams were working closely to explore how the DIY claim process could be made more efficient. HMRC added that </w:t>
      </w:r>
      <w:r w:rsidR="00B5412C">
        <w:t xml:space="preserve">the purpose of the DIY scheme was to support </w:t>
      </w:r>
      <w:r>
        <w:t>VAT parity between those building their own houses and those who build houses as a trade.</w:t>
      </w:r>
    </w:p>
    <w:p w14:paraId="7514E150" w14:textId="651CD676" w:rsidR="00624D3C" w:rsidRPr="00624D3C" w:rsidRDefault="001A348D" w:rsidP="002A3C04">
      <w:pPr>
        <w:pStyle w:val="ListParagraph"/>
        <w:numPr>
          <w:ilvl w:val="0"/>
          <w:numId w:val="1"/>
        </w:numPr>
        <w:spacing w:after="120"/>
        <w:contextualSpacing w:val="0"/>
      </w:pPr>
      <w:r>
        <w:t>In addition, HMRC were taking a sympathetic approach towards “reasonable excuses” provided by taxpayers who submitted DIY claim forms outside of the filing window. HMRC were also reviewing cases that had been put forward for litigation</w:t>
      </w:r>
      <w:r w:rsidR="000D1F23">
        <w:t xml:space="preserve"> on this basis</w:t>
      </w:r>
      <w:r>
        <w:t>, with the aim of withdrawing them where taxpayers had provided a reasonable excuse.</w:t>
      </w:r>
    </w:p>
    <w:p w14:paraId="3A087CC1" w14:textId="5D73B1D0" w:rsidR="000D1F23" w:rsidRDefault="000D1F23" w:rsidP="00015974">
      <w:pPr>
        <w:pStyle w:val="ListParagraph"/>
        <w:numPr>
          <w:ilvl w:val="0"/>
          <w:numId w:val="1"/>
        </w:numPr>
        <w:spacing w:after="120"/>
        <w:contextualSpacing w:val="0"/>
      </w:pPr>
      <w:r>
        <w:t xml:space="preserve">HMRC were also exploring whether the relevant Regulations could be amended </w:t>
      </w:r>
      <w:proofErr w:type="gramStart"/>
      <w:r w:rsidR="007A5B33">
        <w:t>so as to</w:t>
      </w:r>
      <w:proofErr w:type="gramEnd"/>
      <w:r w:rsidR="007A5B33">
        <w:t xml:space="preserve"> deal with some of the problems</w:t>
      </w:r>
      <w:r>
        <w:t xml:space="preserve"> and were soon to publish a new version of the DIY claim form.</w:t>
      </w:r>
    </w:p>
    <w:p w14:paraId="60843105" w14:textId="28339787" w:rsidR="000D1F23" w:rsidRDefault="000D1F23" w:rsidP="000D1F23">
      <w:pPr>
        <w:spacing w:after="120"/>
        <w:rPr>
          <w:b/>
        </w:rPr>
      </w:pPr>
      <w:r>
        <w:rPr>
          <w:b/>
        </w:rPr>
        <w:t>ACTION POINT 5: HMRC to circulate draft of new DIY claim form for LPLG feedback prior to publication.</w:t>
      </w:r>
    </w:p>
    <w:p w14:paraId="5E48EB16" w14:textId="2E6F8B0D" w:rsidR="000D1F23" w:rsidRDefault="000D1F23" w:rsidP="000D1F23">
      <w:pPr>
        <w:spacing w:after="120"/>
        <w:rPr>
          <w:b/>
        </w:rPr>
      </w:pPr>
    </w:p>
    <w:p w14:paraId="08364652" w14:textId="49BC64B9" w:rsidR="000D1F23" w:rsidRDefault="000D1F23" w:rsidP="000D1F23">
      <w:pPr>
        <w:spacing w:after="120"/>
        <w:rPr>
          <w:b/>
        </w:rPr>
      </w:pPr>
      <w:r>
        <w:rPr>
          <w:b/>
        </w:rPr>
        <w:t>Template query – paragraph 4.3 of Notice 708</w:t>
      </w:r>
    </w:p>
    <w:p w14:paraId="02718786" w14:textId="72F6FC5D" w:rsidR="00B5412C" w:rsidRDefault="000D1F23" w:rsidP="000D1F23">
      <w:pPr>
        <w:pStyle w:val="ListParagraph"/>
        <w:numPr>
          <w:ilvl w:val="0"/>
          <w:numId w:val="1"/>
        </w:numPr>
        <w:spacing w:after="120"/>
        <w:contextualSpacing w:val="0"/>
      </w:pPr>
      <w:r>
        <w:t xml:space="preserve">In response to a query from the BPF, HMRC </w:t>
      </w:r>
      <w:r w:rsidR="00896A53">
        <w:t xml:space="preserve">agreed </w:t>
      </w:r>
      <w:r>
        <w:t xml:space="preserve">that the guidance </w:t>
      </w:r>
      <w:r w:rsidR="00896A53">
        <w:t xml:space="preserve">on input tax </w:t>
      </w:r>
      <w:r>
        <w:t xml:space="preserve">at paragraph 4.3 of Notice 708 was </w:t>
      </w:r>
      <w:r w:rsidR="00896A53">
        <w:t>un</w:t>
      </w:r>
      <w:r>
        <w:t xml:space="preserve">clear </w:t>
      </w:r>
      <w:r w:rsidR="00896A53">
        <w:t xml:space="preserve">and </w:t>
      </w:r>
      <w:r>
        <w:t xml:space="preserve">that it would </w:t>
      </w:r>
      <w:r w:rsidR="00896A53">
        <w:t>be changed</w:t>
      </w:r>
      <w:r w:rsidR="00B5412C">
        <w:t xml:space="preserve">. </w:t>
      </w:r>
    </w:p>
    <w:p w14:paraId="5A707B03" w14:textId="77777777" w:rsidR="00B5412C" w:rsidRDefault="00B5412C" w:rsidP="00B5412C">
      <w:pPr>
        <w:spacing w:after="120"/>
        <w:rPr>
          <w:b/>
          <w:bCs/>
        </w:rPr>
      </w:pPr>
      <w:r>
        <w:rPr>
          <w:b/>
          <w:bCs/>
        </w:rPr>
        <w:t>ACTION POINT 6: HMRC to circulate written response to BPF template query</w:t>
      </w:r>
    </w:p>
    <w:p w14:paraId="60B813C1" w14:textId="77777777" w:rsidR="00B5412C" w:rsidRDefault="00B5412C" w:rsidP="00B5412C">
      <w:pPr>
        <w:spacing w:after="120"/>
        <w:rPr>
          <w:b/>
          <w:bCs/>
        </w:rPr>
      </w:pPr>
      <w:r>
        <w:rPr>
          <w:b/>
          <w:bCs/>
        </w:rPr>
        <w:lastRenderedPageBreak/>
        <w:t>ACTION POINT 7: HMRC to amend paragraph 4.3 of Notice 708 to provide a fuller explanation on input tax recovery</w:t>
      </w:r>
    </w:p>
    <w:p w14:paraId="2A045B70" w14:textId="6872FE60" w:rsidR="00717A96" w:rsidRPr="004A383F" w:rsidRDefault="00717A96" w:rsidP="00B5412C">
      <w:pPr>
        <w:spacing w:after="120"/>
        <w:rPr>
          <w:i/>
          <w:iCs/>
        </w:rPr>
      </w:pPr>
    </w:p>
    <w:p w14:paraId="381EB649" w14:textId="5B2DB768" w:rsidR="000D1F23" w:rsidRDefault="000D1F23" w:rsidP="000D1F23">
      <w:pPr>
        <w:spacing w:after="120"/>
        <w:rPr>
          <w:b/>
        </w:rPr>
      </w:pPr>
      <w:r w:rsidRPr="000D1F23">
        <w:rPr>
          <w:b/>
        </w:rPr>
        <w:t>Template query – assignment of call options</w:t>
      </w:r>
    </w:p>
    <w:p w14:paraId="03E1F9FC" w14:textId="576D56CD" w:rsidR="000D1F23" w:rsidRDefault="000D1F23" w:rsidP="000D1F23">
      <w:pPr>
        <w:pStyle w:val="ListParagraph"/>
        <w:numPr>
          <w:ilvl w:val="0"/>
          <w:numId w:val="1"/>
        </w:numPr>
        <w:spacing w:after="120"/>
        <w:contextualSpacing w:val="0"/>
      </w:pPr>
      <w:r>
        <w:t>In response to a query from the BPF regarding the VAT treatment of the assignment of call options, HMRC noted that the guidance in paragraph 7.4 of Notice 742 remained applicable</w:t>
      </w:r>
      <w:r w:rsidR="00896A53">
        <w:t xml:space="preserve"> and applied to assignments as well as grants</w:t>
      </w:r>
      <w:r>
        <w:t xml:space="preserve">. However, HMRC was currently in litigation on this point and could therefore not provide any substantive response to the BPF’s query. </w:t>
      </w:r>
      <w:r w:rsidR="00896A53">
        <w:t>HMRC w</w:t>
      </w:r>
      <w:r w:rsidR="00FE6EB3">
        <w:t>as</w:t>
      </w:r>
      <w:r w:rsidR="00896A53">
        <w:t xml:space="preserve"> unable to indicate whether, in the </w:t>
      </w:r>
      <w:proofErr w:type="gramStart"/>
      <w:r w:rsidR="00896A53">
        <w:t>particular litigation</w:t>
      </w:r>
      <w:proofErr w:type="gramEnd"/>
      <w:r w:rsidR="00896A53">
        <w:t xml:space="preserve">, </w:t>
      </w:r>
      <w:r w:rsidR="00FE6EB3">
        <w:t>it was</w:t>
      </w:r>
      <w:r w:rsidR="00896A53">
        <w:t xml:space="preserve"> arguing for taxation or exemption.</w:t>
      </w:r>
    </w:p>
    <w:p w14:paraId="34B9634D" w14:textId="186E4CF5" w:rsidR="000D1F23" w:rsidRDefault="000D1F23" w:rsidP="000D1F23">
      <w:pPr>
        <w:pStyle w:val="ListParagraph"/>
        <w:numPr>
          <w:ilvl w:val="0"/>
          <w:numId w:val="1"/>
        </w:numPr>
        <w:spacing w:after="120"/>
        <w:contextualSpacing w:val="0"/>
      </w:pPr>
      <w:r>
        <w:t xml:space="preserve">It was noted that the VAT registration team and OTT unit often </w:t>
      </w:r>
      <w:proofErr w:type="gramStart"/>
      <w:r>
        <w:t>have to</w:t>
      </w:r>
      <w:proofErr w:type="gramEnd"/>
      <w:r>
        <w:t xml:space="preserve"> consider whether </w:t>
      </w:r>
      <w:r w:rsidR="006810A6">
        <w:t>supplies are taxable, including, on a regular basis, the assignment of call options. Further guidance in this area would therefore be welcome.</w:t>
      </w:r>
    </w:p>
    <w:p w14:paraId="5A8B0188" w14:textId="57370628" w:rsidR="006810A6" w:rsidRDefault="006810A6" w:rsidP="006810A6">
      <w:pPr>
        <w:spacing w:after="120"/>
        <w:rPr>
          <w:b/>
        </w:rPr>
      </w:pPr>
      <w:r>
        <w:rPr>
          <w:b/>
        </w:rPr>
        <w:t xml:space="preserve">ACTION POINT </w:t>
      </w:r>
      <w:r w:rsidR="0082017D">
        <w:rPr>
          <w:b/>
        </w:rPr>
        <w:t>8</w:t>
      </w:r>
      <w:r>
        <w:rPr>
          <w:b/>
        </w:rPr>
        <w:t xml:space="preserve"> – LPLG members to provide HMR</w:t>
      </w:r>
      <w:r w:rsidR="00F44798">
        <w:rPr>
          <w:b/>
        </w:rPr>
        <w:t>C</w:t>
      </w:r>
      <w:r>
        <w:rPr>
          <w:b/>
        </w:rPr>
        <w:t xml:space="preserve"> with </w:t>
      </w:r>
      <w:r w:rsidR="00FE6EB3">
        <w:rPr>
          <w:b/>
        </w:rPr>
        <w:t xml:space="preserve">any relevant </w:t>
      </w:r>
      <w:r>
        <w:rPr>
          <w:b/>
        </w:rPr>
        <w:t>examples</w:t>
      </w:r>
      <w:r w:rsidR="00F44798">
        <w:rPr>
          <w:b/>
        </w:rPr>
        <w:t>.</w:t>
      </w:r>
    </w:p>
    <w:p w14:paraId="486E4F0D" w14:textId="4C75C15A" w:rsidR="00F44798" w:rsidRPr="004A383F" w:rsidRDefault="00F44798" w:rsidP="004A383F">
      <w:pPr>
        <w:spacing w:after="120"/>
        <w:ind w:left="720"/>
        <w:rPr>
          <w:bCs/>
          <w:i/>
          <w:iCs/>
        </w:rPr>
      </w:pPr>
    </w:p>
    <w:p w14:paraId="46F7F5C5" w14:textId="062FD7BB" w:rsidR="00F44798" w:rsidRDefault="00F44798" w:rsidP="006810A6">
      <w:pPr>
        <w:spacing w:after="120"/>
        <w:rPr>
          <w:b/>
        </w:rPr>
      </w:pPr>
      <w:r>
        <w:rPr>
          <w:b/>
        </w:rPr>
        <w:t>Any other business</w:t>
      </w:r>
    </w:p>
    <w:p w14:paraId="7473CF03" w14:textId="5AF51544" w:rsidR="00F44798" w:rsidRDefault="00F44798" w:rsidP="00F44798">
      <w:pPr>
        <w:pStyle w:val="ListParagraph"/>
        <w:numPr>
          <w:ilvl w:val="0"/>
          <w:numId w:val="1"/>
        </w:numPr>
        <w:spacing w:after="120"/>
        <w:contextualSpacing w:val="0"/>
      </w:pPr>
      <w:r>
        <w:t xml:space="preserve">It was noted that the Supreme Court was yet to decide whether it would allow an appeal in the case of </w:t>
      </w:r>
      <w:r>
        <w:rPr>
          <w:i/>
        </w:rPr>
        <w:t>Fortyseven Park Street</w:t>
      </w:r>
      <w:r>
        <w:t>.</w:t>
      </w:r>
    </w:p>
    <w:p w14:paraId="411C6BCA" w14:textId="6B4BCB07" w:rsidR="00B40EAC" w:rsidRPr="0082017D" w:rsidRDefault="00BC5D84" w:rsidP="00A679DE">
      <w:pPr>
        <w:pStyle w:val="ListParagraph"/>
        <w:numPr>
          <w:ilvl w:val="0"/>
          <w:numId w:val="1"/>
        </w:numPr>
        <w:spacing w:after="120"/>
        <w:contextualSpacing w:val="0"/>
        <w:rPr>
          <w:i/>
          <w:iCs/>
        </w:rPr>
      </w:pPr>
      <w:r>
        <w:t xml:space="preserve">The revised version of </w:t>
      </w:r>
      <w:r w:rsidR="00F44798">
        <w:t xml:space="preserve">Notice 742 </w:t>
      </w:r>
      <w:r>
        <w:t xml:space="preserve">that had previously been circulated to the LPLG would not now been </w:t>
      </w:r>
      <w:proofErr w:type="gramStart"/>
      <w:r>
        <w:t xml:space="preserve">published, </w:t>
      </w:r>
      <w:r w:rsidR="00F44798">
        <w:t>but</w:t>
      </w:r>
      <w:proofErr w:type="gramEnd"/>
      <w:r w:rsidR="00F44798">
        <w:t xml:space="preserve"> </w:t>
      </w:r>
      <w:r>
        <w:t xml:space="preserve">work on the Notice </w:t>
      </w:r>
      <w:r w:rsidR="00F44798">
        <w:t xml:space="preserve">was now resuming. </w:t>
      </w:r>
      <w:r w:rsidR="00B960EF">
        <w:t xml:space="preserve">LPLG members </w:t>
      </w:r>
      <w:r w:rsidR="00F44798">
        <w:t xml:space="preserve">suggested that Notice 708 needed to be reviewed and updated to address </w:t>
      </w:r>
      <w:proofErr w:type="gramStart"/>
      <w:r w:rsidR="00F44798">
        <w:t>a number of</w:t>
      </w:r>
      <w:proofErr w:type="gramEnd"/>
      <w:r w:rsidR="00F44798">
        <w:t xml:space="preserve"> technical </w:t>
      </w:r>
      <w:r w:rsidR="00B40EAC">
        <w:t xml:space="preserve">points, </w:t>
      </w:r>
      <w:r>
        <w:t>and issues with structure and cross-referencing</w:t>
      </w:r>
      <w:r w:rsidR="00F44798">
        <w:t>.</w:t>
      </w:r>
    </w:p>
    <w:p w14:paraId="0F24FDD5" w14:textId="5E53F4C4" w:rsidR="000B7460" w:rsidRPr="0082017D" w:rsidRDefault="00F44798" w:rsidP="007E1072">
      <w:pPr>
        <w:pStyle w:val="ListParagraph"/>
        <w:numPr>
          <w:ilvl w:val="0"/>
          <w:numId w:val="1"/>
        </w:numPr>
        <w:spacing w:after="120"/>
        <w:contextualSpacing w:val="0"/>
        <w:rPr>
          <w:i/>
          <w:iCs/>
        </w:rPr>
      </w:pPr>
      <w:r>
        <w:t>LPLG members reported that the tone of letters sent by HMRC to taxpayers when they sought to de-register</w:t>
      </w:r>
      <w:r w:rsidR="00B5412C">
        <w:t xml:space="preserve"> having previously made</w:t>
      </w:r>
      <w:r>
        <w:t xml:space="preserve"> an OTT</w:t>
      </w:r>
      <w:r w:rsidR="00B5412C">
        <w:t>,</w:t>
      </w:r>
      <w:r>
        <w:t xml:space="preserve"> or request a VAT reclaim</w:t>
      </w:r>
      <w:r w:rsidR="00B5412C">
        <w:t>,</w:t>
      </w:r>
      <w:r>
        <w:t xml:space="preserve"> was often perceived as aggressive and threatening by taxpayers. For instance, letters did not mention that there may be no VAT liability upon deregistration and focused very heavily on the potential for penalties if a VAT reclaim request was incorrectly made. HMRC agreed to review these.</w:t>
      </w:r>
    </w:p>
    <w:p w14:paraId="0FECFA65" w14:textId="50745E62" w:rsidR="00F44798" w:rsidRDefault="00F44798" w:rsidP="00F44798">
      <w:pPr>
        <w:spacing w:after="120"/>
        <w:rPr>
          <w:b/>
        </w:rPr>
      </w:pPr>
      <w:r>
        <w:rPr>
          <w:b/>
        </w:rPr>
        <w:t xml:space="preserve">ACTION POINT </w:t>
      </w:r>
      <w:r w:rsidR="0082017D">
        <w:rPr>
          <w:b/>
        </w:rPr>
        <w:t>9</w:t>
      </w:r>
      <w:r>
        <w:rPr>
          <w:b/>
        </w:rPr>
        <w:t>: LPLG members to send HMRC examples of communication perceived as aggressive and provide feedback on how these could be improved.</w:t>
      </w:r>
    </w:p>
    <w:p w14:paraId="5F88F432" w14:textId="6E3410B5" w:rsidR="004C44F2" w:rsidRDefault="0003260F" w:rsidP="0003260F">
      <w:pPr>
        <w:pStyle w:val="ListParagraph"/>
        <w:numPr>
          <w:ilvl w:val="0"/>
          <w:numId w:val="1"/>
        </w:numPr>
        <w:spacing w:after="120"/>
        <w:contextualSpacing w:val="0"/>
      </w:pPr>
      <w:r>
        <w:t xml:space="preserve">In response to a query from CIOT, HMRC </w:t>
      </w:r>
      <w:r w:rsidR="0066713A">
        <w:t>reported</w:t>
      </w:r>
      <w:r>
        <w:t xml:space="preserve"> that there were no plans to </w:t>
      </w:r>
      <w:r w:rsidR="00C3152F">
        <w:t>re-issue specific guidance on VAT issues frequently encountered by the social housing sector</w:t>
      </w:r>
      <w:r w:rsidR="00A362AE">
        <w:t xml:space="preserve">, </w:t>
      </w:r>
      <w:r w:rsidR="00F45044">
        <w:t>although</w:t>
      </w:r>
      <w:r w:rsidR="00A362AE">
        <w:t xml:space="preserve"> HMRC could reconsider this if there were strong demand from the sector</w:t>
      </w:r>
      <w:r w:rsidR="00D97E0B">
        <w:t>.</w:t>
      </w:r>
    </w:p>
    <w:p w14:paraId="7D5A9DC5" w14:textId="7164F742" w:rsidR="00D97E0B" w:rsidRDefault="00646A60" w:rsidP="0003260F">
      <w:pPr>
        <w:pStyle w:val="ListParagraph"/>
        <w:numPr>
          <w:ilvl w:val="0"/>
          <w:numId w:val="1"/>
        </w:numPr>
        <w:spacing w:after="120"/>
        <w:contextualSpacing w:val="0"/>
      </w:pPr>
      <w:r>
        <w:t xml:space="preserve">The LPLG considered how the “golden brick” rules might apply in the context of dwellings built using modern methods of construction, such as modular building. </w:t>
      </w:r>
      <w:r w:rsidR="00317A59">
        <w:t xml:space="preserve">It was felt that </w:t>
      </w:r>
      <w:r w:rsidR="00CF3400">
        <w:t xml:space="preserve">the point at which it could be determined that there was a residential building under construction would depend </w:t>
      </w:r>
      <w:r w:rsidR="00F74268">
        <w:t xml:space="preserve">on the facts and circumstances of each case, but that the same basic principles would apply as </w:t>
      </w:r>
      <w:r w:rsidR="005D482C">
        <w:t>for dwellings built using traditional building techniques.</w:t>
      </w:r>
    </w:p>
    <w:p w14:paraId="46496297" w14:textId="4CDC6E6E" w:rsidR="0033435F" w:rsidRDefault="0033435F" w:rsidP="004A383F">
      <w:pPr>
        <w:pStyle w:val="ListParagraph"/>
        <w:numPr>
          <w:ilvl w:val="0"/>
          <w:numId w:val="1"/>
        </w:numPr>
        <w:spacing w:after="120"/>
        <w:contextualSpacing w:val="0"/>
      </w:pPr>
      <w:r>
        <w:t xml:space="preserve">HMRC indicated that, whilst ‘person constructing’ status generally required the building to have </w:t>
      </w:r>
      <w:r w:rsidRPr="0033435F">
        <w:t>progressed beyond foundation stage</w:t>
      </w:r>
      <w:r>
        <w:t xml:space="preserve">, it might, in individual cases, be enough that </w:t>
      </w:r>
      <w:r w:rsidRPr="0033435F">
        <w:t>there was substantial infrastructure in place.</w:t>
      </w:r>
    </w:p>
    <w:p w14:paraId="23A90532" w14:textId="35709B52" w:rsidR="00B62465" w:rsidRPr="004C44F2" w:rsidRDefault="00A5244D" w:rsidP="0003260F">
      <w:pPr>
        <w:pStyle w:val="ListParagraph"/>
        <w:numPr>
          <w:ilvl w:val="0"/>
          <w:numId w:val="1"/>
        </w:numPr>
        <w:spacing w:after="120"/>
        <w:contextualSpacing w:val="0"/>
      </w:pPr>
      <w:r>
        <w:lastRenderedPageBreak/>
        <w:t xml:space="preserve">HMRC confirmed that, in a development which included commercial elements as well as dwellings, ‘person constructing’ status did not require the dwellings to be under construction, but only the building. </w:t>
      </w:r>
      <w:r w:rsidR="00B62465">
        <w:t>The BPF’s VAT Committee was planning a visit to a modular housing factory later in the year and would extend the invitation to interested HMRC officials</w:t>
      </w:r>
      <w:r w:rsidR="000B7460">
        <w:t xml:space="preserve"> (</w:t>
      </w:r>
      <w:r w:rsidR="0033435F">
        <w:t>a list of names to be submitted in advance, for scrutiny</w:t>
      </w:r>
      <w:r w:rsidR="000B7460">
        <w:t>)</w:t>
      </w:r>
      <w:r w:rsidR="00B62465">
        <w:t>.</w:t>
      </w:r>
    </w:p>
    <w:p w14:paraId="2255466A" w14:textId="77777777" w:rsidR="00A24661" w:rsidRDefault="00997F34">
      <w:pPr>
        <w:rPr>
          <w:b/>
        </w:rPr>
      </w:pPr>
      <w:r>
        <w:rPr>
          <w:b/>
        </w:rPr>
        <w:t>Date of next meeting:</w:t>
      </w:r>
    </w:p>
    <w:p w14:paraId="5B2E7459" w14:textId="61852BCA" w:rsidR="005E6384" w:rsidRDefault="005E6384" w:rsidP="007A5B33">
      <w:pPr>
        <w:pStyle w:val="ListParagraph"/>
        <w:numPr>
          <w:ilvl w:val="0"/>
          <w:numId w:val="10"/>
        </w:numPr>
      </w:pPr>
      <w:r>
        <w:t>T</w:t>
      </w:r>
      <w:r w:rsidR="00AF1B7E">
        <w:t xml:space="preserve">he next meeting will take place on </w:t>
      </w:r>
      <w:r>
        <w:t xml:space="preserve">Tuesday </w:t>
      </w:r>
      <w:r w:rsidR="00712157">
        <w:t>19 May</w:t>
      </w:r>
      <w:r>
        <w:t xml:space="preserve"> 2020 at </w:t>
      </w:r>
      <w:r w:rsidR="00712157">
        <w:t>a time to be confirmed (though LPLG members expressed a preference for the afternoon)</w:t>
      </w:r>
      <w:r>
        <w:t>.</w:t>
      </w:r>
    </w:p>
    <w:p w14:paraId="32315D6F" w14:textId="698A1C8A" w:rsidR="0046327D" w:rsidRPr="004A383F" w:rsidRDefault="00B40443">
      <w:pPr>
        <w:rPr>
          <w:bCs/>
          <w:i/>
          <w:iCs/>
        </w:rPr>
      </w:pPr>
      <w:r>
        <w:br w:type="page"/>
      </w:r>
      <w:r w:rsidR="00DE427C" w:rsidRPr="00DE427C">
        <w:rPr>
          <w:b/>
        </w:rPr>
        <w:lastRenderedPageBreak/>
        <w:t>Appendix A – list of meeting attendees</w:t>
      </w:r>
    </w:p>
    <w:tbl>
      <w:tblPr>
        <w:tblStyle w:val="TableGrid0"/>
        <w:tblW w:w="0" w:type="auto"/>
        <w:tblLook w:val="04A0" w:firstRow="1" w:lastRow="0" w:firstColumn="1" w:lastColumn="0" w:noHBand="0" w:noVBand="1"/>
      </w:tblPr>
      <w:tblGrid>
        <w:gridCol w:w="2972"/>
        <w:gridCol w:w="6044"/>
      </w:tblGrid>
      <w:tr w:rsidR="00DE427C" w14:paraId="4AB613DC" w14:textId="77777777" w:rsidTr="004A383F">
        <w:tc>
          <w:tcPr>
            <w:tcW w:w="2972" w:type="dxa"/>
          </w:tcPr>
          <w:p w14:paraId="10049CE3" w14:textId="77777777" w:rsidR="00DE427C" w:rsidRDefault="00DE427C">
            <w:pPr>
              <w:rPr>
                <w:b/>
              </w:rPr>
            </w:pPr>
            <w:r>
              <w:rPr>
                <w:b/>
              </w:rPr>
              <w:t>Attendees</w:t>
            </w:r>
          </w:p>
        </w:tc>
        <w:tc>
          <w:tcPr>
            <w:tcW w:w="6044" w:type="dxa"/>
          </w:tcPr>
          <w:p w14:paraId="1C036E95" w14:textId="77777777" w:rsidR="00DE427C" w:rsidRDefault="00DE427C">
            <w:pPr>
              <w:rPr>
                <w:b/>
              </w:rPr>
            </w:pPr>
          </w:p>
        </w:tc>
      </w:tr>
      <w:tr w:rsidR="00DE427C" w:rsidRPr="00DE427C" w14:paraId="182653DA" w14:textId="77777777" w:rsidTr="004A383F">
        <w:tc>
          <w:tcPr>
            <w:tcW w:w="2972" w:type="dxa"/>
          </w:tcPr>
          <w:p w14:paraId="4624AE92" w14:textId="77777777" w:rsidR="00DE427C" w:rsidRPr="00DE427C" w:rsidRDefault="00DE427C">
            <w:r w:rsidRPr="00DE427C">
              <w:t>Ben Tennant</w:t>
            </w:r>
          </w:p>
        </w:tc>
        <w:tc>
          <w:tcPr>
            <w:tcW w:w="6044" w:type="dxa"/>
          </w:tcPr>
          <w:p w14:paraId="0849F41B" w14:textId="77777777" w:rsidR="00DE427C" w:rsidRPr="00DE427C" w:rsidRDefault="00DE427C">
            <w:r w:rsidRPr="00DE427C">
              <w:t>Nationa</w:t>
            </w:r>
            <w:r>
              <w:t>l Housing Federation</w:t>
            </w:r>
          </w:p>
        </w:tc>
      </w:tr>
      <w:tr w:rsidR="00DE427C" w:rsidRPr="00DE427C" w14:paraId="6640AA41" w14:textId="77777777" w:rsidTr="004A383F">
        <w:tc>
          <w:tcPr>
            <w:tcW w:w="2972" w:type="dxa"/>
          </w:tcPr>
          <w:p w14:paraId="116B93D6" w14:textId="77777777" w:rsidR="00DE427C" w:rsidRPr="00DE427C" w:rsidRDefault="00DE427C">
            <w:r>
              <w:t>Colin Smith</w:t>
            </w:r>
          </w:p>
        </w:tc>
        <w:tc>
          <w:tcPr>
            <w:tcW w:w="6044" w:type="dxa"/>
          </w:tcPr>
          <w:p w14:paraId="671330B6" w14:textId="77777777" w:rsidR="00DE427C" w:rsidRPr="00DE427C" w:rsidRDefault="00DE427C">
            <w:r>
              <w:t>British Property Federation</w:t>
            </w:r>
          </w:p>
        </w:tc>
      </w:tr>
      <w:tr w:rsidR="00DE427C" w:rsidRPr="00DE427C" w14:paraId="6E786A8E" w14:textId="77777777" w:rsidTr="004A383F">
        <w:tc>
          <w:tcPr>
            <w:tcW w:w="2972" w:type="dxa"/>
          </w:tcPr>
          <w:p w14:paraId="59D06E48" w14:textId="77777777" w:rsidR="00DE427C" w:rsidRPr="00DE427C" w:rsidRDefault="00DE427C">
            <w:r>
              <w:t>Dan Smith</w:t>
            </w:r>
          </w:p>
        </w:tc>
        <w:tc>
          <w:tcPr>
            <w:tcW w:w="6044" w:type="dxa"/>
          </w:tcPr>
          <w:p w14:paraId="2C23A4DD" w14:textId="77777777" w:rsidR="00DE427C" w:rsidRPr="00DE427C" w:rsidRDefault="00DE427C">
            <w:r>
              <w:t>Chartered Institute of Housing</w:t>
            </w:r>
          </w:p>
        </w:tc>
      </w:tr>
      <w:tr w:rsidR="00DE427C" w:rsidRPr="00DE427C" w14:paraId="64DA5D20" w14:textId="77777777" w:rsidTr="004A383F">
        <w:tc>
          <w:tcPr>
            <w:tcW w:w="2972" w:type="dxa"/>
          </w:tcPr>
          <w:p w14:paraId="1C9CB33D" w14:textId="77777777" w:rsidR="00DE427C" w:rsidRPr="00DE427C" w:rsidRDefault="00DE427C">
            <w:r>
              <w:t>Hugh Mitchell</w:t>
            </w:r>
          </w:p>
        </w:tc>
        <w:tc>
          <w:tcPr>
            <w:tcW w:w="6044" w:type="dxa"/>
          </w:tcPr>
          <w:p w14:paraId="4294E322" w14:textId="77777777" w:rsidR="00DE427C" w:rsidRPr="00DE427C" w:rsidRDefault="00DE427C">
            <w:r>
              <w:t>Association of Tax Technicians</w:t>
            </w:r>
          </w:p>
        </w:tc>
      </w:tr>
      <w:tr w:rsidR="00DE427C" w:rsidRPr="00DE427C" w14:paraId="5D0420E9" w14:textId="77777777" w:rsidTr="004A383F">
        <w:tc>
          <w:tcPr>
            <w:tcW w:w="2972" w:type="dxa"/>
          </w:tcPr>
          <w:p w14:paraId="2833834C" w14:textId="77777777" w:rsidR="00DE427C" w:rsidRPr="00DE427C" w:rsidRDefault="00DE427C">
            <w:r>
              <w:t>Ion Fletcher</w:t>
            </w:r>
          </w:p>
        </w:tc>
        <w:tc>
          <w:tcPr>
            <w:tcW w:w="6044" w:type="dxa"/>
          </w:tcPr>
          <w:p w14:paraId="5B40B8F3" w14:textId="77777777" w:rsidR="00DE427C" w:rsidRPr="00DE427C" w:rsidRDefault="00DE427C">
            <w:r>
              <w:t>British Property Federation</w:t>
            </w:r>
          </w:p>
        </w:tc>
      </w:tr>
      <w:tr w:rsidR="00DE427C" w:rsidRPr="00DE427C" w14:paraId="4507452A" w14:textId="77777777" w:rsidTr="004A383F">
        <w:tc>
          <w:tcPr>
            <w:tcW w:w="2972" w:type="dxa"/>
          </w:tcPr>
          <w:p w14:paraId="026F744C" w14:textId="77777777" w:rsidR="00DE427C" w:rsidRDefault="00DE427C">
            <w:r>
              <w:t>John Voyez</w:t>
            </w:r>
          </w:p>
        </w:tc>
        <w:tc>
          <w:tcPr>
            <w:tcW w:w="6044" w:type="dxa"/>
          </w:tcPr>
          <w:p w14:paraId="08CD3F6F" w14:textId="77777777" w:rsidR="00DE427C" w:rsidRDefault="00DE427C">
            <w:r>
              <w:t>Chartered Institute of Taxation</w:t>
            </w:r>
          </w:p>
        </w:tc>
      </w:tr>
      <w:tr w:rsidR="00DE427C" w:rsidRPr="00DE427C" w14:paraId="117F4C4F" w14:textId="77777777" w:rsidTr="004A383F">
        <w:tc>
          <w:tcPr>
            <w:tcW w:w="2972" w:type="dxa"/>
          </w:tcPr>
          <w:p w14:paraId="42F543CD" w14:textId="77777777" w:rsidR="00DE427C" w:rsidRPr="00DE427C" w:rsidRDefault="00DE427C">
            <w:r>
              <w:t>Julie Towers</w:t>
            </w:r>
          </w:p>
        </w:tc>
        <w:tc>
          <w:tcPr>
            <w:tcW w:w="6044" w:type="dxa"/>
          </w:tcPr>
          <w:p w14:paraId="5636DB13" w14:textId="77777777" w:rsidR="00DE427C" w:rsidRPr="00DE427C" w:rsidRDefault="00DE427C">
            <w:r>
              <w:t>Institute of Chartered Accountants in England &amp; Wales</w:t>
            </w:r>
          </w:p>
        </w:tc>
      </w:tr>
      <w:tr w:rsidR="00DE427C" w:rsidRPr="00DE427C" w14:paraId="01A820E8" w14:textId="77777777" w:rsidTr="004A383F">
        <w:tc>
          <w:tcPr>
            <w:tcW w:w="2972" w:type="dxa"/>
          </w:tcPr>
          <w:p w14:paraId="5B9F3575" w14:textId="77777777" w:rsidR="00DE427C" w:rsidRPr="00DE427C" w:rsidRDefault="00DE427C">
            <w:r>
              <w:t>Karen Regan</w:t>
            </w:r>
          </w:p>
        </w:tc>
        <w:tc>
          <w:tcPr>
            <w:tcW w:w="6044" w:type="dxa"/>
          </w:tcPr>
          <w:p w14:paraId="05D2C3A4" w14:textId="77777777" w:rsidR="00DE427C" w:rsidRPr="00DE427C" w:rsidRDefault="00DE427C">
            <w:r>
              <w:t>Chartered Institute of Public Finance &amp; Accountancy</w:t>
            </w:r>
          </w:p>
        </w:tc>
      </w:tr>
      <w:tr w:rsidR="00DE427C" w:rsidRPr="00DE427C" w14:paraId="20CEB515" w14:textId="77777777" w:rsidTr="004A383F">
        <w:tc>
          <w:tcPr>
            <w:tcW w:w="2972" w:type="dxa"/>
          </w:tcPr>
          <w:p w14:paraId="2A030BD8" w14:textId="77777777" w:rsidR="00DE427C" w:rsidRPr="00DE427C" w:rsidRDefault="00DE427C">
            <w:r>
              <w:t>Martin Scammell</w:t>
            </w:r>
          </w:p>
        </w:tc>
        <w:tc>
          <w:tcPr>
            <w:tcW w:w="6044" w:type="dxa"/>
          </w:tcPr>
          <w:p w14:paraId="51EA33B6" w14:textId="77777777" w:rsidR="00DE427C" w:rsidRPr="00DE427C" w:rsidRDefault="00DE427C">
            <w:r>
              <w:t>British Property Federation</w:t>
            </w:r>
          </w:p>
        </w:tc>
      </w:tr>
      <w:tr w:rsidR="00DE427C" w:rsidRPr="00DE427C" w14:paraId="7B22BFA8" w14:textId="77777777" w:rsidTr="004A383F">
        <w:tc>
          <w:tcPr>
            <w:tcW w:w="2972" w:type="dxa"/>
          </w:tcPr>
          <w:p w14:paraId="3505AE43" w14:textId="77777777" w:rsidR="00DE427C" w:rsidRPr="00DE427C" w:rsidRDefault="00DE427C">
            <w:r>
              <w:t>Robert Plumbly</w:t>
            </w:r>
          </w:p>
        </w:tc>
        <w:tc>
          <w:tcPr>
            <w:tcW w:w="6044" w:type="dxa"/>
          </w:tcPr>
          <w:p w14:paraId="35FB0CB1" w14:textId="77777777" w:rsidR="00DE427C" w:rsidRPr="00DE427C" w:rsidRDefault="00DE427C">
            <w:r>
              <w:t>VAT Practitioners Group</w:t>
            </w:r>
          </w:p>
        </w:tc>
      </w:tr>
      <w:tr w:rsidR="00DE427C" w:rsidRPr="00DE427C" w14:paraId="3D88A1C8" w14:textId="77777777" w:rsidTr="004A383F">
        <w:tc>
          <w:tcPr>
            <w:tcW w:w="2972" w:type="dxa"/>
          </w:tcPr>
          <w:p w14:paraId="7F1F9CAB" w14:textId="77777777" w:rsidR="00DE427C" w:rsidRPr="00DE427C" w:rsidRDefault="00DE427C">
            <w:r>
              <w:t>Ronnie Brown</w:t>
            </w:r>
          </w:p>
        </w:tc>
        <w:tc>
          <w:tcPr>
            <w:tcW w:w="6044" w:type="dxa"/>
          </w:tcPr>
          <w:p w14:paraId="7ACA4A13" w14:textId="77777777" w:rsidR="00DE427C" w:rsidRPr="00DE427C" w:rsidRDefault="00DE427C">
            <w:r>
              <w:t>Law Society of Scotland</w:t>
            </w:r>
          </w:p>
        </w:tc>
      </w:tr>
    </w:tbl>
    <w:p w14:paraId="3DB33845" w14:textId="77777777" w:rsidR="00DE427C" w:rsidRDefault="00DE427C"/>
    <w:tbl>
      <w:tblPr>
        <w:tblStyle w:val="TableGrid0"/>
        <w:tblW w:w="0" w:type="auto"/>
        <w:tblLook w:val="04A0" w:firstRow="1" w:lastRow="0" w:firstColumn="1" w:lastColumn="0" w:noHBand="0" w:noVBand="1"/>
      </w:tblPr>
      <w:tblGrid>
        <w:gridCol w:w="2972"/>
        <w:gridCol w:w="6044"/>
      </w:tblGrid>
      <w:tr w:rsidR="00DE427C" w14:paraId="1C0CE23A" w14:textId="77777777" w:rsidTr="004A383F">
        <w:tc>
          <w:tcPr>
            <w:tcW w:w="2972" w:type="dxa"/>
          </w:tcPr>
          <w:p w14:paraId="1F8274E7" w14:textId="77777777" w:rsidR="00DE427C" w:rsidRPr="00DE427C" w:rsidRDefault="00DE427C">
            <w:pPr>
              <w:rPr>
                <w:b/>
              </w:rPr>
            </w:pPr>
            <w:r>
              <w:rPr>
                <w:b/>
              </w:rPr>
              <w:t>HMRC</w:t>
            </w:r>
          </w:p>
        </w:tc>
        <w:tc>
          <w:tcPr>
            <w:tcW w:w="6044" w:type="dxa"/>
          </w:tcPr>
          <w:p w14:paraId="6ACB807B" w14:textId="77777777" w:rsidR="00DE427C" w:rsidRDefault="00DE427C"/>
        </w:tc>
      </w:tr>
      <w:tr w:rsidR="00DE427C" w14:paraId="35541F8C" w14:textId="77777777" w:rsidTr="004A383F">
        <w:tc>
          <w:tcPr>
            <w:tcW w:w="2972" w:type="dxa"/>
          </w:tcPr>
          <w:p w14:paraId="354F8225" w14:textId="77777777" w:rsidR="00DE427C" w:rsidRDefault="00DE427C">
            <w:r>
              <w:t>David Millar</w:t>
            </w:r>
          </w:p>
        </w:tc>
        <w:tc>
          <w:tcPr>
            <w:tcW w:w="6044" w:type="dxa"/>
          </w:tcPr>
          <w:p w14:paraId="46408C53" w14:textId="77777777" w:rsidR="00DE427C" w:rsidRDefault="00DE427C"/>
        </w:tc>
      </w:tr>
      <w:tr w:rsidR="00DE427C" w14:paraId="3B377833" w14:textId="77777777" w:rsidTr="004A383F">
        <w:tc>
          <w:tcPr>
            <w:tcW w:w="2972" w:type="dxa"/>
          </w:tcPr>
          <w:p w14:paraId="774B1E10" w14:textId="77777777" w:rsidR="00DE427C" w:rsidRDefault="00DE427C">
            <w:r>
              <w:t>James Ormanczyk</w:t>
            </w:r>
          </w:p>
        </w:tc>
        <w:tc>
          <w:tcPr>
            <w:tcW w:w="6044" w:type="dxa"/>
          </w:tcPr>
          <w:p w14:paraId="17CD54B6" w14:textId="77777777" w:rsidR="00DE427C" w:rsidRDefault="00DE427C"/>
        </w:tc>
      </w:tr>
      <w:tr w:rsidR="00DE427C" w14:paraId="0F32E0F9" w14:textId="77777777" w:rsidTr="004A383F">
        <w:tc>
          <w:tcPr>
            <w:tcW w:w="2972" w:type="dxa"/>
          </w:tcPr>
          <w:p w14:paraId="5A0B0B33" w14:textId="77777777" w:rsidR="00DE427C" w:rsidRDefault="00DE427C">
            <w:r>
              <w:t>Keith Miller</w:t>
            </w:r>
          </w:p>
        </w:tc>
        <w:tc>
          <w:tcPr>
            <w:tcW w:w="6044" w:type="dxa"/>
          </w:tcPr>
          <w:p w14:paraId="74B99916" w14:textId="77777777" w:rsidR="00DE427C" w:rsidRDefault="00DE427C"/>
        </w:tc>
      </w:tr>
      <w:tr w:rsidR="00DE427C" w14:paraId="4C6BC0F8" w14:textId="77777777" w:rsidTr="004A383F">
        <w:tc>
          <w:tcPr>
            <w:tcW w:w="2972" w:type="dxa"/>
          </w:tcPr>
          <w:p w14:paraId="2DED6D3A" w14:textId="77777777" w:rsidR="00DE427C" w:rsidRDefault="00DE427C">
            <w:r>
              <w:t>Lisa Allen</w:t>
            </w:r>
          </w:p>
        </w:tc>
        <w:tc>
          <w:tcPr>
            <w:tcW w:w="6044" w:type="dxa"/>
          </w:tcPr>
          <w:p w14:paraId="08840977" w14:textId="77777777" w:rsidR="00DE427C" w:rsidRDefault="00DE427C"/>
        </w:tc>
      </w:tr>
      <w:tr w:rsidR="00DE427C" w14:paraId="647F65AA" w14:textId="77777777" w:rsidTr="004A383F">
        <w:tc>
          <w:tcPr>
            <w:tcW w:w="2972" w:type="dxa"/>
          </w:tcPr>
          <w:p w14:paraId="5CD6C069" w14:textId="77777777" w:rsidR="00DE427C" w:rsidRDefault="00DE427C">
            <w:r>
              <w:t>Melanie Williams</w:t>
            </w:r>
          </w:p>
        </w:tc>
        <w:tc>
          <w:tcPr>
            <w:tcW w:w="6044" w:type="dxa"/>
          </w:tcPr>
          <w:p w14:paraId="35A05F93" w14:textId="77777777" w:rsidR="00DE427C" w:rsidRDefault="00DE427C"/>
        </w:tc>
      </w:tr>
      <w:tr w:rsidR="00DE427C" w14:paraId="18BE94AB" w14:textId="77777777" w:rsidTr="004A383F">
        <w:tc>
          <w:tcPr>
            <w:tcW w:w="2972" w:type="dxa"/>
          </w:tcPr>
          <w:p w14:paraId="066C0DBE" w14:textId="77777777" w:rsidR="00DE427C" w:rsidRDefault="00DE427C">
            <w:r>
              <w:t>Phil Askew</w:t>
            </w:r>
          </w:p>
        </w:tc>
        <w:tc>
          <w:tcPr>
            <w:tcW w:w="6044" w:type="dxa"/>
          </w:tcPr>
          <w:p w14:paraId="7A57E379" w14:textId="77777777" w:rsidR="00DE427C" w:rsidRDefault="00DE427C"/>
        </w:tc>
      </w:tr>
      <w:tr w:rsidR="00DE427C" w14:paraId="0ABCDF21" w14:textId="77777777" w:rsidTr="004A383F">
        <w:tc>
          <w:tcPr>
            <w:tcW w:w="2972" w:type="dxa"/>
          </w:tcPr>
          <w:p w14:paraId="625A1366" w14:textId="77777777" w:rsidR="00DE427C" w:rsidRDefault="00DE427C">
            <w:r>
              <w:t>Rosie Brown</w:t>
            </w:r>
          </w:p>
        </w:tc>
        <w:tc>
          <w:tcPr>
            <w:tcW w:w="6044" w:type="dxa"/>
          </w:tcPr>
          <w:p w14:paraId="34A7217F" w14:textId="77777777" w:rsidR="00DE427C" w:rsidRDefault="00DE427C"/>
        </w:tc>
      </w:tr>
      <w:tr w:rsidR="00DE427C" w14:paraId="20B786E4" w14:textId="77777777" w:rsidTr="004A383F">
        <w:tc>
          <w:tcPr>
            <w:tcW w:w="2972" w:type="dxa"/>
          </w:tcPr>
          <w:p w14:paraId="0AC8AE3D" w14:textId="77777777" w:rsidR="00DE427C" w:rsidRDefault="00DE427C">
            <w:r>
              <w:t>Tracey Davies</w:t>
            </w:r>
          </w:p>
        </w:tc>
        <w:tc>
          <w:tcPr>
            <w:tcW w:w="6044" w:type="dxa"/>
          </w:tcPr>
          <w:p w14:paraId="4FD104F2" w14:textId="77777777" w:rsidR="00DE427C" w:rsidRDefault="00DE427C"/>
        </w:tc>
      </w:tr>
    </w:tbl>
    <w:p w14:paraId="3BBE9D8A" w14:textId="77777777" w:rsidR="00DE427C" w:rsidRPr="00DE427C" w:rsidRDefault="00DE427C"/>
    <w:sectPr w:rsidR="00DE427C" w:rsidRPr="00DE42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032B"/>
    <w:multiLevelType w:val="hybridMultilevel"/>
    <w:tmpl w:val="8C120ABC"/>
    <w:lvl w:ilvl="0" w:tplc="5DA84936">
      <w:start w:val="1"/>
      <w:numFmt w:val="decimal"/>
      <w:lvlText w:val="%1."/>
      <w:lvlJc w:val="left"/>
      <w:pPr>
        <w:ind w:left="77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D75FE"/>
    <w:multiLevelType w:val="hybridMultilevel"/>
    <w:tmpl w:val="CCB2592C"/>
    <w:lvl w:ilvl="0" w:tplc="714E4A8A">
      <w:start w:val="10"/>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A4D790">
      <w:start w:val="1"/>
      <w:numFmt w:val="low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E8BB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AA96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7288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7E38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A23D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C489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D29C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C03386"/>
    <w:multiLevelType w:val="hybridMultilevel"/>
    <w:tmpl w:val="CEE83036"/>
    <w:lvl w:ilvl="0" w:tplc="5DA84936">
      <w:start w:val="1"/>
      <w:numFmt w:val="decimal"/>
      <w:lvlText w:val="%1."/>
      <w:lvlJc w:val="left"/>
      <w:pPr>
        <w:ind w:left="77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06ED4"/>
    <w:multiLevelType w:val="hybridMultilevel"/>
    <w:tmpl w:val="B6880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1C6CF5"/>
    <w:multiLevelType w:val="hybridMultilevel"/>
    <w:tmpl w:val="8872130E"/>
    <w:lvl w:ilvl="0" w:tplc="7FF423C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A81B70">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DCA4EE">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5CFEF6">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BEFE04">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D4D41A">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FE1D78">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84BCE2">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7AE1FA">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801B16"/>
    <w:multiLevelType w:val="hybridMultilevel"/>
    <w:tmpl w:val="0BE6E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CF7E86"/>
    <w:multiLevelType w:val="hybridMultilevel"/>
    <w:tmpl w:val="6256E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142F1B"/>
    <w:multiLevelType w:val="hybridMultilevel"/>
    <w:tmpl w:val="C36A4E9C"/>
    <w:lvl w:ilvl="0" w:tplc="5DA84936">
      <w:start w:val="1"/>
      <w:numFmt w:val="decimal"/>
      <w:lvlText w:val="%1."/>
      <w:lvlJc w:val="left"/>
      <w:pPr>
        <w:ind w:left="77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D94C20"/>
    <w:multiLevelType w:val="hybridMultilevel"/>
    <w:tmpl w:val="56F8C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8C5D9C"/>
    <w:multiLevelType w:val="hybridMultilevel"/>
    <w:tmpl w:val="F6F25DA2"/>
    <w:lvl w:ilvl="0" w:tplc="83D623B8">
      <w:start w:val="7"/>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2A0A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1A34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A0F1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0634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4E82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CAB9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7653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8607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2722123"/>
    <w:multiLevelType w:val="hybridMultilevel"/>
    <w:tmpl w:val="33D24E5A"/>
    <w:lvl w:ilvl="0" w:tplc="5DA84936">
      <w:start w:val="1"/>
      <w:numFmt w:val="decimal"/>
      <w:lvlText w:val="%1."/>
      <w:lvlJc w:val="left"/>
      <w:pPr>
        <w:ind w:left="774" w:hanging="360"/>
      </w:pPr>
      <w:rPr>
        <w:b w:val="0"/>
      </w:rPr>
    </w:lvl>
    <w:lvl w:ilvl="1" w:tplc="08090019">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1" w15:restartNumberingAfterBreak="0">
    <w:nsid w:val="23C60EEB"/>
    <w:multiLevelType w:val="hybridMultilevel"/>
    <w:tmpl w:val="DEC4C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0C25FD"/>
    <w:multiLevelType w:val="hybridMultilevel"/>
    <w:tmpl w:val="1FA2E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535067"/>
    <w:multiLevelType w:val="hybridMultilevel"/>
    <w:tmpl w:val="0BE6E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700DFE"/>
    <w:multiLevelType w:val="hybridMultilevel"/>
    <w:tmpl w:val="048CD670"/>
    <w:lvl w:ilvl="0" w:tplc="5DA84936">
      <w:start w:val="1"/>
      <w:numFmt w:val="decimal"/>
      <w:lvlText w:val="%1."/>
      <w:lvlJc w:val="left"/>
      <w:pPr>
        <w:ind w:left="77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74255E"/>
    <w:multiLevelType w:val="hybridMultilevel"/>
    <w:tmpl w:val="0E9A8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4B3FE4"/>
    <w:multiLevelType w:val="hybridMultilevel"/>
    <w:tmpl w:val="A57AA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324FD2"/>
    <w:multiLevelType w:val="hybridMultilevel"/>
    <w:tmpl w:val="E64C8B9E"/>
    <w:lvl w:ilvl="0" w:tplc="A38E3116">
      <w:start w:val="16"/>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B84412">
      <w:start w:val="1"/>
      <w:numFmt w:val="low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AEDA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FA06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E44B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5E3E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D805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7016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3C57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C1A63D3"/>
    <w:multiLevelType w:val="hybridMultilevel"/>
    <w:tmpl w:val="CEC01F42"/>
    <w:lvl w:ilvl="0" w:tplc="C3D0A996">
      <w:start w:val="1"/>
      <w:numFmt w:val="lowerLetter"/>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745E87"/>
    <w:multiLevelType w:val="hybridMultilevel"/>
    <w:tmpl w:val="616A8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327513"/>
    <w:multiLevelType w:val="hybridMultilevel"/>
    <w:tmpl w:val="464EA166"/>
    <w:lvl w:ilvl="0" w:tplc="41F6EAF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0C4632">
      <w:start w:val="7"/>
      <w:numFmt w:val="low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6603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C08E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868F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E6A3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F0E7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0071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EEBB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B1976B6"/>
    <w:multiLevelType w:val="hybridMultilevel"/>
    <w:tmpl w:val="CCDA70E2"/>
    <w:lvl w:ilvl="0" w:tplc="EB526F46">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28948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369FA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AC7FA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E0FD0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E89C3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9A10D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60F80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5025D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BC073A3"/>
    <w:multiLevelType w:val="hybridMultilevel"/>
    <w:tmpl w:val="FCC0F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0E6AB7"/>
    <w:multiLevelType w:val="hybridMultilevel"/>
    <w:tmpl w:val="91E22934"/>
    <w:lvl w:ilvl="0" w:tplc="07DA818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E03144">
      <w:start w:val="1"/>
      <w:numFmt w:val="lowerLetter"/>
      <w:lvlText w:val="%2"/>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903C08">
      <w:start w:val="1"/>
      <w:numFmt w:val="lowerLetter"/>
      <w:lvlRestart w:val="0"/>
      <w:lvlText w:val="%3."/>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584CCA">
      <w:start w:val="1"/>
      <w:numFmt w:val="decimal"/>
      <w:lvlText w:val="%4"/>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1E27C4">
      <w:start w:val="1"/>
      <w:numFmt w:val="lowerLetter"/>
      <w:lvlText w:val="%5"/>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1A5AB4">
      <w:start w:val="1"/>
      <w:numFmt w:val="lowerRoman"/>
      <w:lvlText w:val="%6"/>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EA29B6">
      <w:start w:val="1"/>
      <w:numFmt w:val="decimal"/>
      <w:lvlText w:val="%7"/>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884500">
      <w:start w:val="1"/>
      <w:numFmt w:val="lowerLetter"/>
      <w:lvlText w:val="%8"/>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8C074E">
      <w:start w:val="1"/>
      <w:numFmt w:val="lowerRoman"/>
      <w:lvlText w:val="%9"/>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13373EC"/>
    <w:multiLevelType w:val="hybridMultilevel"/>
    <w:tmpl w:val="05F869F0"/>
    <w:lvl w:ilvl="0" w:tplc="7BA84DD6">
      <w:start w:val="18"/>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3C82AC">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BA25372">
      <w:start w:val="1"/>
      <w:numFmt w:val="bullet"/>
      <w:lvlText w:val="▪"/>
      <w:lvlJc w:val="left"/>
      <w:pPr>
        <w:ind w:left="15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AC4984">
      <w:start w:val="1"/>
      <w:numFmt w:val="bullet"/>
      <w:lvlText w:val="•"/>
      <w:lvlJc w:val="left"/>
      <w:pPr>
        <w:ind w:left="2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2C6D22">
      <w:start w:val="1"/>
      <w:numFmt w:val="bullet"/>
      <w:lvlText w:val="o"/>
      <w:lvlJc w:val="left"/>
      <w:pPr>
        <w:ind w:left="30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687CBA">
      <w:start w:val="1"/>
      <w:numFmt w:val="bullet"/>
      <w:lvlText w:val="▪"/>
      <w:lvlJc w:val="left"/>
      <w:pPr>
        <w:ind w:left="37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A89C82">
      <w:start w:val="1"/>
      <w:numFmt w:val="bullet"/>
      <w:lvlText w:val="•"/>
      <w:lvlJc w:val="left"/>
      <w:pPr>
        <w:ind w:left="4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8C801A">
      <w:start w:val="1"/>
      <w:numFmt w:val="bullet"/>
      <w:lvlText w:val="o"/>
      <w:lvlJc w:val="left"/>
      <w:pPr>
        <w:ind w:left="51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60F642">
      <w:start w:val="1"/>
      <w:numFmt w:val="bullet"/>
      <w:lvlText w:val="▪"/>
      <w:lvlJc w:val="left"/>
      <w:pPr>
        <w:ind w:left="58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7316418"/>
    <w:multiLevelType w:val="hybridMultilevel"/>
    <w:tmpl w:val="99A85B72"/>
    <w:lvl w:ilvl="0" w:tplc="5DA84936">
      <w:start w:val="1"/>
      <w:numFmt w:val="decimal"/>
      <w:lvlText w:val="%1."/>
      <w:lvlJc w:val="left"/>
      <w:pPr>
        <w:ind w:left="774" w:hanging="360"/>
      </w:pPr>
      <w:rPr>
        <w:b w:val="0"/>
      </w:rPr>
    </w:lvl>
    <w:lvl w:ilvl="1" w:tplc="08090019">
      <w:start w:val="1"/>
      <w:numFmt w:val="lowerLetter"/>
      <w:lvlText w:val="%2."/>
      <w:lvlJc w:val="left"/>
      <w:pPr>
        <w:ind w:left="1494" w:hanging="360"/>
      </w:pPr>
    </w:lvl>
    <w:lvl w:ilvl="2" w:tplc="0809001B">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6" w15:restartNumberingAfterBreak="0">
    <w:nsid w:val="7926796C"/>
    <w:multiLevelType w:val="hybridMultilevel"/>
    <w:tmpl w:val="CB449746"/>
    <w:lvl w:ilvl="0" w:tplc="5DA84936">
      <w:start w:val="1"/>
      <w:numFmt w:val="decimal"/>
      <w:lvlText w:val="%1."/>
      <w:lvlJc w:val="left"/>
      <w:pPr>
        <w:ind w:left="77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295E5E"/>
    <w:multiLevelType w:val="hybridMultilevel"/>
    <w:tmpl w:val="7BD88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A32D1B"/>
    <w:multiLevelType w:val="hybridMultilevel"/>
    <w:tmpl w:val="A05A22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DF7467E"/>
    <w:multiLevelType w:val="hybridMultilevel"/>
    <w:tmpl w:val="F934DBE8"/>
    <w:lvl w:ilvl="0" w:tplc="5DA84936">
      <w:start w:val="1"/>
      <w:numFmt w:val="decimal"/>
      <w:lvlText w:val="%1."/>
      <w:lvlJc w:val="left"/>
      <w:pPr>
        <w:ind w:left="774" w:hanging="360"/>
      </w:pPr>
      <w:rPr>
        <w:b w:val="0"/>
      </w:rPr>
    </w:lvl>
    <w:lvl w:ilvl="1" w:tplc="08090019">
      <w:start w:val="1"/>
      <w:numFmt w:val="lowerLetter"/>
      <w:lvlText w:val="%2."/>
      <w:lvlJc w:val="left"/>
      <w:pPr>
        <w:ind w:left="1494" w:hanging="360"/>
      </w:pPr>
    </w:lvl>
    <w:lvl w:ilvl="2" w:tplc="0809001B">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num w:numId="1">
    <w:abstractNumId w:val="29"/>
  </w:num>
  <w:num w:numId="2">
    <w:abstractNumId w:val="7"/>
  </w:num>
  <w:num w:numId="3">
    <w:abstractNumId w:val="0"/>
  </w:num>
  <w:num w:numId="4">
    <w:abstractNumId w:val="10"/>
  </w:num>
  <w:num w:numId="5">
    <w:abstractNumId w:val="14"/>
  </w:num>
  <w:num w:numId="6">
    <w:abstractNumId w:val="2"/>
  </w:num>
  <w:num w:numId="7">
    <w:abstractNumId w:val="26"/>
  </w:num>
  <w:num w:numId="8">
    <w:abstractNumId w:val="27"/>
  </w:num>
  <w:num w:numId="9">
    <w:abstractNumId w:val="15"/>
  </w:num>
  <w:num w:numId="10">
    <w:abstractNumId w:val="19"/>
  </w:num>
  <w:num w:numId="11">
    <w:abstractNumId w:val="5"/>
  </w:num>
  <w:num w:numId="12">
    <w:abstractNumId w:val="13"/>
  </w:num>
  <w:num w:numId="13">
    <w:abstractNumId w:val="18"/>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4"/>
  </w:num>
  <w:num w:numId="17">
    <w:abstractNumId w:val="21"/>
  </w:num>
  <w:num w:numId="18">
    <w:abstractNumId w:val="9"/>
  </w:num>
  <w:num w:numId="19">
    <w:abstractNumId w:val="1"/>
  </w:num>
  <w:num w:numId="20">
    <w:abstractNumId w:val="17"/>
  </w:num>
  <w:num w:numId="21">
    <w:abstractNumId w:val="20"/>
  </w:num>
  <w:num w:numId="22">
    <w:abstractNumId w:val="24"/>
  </w:num>
  <w:num w:numId="23">
    <w:abstractNumId w:val="23"/>
  </w:num>
  <w:num w:numId="24">
    <w:abstractNumId w:val="22"/>
  </w:num>
  <w:num w:numId="25">
    <w:abstractNumId w:val="3"/>
  </w:num>
  <w:num w:numId="26">
    <w:abstractNumId w:val="11"/>
  </w:num>
  <w:num w:numId="27">
    <w:abstractNumId w:val="6"/>
  </w:num>
  <w:num w:numId="28">
    <w:abstractNumId w:val="16"/>
  </w:num>
  <w:num w:numId="29">
    <w:abstractNumId w:val="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FC7"/>
    <w:rsid w:val="0000454E"/>
    <w:rsid w:val="00005842"/>
    <w:rsid w:val="0001062E"/>
    <w:rsid w:val="00011289"/>
    <w:rsid w:val="00011B98"/>
    <w:rsid w:val="0001454C"/>
    <w:rsid w:val="00015242"/>
    <w:rsid w:val="00015974"/>
    <w:rsid w:val="00015AEF"/>
    <w:rsid w:val="0003260F"/>
    <w:rsid w:val="00037B12"/>
    <w:rsid w:val="00044FD6"/>
    <w:rsid w:val="000478B9"/>
    <w:rsid w:val="000551F5"/>
    <w:rsid w:val="00062A78"/>
    <w:rsid w:val="00063D85"/>
    <w:rsid w:val="00073754"/>
    <w:rsid w:val="00074909"/>
    <w:rsid w:val="00076FCF"/>
    <w:rsid w:val="000806EC"/>
    <w:rsid w:val="00080E20"/>
    <w:rsid w:val="00091211"/>
    <w:rsid w:val="000937B2"/>
    <w:rsid w:val="000B7460"/>
    <w:rsid w:val="000C21B1"/>
    <w:rsid w:val="000C7838"/>
    <w:rsid w:val="000D1F23"/>
    <w:rsid w:val="000D2F1A"/>
    <w:rsid w:val="000D55C1"/>
    <w:rsid w:val="000D7594"/>
    <w:rsid w:val="000E5046"/>
    <w:rsid w:val="000F1BE6"/>
    <w:rsid w:val="0010127B"/>
    <w:rsid w:val="00105040"/>
    <w:rsid w:val="00112CC5"/>
    <w:rsid w:val="00114196"/>
    <w:rsid w:val="00116ABA"/>
    <w:rsid w:val="00143B64"/>
    <w:rsid w:val="00150429"/>
    <w:rsid w:val="00151909"/>
    <w:rsid w:val="00156B31"/>
    <w:rsid w:val="00180AE3"/>
    <w:rsid w:val="00181D22"/>
    <w:rsid w:val="00182909"/>
    <w:rsid w:val="001838FE"/>
    <w:rsid w:val="001875C1"/>
    <w:rsid w:val="001905C2"/>
    <w:rsid w:val="00190674"/>
    <w:rsid w:val="001961A5"/>
    <w:rsid w:val="00196A31"/>
    <w:rsid w:val="001A0A2B"/>
    <w:rsid w:val="001A348D"/>
    <w:rsid w:val="001B5CF5"/>
    <w:rsid w:val="001C7361"/>
    <w:rsid w:val="001C7A4F"/>
    <w:rsid w:val="001D1777"/>
    <w:rsid w:val="001D2628"/>
    <w:rsid w:val="001D6A88"/>
    <w:rsid w:val="001D7C8C"/>
    <w:rsid w:val="001E5B6A"/>
    <w:rsid w:val="001F4E63"/>
    <w:rsid w:val="001F650F"/>
    <w:rsid w:val="00200390"/>
    <w:rsid w:val="002045AA"/>
    <w:rsid w:val="002230F2"/>
    <w:rsid w:val="0022551B"/>
    <w:rsid w:val="00226A9A"/>
    <w:rsid w:val="002271E9"/>
    <w:rsid w:val="0023272D"/>
    <w:rsid w:val="00233A12"/>
    <w:rsid w:val="002470A4"/>
    <w:rsid w:val="00250747"/>
    <w:rsid w:val="00262F5E"/>
    <w:rsid w:val="002641F6"/>
    <w:rsid w:val="00275D6D"/>
    <w:rsid w:val="002A0A17"/>
    <w:rsid w:val="002A36CE"/>
    <w:rsid w:val="002A6604"/>
    <w:rsid w:val="002B663A"/>
    <w:rsid w:val="002C7599"/>
    <w:rsid w:val="002D392C"/>
    <w:rsid w:val="002D6ACB"/>
    <w:rsid w:val="002D6F0C"/>
    <w:rsid w:val="002D7C5B"/>
    <w:rsid w:val="002E174A"/>
    <w:rsid w:val="002E2DDF"/>
    <w:rsid w:val="002F2DD9"/>
    <w:rsid w:val="00315FBF"/>
    <w:rsid w:val="00317A59"/>
    <w:rsid w:val="003207CD"/>
    <w:rsid w:val="003261B2"/>
    <w:rsid w:val="0033229F"/>
    <w:rsid w:val="0033261A"/>
    <w:rsid w:val="00332EF2"/>
    <w:rsid w:val="0033435F"/>
    <w:rsid w:val="00342705"/>
    <w:rsid w:val="00347BC5"/>
    <w:rsid w:val="0035117A"/>
    <w:rsid w:val="003622FE"/>
    <w:rsid w:val="0036791D"/>
    <w:rsid w:val="003713C9"/>
    <w:rsid w:val="003741CD"/>
    <w:rsid w:val="003757A1"/>
    <w:rsid w:val="00381974"/>
    <w:rsid w:val="003924B7"/>
    <w:rsid w:val="003A2DB2"/>
    <w:rsid w:val="003B00F8"/>
    <w:rsid w:val="003C1384"/>
    <w:rsid w:val="003C3255"/>
    <w:rsid w:val="003C3FDC"/>
    <w:rsid w:val="003D0DE2"/>
    <w:rsid w:val="003D19AF"/>
    <w:rsid w:val="003D29C6"/>
    <w:rsid w:val="003D3006"/>
    <w:rsid w:val="003D5639"/>
    <w:rsid w:val="003D6F59"/>
    <w:rsid w:val="003E56FB"/>
    <w:rsid w:val="003F1017"/>
    <w:rsid w:val="003F217D"/>
    <w:rsid w:val="00401882"/>
    <w:rsid w:val="00410350"/>
    <w:rsid w:val="00412B1D"/>
    <w:rsid w:val="0041370E"/>
    <w:rsid w:val="004228EF"/>
    <w:rsid w:val="00424ECA"/>
    <w:rsid w:val="00432ADE"/>
    <w:rsid w:val="00433C54"/>
    <w:rsid w:val="0043519B"/>
    <w:rsid w:val="00436B5D"/>
    <w:rsid w:val="004478A0"/>
    <w:rsid w:val="004532F6"/>
    <w:rsid w:val="00456911"/>
    <w:rsid w:val="0046327D"/>
    <w:rsid w:val="004724F6"/>
    <w:rsid w:val="00475960"/>
    <w:rsid w:val="00477EB1"/>
    <w:rsid w:val="0048088B"/>
    <w:rsid w:val="0048331E"/>
    <w:rsid w:val="004A383F"/>
    <w:rsid w:val="004A397B"/>
    <w:rsid w:val="004A7392"/>
    <w:rsid w:val="004B6AF3"/>
    <w:rsid w:val="004C44F2"/>
    <w:rsid w:val="004C5A32"/>
    <w:rsid w:val="004C755F"/>
    <w:rsid w:val="004C7D10"/>
    <w:rsid w:val="004D23A3"/>
    <w:rsid w:val="004D5C19"/>
    <w:rsid w:val="004E3272"/>
    <w:rsid w:val="004E440A"/>
    <w:rsid w:val="004E5B08"/>
    <w:rsid w:val="004F0247"/>
    <w:rsid w:val="004F6D3D"/>
    <w:rsid w:val="005127DD"/>
    <w:rsid w:val="0051357E"/>
    <w:rsid w:val="00514A8A"/>
    <w:rsid w:val="00521049"/>
    <w:rsid w:val="00521DBC"/>
    <w:rsid w:val="00533C58"/>
    <w:rsid w:val="005429FA"/>
    <w:rsid w:val="00542B09"/>
    <w:rsid w:val="00543F21"/>
    <w:rsid w:val="00545441"/>
    <w:rsid w:val="005526F3"/>
    <w:rsid w:val="00552C05"/>
    <w:rsid w:val="00554D5E"/>
    <w:rsid w:val="00557C33"/>
    <w:rsid w:val="005604A7"/>
    <w:rsid w:val="00561738"/>
    <w:rsid w:val="00562B63"/>
    <w:rsid w:val="005658F0"/>
    <w:rsid w:val="00570358"/>
    <w:rsid w:val="005721EB"/>
    <w:rsid w:val="00576051"/>
    <w:rsid w:val="00577EB9"/>
    <w:rsid w:val="005847BF"/>
    <w:rsid w:val="0059154E"/>
    <w:rsid w:val="005A0416"/>
    <w:rsid w:val="005A18CA"/>
    <w:rsid w:val="005A1978"/>
    <w:rsid w:val="005A3D7F"/>
    <w:rsid w:val="005A53CE"/>
    <w:rsid w:val="005A5F86"/>
    <w:rsid w:val="005A650A"/>
    <w:rsid w:val="005B543A"/>
    <w:rsid w:val="005C5467"/>
    <w:rsid w:val="005D482C"/>
    <w:rsid w:val="005D611B"/>
    <w:rsid w:val="005D7262"/>
    <w:rsid w:val="005E168F"/>
    <w:rsid w:val="005E314A"/>
    <w:rsid w:val="005E6384"/>
    <w:rsid w:val="0061348D"/>
    <w:rsid w:val="00616BD8"/>
    <w:rsid w:val="006173BF"/>
    <w:rsid w:val="00621465"/>
    <w:rsid w:val="0062214F"/>
    <w:rsid w:val="00624D3C"/>
    <w:rsid w:val="00631656"/>
    <w:rsid w:val="00632574"/>
    <w:rsid w:val="00646706"/>
    <w:rsid w:val="00646A60"/>
    <w:rsid w:val="006510B5"/>
    <w:rsid w:val="006533DF"/>
    <w:rsid w:val="00660082"/>
    <w:rsid w:val="00660574"/>
    <w:rsid w:val="0066197A"/>
    <w:rsid w:val="00663EAA"/>
    <w:rsid w:val="00665510"/>
    <w:rsid w:val="00665FFB"/>
    <w:rsid w:val="0066713A"/>
    <w:rsid w:val="0067131B"/>
    <w:rsid w:val="0067375A"/>
    <w:rsid w:val="00673ED4"/>
    <w:rsid w:val="00676397"/>
    <w:rsid w:val="006810A6"/>
    <w:rsid w:val="006838A6"/>
    <w:rsid w:val="006A62A4"/>
    <w:rsid w:val="006A6868"/>
    <w:rsid w:val="006A747D"/>
    <w:rsid w:val="006B2634"/>
    <w:rsid w:val="006C1239"/>
    <w:rsid w:val="006C5A7A"/>
    <w:rsid w:val="006D012A"/>
    <w:rsid w:val="006D28B2"/>
    <w:rsid w:val="006E527A"/>
    <w:rsid w:val="006E6601"/>
    <w:rsid w:val="006F36BC"/>
    <w:rsid w:val="006F5603"/>
    <w:rsid w:val="006F5674"/>
    <w:rsid w:val="006F5EB2"/>
    <w:rsid w:val="007037F6"/>
    <w:rsid w:val="00712157"/>
    <w:rsid w:val="007170F7"/>
    <w:rsid w:val="00717A96"/>
    <w:rsid w:val="00724CBA"/>
    <w:rsid w:val="0072530E"/>
    <w:rsid w:val="007402D7"/>
    <w:rsid w:val="007507EC"/>
    <w:rsid w:val="00766C85"/>
    <w:rsid w:val="0077544C"/>
    <w:rsid w:val="0077581D"/>
    <w:rsid w:val="00781288"/>
    <w:rsid w:val="0078169D"/>
    <w:rsid w:val="00781E4B"/>
    <w:rsid w:val="00783106"/>
    <w:rsid w:val="00784CE3"/>
    <w:rsid w:val="00787697"/>
    <w:rsid w:val="00794AD6"/>
    <w:rsid w:val="00797D59"/>
    <w:rsid w:val="007A5B33"/>
    <w:rsid w:val="007B3F47"/>
    <w:rsid w:val="007C50E3"/>
    <w:rsid w:val="007F1210"/>
    <w:rsid w:val="007F2C01"/>
    <w:rsid w:val="007F3756"/>
    <w:rsid w:val="007F4925"/>
    <w:rsid w:val="007F4DF0"/>
    <w:rsid w:val="008012EE"/>
    <w:rsid w:val="008060D6"/>
    <w:rsid w:val="008116A9"/>
    <w:rsid w:val="008164CF"/>
    <w:rsid w:val="0082017D"/>
    <w:rsid w:val="0082093F"/>
    <w:rsid w:val="008239C9"/>
    <w:rsid w:val="00824A3C"/>
    <w:rsid w:val="00825F2D"/>
    <w:rsid w:val="00825F4F"/>
    <w:rsid w:val="008445DA"/>
    <w:rsid w:val="00844AB5"/>
    <w:rsid w:val="00853F54"/>
    <w:rsid w:val="008618A4"/>
    <w:rsid w:val="00866C01"/>
    <w:rsid w:val="00876A68"/>
    <w:rsid w:val="00892F4D"/>
    <w:rsid w:val="00896A53"/>
    <w:rsid w:val="00897E94"/>
    <w:rsid w:val="008A0D35"/>
    <w:rsid w:val="008A22AB"/>
    <w:rsid w:val="008B7C94"/>
    <w:rsid w:val="008C0E2B"/>
    <w:rsid w:val="008C5940"/>
    <w:rsid w:val="008E4335"/>
    <w:rsid w:val="008F02C6"/>
    <w:rsid w:val="00906042"/>
    <w:rsid w:val="00914840"/>
    <w:rsid w:val="009223DF"/>
    <w:rsid w:val="00923D02"/>
    <w:rsid w:val="00925727"/>
    <w:rsid w:val="0093340F"/>
    <w:rsid w:val="00943AE7"/>
    <w:rsid w:val="00943AF1"/>
    <w:rsid w:val="00944E90"/>
    <w:rsid w:val="009455CE"/>
    <w:rsid w:val="00957633"/>
    <w:rsid w:val="0096174B"/>
    <w:rsid w:val="0097647C"/>
    <w:rsid w:val="00986F7A"/>
    <w:rsid w:val="009948DB"/>
    <w:rsid w:val="009964CC"/>
    <w:rsid w:val="00996BD2"/>
    <w:rsid w:val="00997F34"/>
    <w:rsid w:val="009A27C0"/>
    <w:rsid w:val="009B652C"/>
    <w:rsid w:val="009C264A"/>
    <w:rsid w:val="009C322F"/>
    <w:rsid w:val="009C4F52"/>
    <w:rsid w:val="009C5FC3"/>
    <w:rsid w:val="009C7C3A"/>
    <w:rsid w:val="009D0C32"/>
    <w:rsid w:val="009E41D0"/>
    <w:rsid w:val="009F11CA"/>
    <w:rsid w:val="00A02B09"/>
    <w:rsid w:val="00A04020"/>
    <w:rsid w:val="00A04C3F"/>
    <w:rsid w:val="00A07302"/>
    <w:rsid w:val="00A20772"/>
    <w:rsid w:val="00A23480"/>
    <w:rsid w:val="00A24661"/>
    <w:rsid w:val="00A271BB"/>
    <w:rsid w:val="00A35F34"/>
    <w:rsid w:val="00A362AE"/>
    <w:rsid w:val="00A40301"/>
    <w:rsid w:val="00A415B8"/>
    <w:rsid w:val="00A41FCB"/>
    <w:rsid w:val="00A43485"/>
    <w:rsid w:val="00A4528F"/>
    <w:rsid w:val="00A503C9"/>
    <w:rsid w:val="00A5244D"/>
    <w:rsid w:val="00A5251F"/>
    <w:rsid w:val="00A56B4A"/>
    <w:rsid w:val="00A6158B"/>
    <w:rsid w:val="00A731C4"/>
    <w:rsid w:val="00A74E46"/>
    <w:rsid w:val="00A74FA8"/>
    <w:rsid w:val="00A8226B"/>
    <w:rsid w:val="00A82AD1"/>
    <w:rsid w:val="00A833BE"/>
    <w:rsid w:val="00A92F75"/>
    <w:rsid w:val="00A957B9"/>
    <w:rsid w:val="00A96C70"/>
    <w:rsid w:val="00AB251C"/>
    <w:rsid w:val="00AC5A7B"/>
    <w:rsid w:val="00AC6E91"/>
    <w:rsid w:val="00AD3399"/>
    <w:rsid w:val="00AD7FB4"/>
    <w:rsid w:val="00AE1666"/>
    <w:rsid w:val="00AE1752"/>
    <w:rsid w:val="00AF1B7E"/>
    <w:rsid w:val="00AF3C1E"/>
    <w:rsid w:val="00AF40EB"/>
    <w:rsid w:val="00AF764A"/>
    <w:rsid w:val="00B009DD"/>
    <w:rsid w:val="00B04445"/>
    <w:rsid w:val="00B07736"/>
    <w:rsid w:val="00B14553"/>
    <w:rsid w:val="00B20595"/>
    <w:rsid w:val="00B30346"/>
    <w:rsid w:val="00B30CCB"/>
    <w:rsid w:val="00B40443"/>
    <w:rsid w:val="00B40EAC"/>
    <w:rsid w:val="00B52FDE"/>
    <w:rsid w:val="00B5412C"/>
    <w:rsid w:val="00B56E80"/>
    <w:rsid w:val="00B62465"/>
    <w:rsid w:val="00B64097"/>
    <w:rsid w:val="00B72B72"/>
    <w:rsid w:val="00B833A2"/>
    <w:rsid w:val="00B84BC6"/>
    <w:rsid w:val="00B866D2"/>
    <w:rsid w:val="00B960EF"/>
    <w:rsid w:val="00B96334"/>
    <w:rsid w:val="00B9738A"/>
    <w:rsid w:val="00BA3D43"/>
    <w:rsid w:val="00BB4252"/>
    <w:rsid w:val="00BB4F7E"/>
    <w:rsid w:val="00BC2A7B"/>
    <w:rsid w:val="00BC4A1E"/>
    <w:rsid w:val="00BC5D84"/>
    <w:rsid w:val="00BC7398"/>
    <w:rsid w:val="00BD1DD4"/>
    <w:rsid w:val="00BD4327"/>
    <w:rsid w:val="00BD4925"/>
    <w:rsid w:val="00BD4D13"/>
    <w:rsid w:val="00BD5B09"/>
    <w:rsid w:val="00BD6C24"/>
    <w:rsid w:val="00BE4409"/>
    <w:rsid w:val="00BE7FC7"/>
    <w:rsid w:val="00BF642D"/>
    <w:rsid w:val="00BF75AF"/>
    <w:rsid w:val="00C07337"/>
    <w:rsid w:val="00C109FE"/>
    <w:rsid w:val="00C16804"/>
    <w:rsid w:val="00C17933"/>
    <w:rsid w:val="00C22F80"/>
    <w:rsid w:val="00C26945"/>
    <w:rsid w:val="00C27D81"/>
    <w:rsid w:val="00C3152F"/>
    <w:rsid w:val="00C3405F"/>
    <w:rsid w:val="00C44119"/>
    <w:rsid w:val="00C47B30"/>
    <w:rsid w:val="00C50A81"/>
    <w:rsid w:val="00C56525"/>
    <w:rsid w:val="00C64488"/>
    <w:rsid w:val="00C73261"/>
    <w:rsid w:val="00C842B2"/>
    <w:rsid w:val="00C84721"/>
    <w:rsid w:val="00CA18E3"/>
    <w:rsid w:val="00CA1A30"/>
    <w:rsid w:val="00CB6F23"/>
    <w:rsid w:val="00CD1825"/>
    <w:rsid w:val="00CD371C"/>
    <w:rsid w:val="00CD3DE2"/>
    <w:rsid w:val="00CD434D"/>
    <w:rsid w:val="00CE35EB"/>
    <w:rsid w:val="00CE3AC3"/>
    <w:rsid w:val="00CE7D63"/>
    <w:rsid w:val="00CF3400"/>
    <w:rsid w:val="00CF58F1"/>
    <w:rsid w:val="00CF6711"/>
    <w:rsid w:val="00D054B0"/>
    <w:rsid w:val="00D1574A"/>
    <w:rsid w:val="00D16BC6"/>
    <w:rsid w:val="00D16F25"/>
    <w:rsid w:val="00D20229"/>
    <w:rsid w:val="00D25DF5"/>
    <w:rsid w:val="00D35556"/>
    <w:rsid w:val="00D453B4"/>
    <w:rsid w:val="00D46475"/>
    <w:rsid w:val="00D46DA8"/>
    <w:rsid w:val="00D47C04"/>
    <w:rsid w:val="00D50732"/>
    <w:rsid w:val="00D53526"/>
    <w:rsid w:val="00D54723"/>
    <w:rsid w:val="00D54B0A"/>
    <w:rsid w:val="00D559ED"/>
    <w:rsid w:val="00D611CF"/>
    <w:rsid w:val="00D64966"/>
    <w:rsid w:val="00D663F0"/>
    <w:rsid w:val="00D71750"/>
    <w:rsid w:val="00D749CB"/>
    <w:rsid w:val="00D76A8F"/>
    <w:rsid w:val="00D87C52"/>
    <w:rsid w:val="00D951CF"/>
    <w:rsid w:val="00D97E0B"/>
    <w:rsid w:val="00DB35B2"/>
    <w:rsid w:val="00DB6F4A"/>
    <w:rsid w:val="00DD3EEF"/>
    <w:rsid w:val="00DE427C"/>
    <w:rsid w:val="00DF10A8"/>
    <w:rsid w:val="00DF7D0C"/>
    <w:rsid w:val="00E1224F"/>
    <w:rsid w:val="00E176A5"/>
    <w:rsid w:val="00E17CD9"/>
    <w:rsid w:val="00E21FEF"/>
    <w:rsid w:val="00E24395"/>
    <w:rsid w:val="00E27891"/>
    <w:rsid w:val="00E36D9D"/>
    <w:rsid w:val="00E401BB"/>
    <w:rsid w:val="00E40F86"/>
    <w:rsid w:val="00E42717"/>
    <w:rsid w:val="00E457DF"/>
    <w:rsid w:val="00E507CF"/>
    <w:rsid w:val="00E52443"/>
    <w:rsid w:val="00E55DD8"/>
    <w:rsid w:val="00E57B34"/>
    <w:rsid w:val="00E61951"/>
    <w:rsid w:val="00E625E8"/>
    <w:rsid w:val="00E76582"/>
    <w:rsid w:val="00E76DA9"/>
    <w:rsid w:val="00E85FF9"/>
    <w:rsid w:val="00E917EB"/>
    <w:rsid w:val="00E9354E"/>
    <w:rsid w:val="00EA2C29"/>
    <w:rsid w:val="00EA4757"/>
    <w:rsid w:val="00EA4C75"/>
    <w:rsid w:val="00EA5101"/>
    <w:rsid w:val="00EB5316"/>
    <w:rsid w:val="00EC3D88"/>
    <w:rsid w:val="00ED186B"/>
    <w:rsid w:val="00ED7B97"/>
    <w:rsid w:val="00EE39E2"/>
    <w:rsid w:val="00EE7E5D"/>
    <w:rsid w:val="00EF08BD"/>
    <w:rsid w:val="00EF58B0"/>
    <w:rsid w:val="00EF6081"/>
    <w:rsid w:val="00F15420"/>
    <w:rsid w:val="00F21833"/>
    <w:rsid w:val="00F21CC6"/>
    <w:rsid w:val="00F31034"/>
    <w:rsid w:val="00F35521"/>
    <w:rsid w:val="00F44798"/>
    <w:rsid w:val="00F45044"/>
    <w:rsid w:val="00F559EA"/>
    <w:rsid w:val="00F74268"/>
    <w:rsid w:val="00F8478C"/>
    <w:rsid w:val="00FA09BE"/>
    <w:rsid w:val="00FA2EEB"/>
    <w:rsid w:val="00FA5CD3"/>
    <w:rsid w:val="00FA5F23"/>
    <w:rsid w:val="00FA7786"/>
    <w:rsid w:val="00FB0460"/>
    <w:rsid w:val="00FB05DB"/>
    <w:rsid w:val="00FB2F00"/>
    <w:rsid w:val="00FB5C49"/>
    <w:rsid w:val="00FB7734"/>
    <w:rsid w:val="00FC1187"/>
    <w:rsid w:val="00FC62D5"/>
    <w:rsid w:val="00FC7A83"/>
    <w:rsid w:val="00FD1E9C"/>
    <w:rsid w:val="00FD23CE"/>
    <w:rsid w:val="00FD71B0"/>
    <w:rsid w:val="00FE0E88"/>
    <w:rsid w:val="00FE508E"/>
    <w:rsid w:val="00FE6EB3"/>
    <w:rsid w:val="00FF03F8"/>
    <w:rsid w:val="00FF650A"/>
    <w:rsid w:val="0B79B75B"/>
    <w:rsid w:val="14A6BE81"/>
    <w:rsid w:val="25B22766"/>
    <w:rsid w:val="517D7897"/>
    <w:rsid w:val="57089E54"/>
    <w:rsid w:val="5B292284"/>
    <w:rsid w:val="6EE39F6F"/>
    <w:rsid w:val="7652CFC5"/>
    <w:rsid w:val="79DEB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CF7C3"/>
  <w15:chartTrackingRefBased/>
  <w15:docId w15:val="{81BD568C-1CE8-4728-900A-B5CAD9F8D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next w:val="Normal"/>
    <w:link w:val="Heading1Char"/>
    <w:uiPriority w:val="9"/>
    <w:unhideWhenUsed/>
    <w:qFormat/>
    <w:rsid w:val="005A5F86"/>
    <w:pPr>
      <w:keepNext/>
      <w:keepLines/>
      <w:spacing w:after="0" w:line="265" w:lineRule="auto"/>
      <w:ind w:left="10" w:right="5" w:hanging="10"/>
      <w:outlineLvl w:val="0"/>
    </w:pPr>
    <w:rPr>
      <w:rFonts w:ascii="Times New Roman" w:eastAsia="Times New Roman" w:hAnsi="Times New Roman" w:cs="Times New Roman"/>
      <w:b/>
      <w:color w:val="000000"/>
      <w:sz w:val="24"/>
      <w:lang w:eastAsia="en-GB"/>
    </w:rPr>
  </w:style>
  <w:style w:type="paragraph" w:styleId="Heading2">
    <w:name w:val="heading 2"/>
    <w:next w:val="Normal"/>
    <w:link w:val="Heading2Char"/>
    <w:uiPriority w:val="9"/>
    <w:unhideWhenUsed/>
    <w:qFormat/>
    <w:rsid w:val="005A5F86"/>
    <w:pPr>
      <w:keepNext/>
      <w:keepLines/>
      <w:spacing w:after="258"/>
      <w:ind w:left="437" w:hanging="10"/>
      <w:jc w:val="both"/>
      <w:outlineLvl w:val="1"/>
    </w:pPr>
    <w:rPr>
      <w:rFonts w:ascii="Times New Roman" w:eastAsia="Times New Roman" w:hAnsi="Times New Roman" w:cs="Times New Roman"/>
      <w:i/>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7EC"/>
    <w:pPr>
      <w:ind w:left="720"/>
      <w:contextualSpacing/>
    </w:pPr>
  </w:style>
  <w:style w:type="paragraph" w:styleId="BalloonText">
    <w:name w:val="Balloon Text"/>
    <w:basedOn w:val="Normal"/>
    <w:link w:val="BalloonTextChar"/>
    <w:uiPriority w:val="99"/>
    <w:semiHidden/>
    <w:unhideWhenUsed/>
    <w:rsid w:val="00187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5C1"/>
    <w:rPr>
      <w:rFonts w:ascii="Segoe UI" w:hAnsi="Segoe UI" w:cs="Segoe UI"/>
      <w:sz w:val="18"/>
      <w:szCs w:val="18"/>
    </w:rPr>
  </w:style>
  <w:style w:type="paragraph" w:styleId="NormalWeb">
    <w:name w:val="Normal (Web)"/>
    <w:basedOn w:val="Normal"/>
    <w:uiPriority w:val="99"/>
    <w:semiHidden/>
    <w:unhideWhenUsed/>
    <w:rsid w:val="006F5603"/>
    <w:pPr>
      <w:spacing w:before="100" w:beforeAutospacing="1" w:after="100" w:afterAutospacing="1" w:line="240" w:lineRule="auto"/>
    </w:pPr>
    <w:rPr>
      <w:rFonts w:ascii="Calibri" w:hAnsi="Calibri" w:cs="Calibri"/>
      <w:lang w:eastAsia="en-GB"/>
    </w:rPr>
  </w:style>
  <w:style w:type="paragraph" w:customStyle="1" w:styleId="Agendatext">
    <w:name w:val="Agenda text"/>
    <w:basedOn w:val="Normal"/>
    <w:qFormat/>
    <w:rsid w:val="00200390"/>
    <w:pPr>
      <w:tabs>
        <w:tab w:val="left" w:pos="1304"/>
      </w:tabs>
      <w:suppressAutoHyphens/>
      <w:spacing w:after="0" w:line="260" w:lineRule="exact"/>
      <w:ind w:left="1304"/>
    </w:pPr>
    <w:rPr>
      <w:rFonts w:ascii="Calibri" w:eastAsiaTheme="majorEastAsia" w:hAnsi="Calibri" w:cstheme="majorBidi"/>
      <w:bCs/>
      <w:color w:val="000000" w:themeColor="text1"/>
      <w:szCs w:val="32"/>
    </w:rPr>
  </w:style>
  <w:style w:type="character" w:styleId="Hyperlink">
    <w:name w:val="Hyperlink"/>
    <w:basedOn w:val="DefaultParagraphFont"/>
    <w:uiPriority w:val="99"/>
    <w:unhideWhenUsed/>
    <w:rsid w:val="00EA2C29"/>
    <w:rPr>
      <w:color w:val="0563C1" w:themeColor="hyperlink"/>
      <w:u w:val="single"/>
    </w:rPr>
  </w:style>
  <w:style w:type="character" w:customStyle="1" w:styleId="UnresolvedMention1">
    <w:name w:val="Unresolved Mention1"/>
    <w:basedOn w:val="DefaultParagraphFont"/>
    <w:uiPriority w:val="99"/>
    <w:semiHidden/>
    <w:unhideWhenUsed/>
    <w:rsid w:val="00EA2C29"/>
    <w:rPr>
      <w:color w:val="605E5C"/>
      <w:shd w:val="clear" w:color="auto" w:fill="E1DFDD"/>
    </w:rPr>
  </w:style>
  <w:style w:type="character" w:customStyle="1" w:styleId="Heading1Char">
    <w:name w:val="Heading 1 Char"/>
    <w:basedOn w:val="DefaultParagraphFont"/>
    <w:link w:val="Heading1"/>
    <w:uiPriority w:val="9"/>
    <w:rsid w:val="005A5F86"/>
    <w:rPr>
      <w:rFonts w:ascii="Times New Roman" w:eastAsia="Times New Roman" w:hAnsi="Times New Roman" w:cs="Times New Roman"/>
      <w:b/>
      <w:color w:val="000000"/>
      <w:sz w:val="24"/>
      <w:lang w:eastAsia="en-GB"/>
    </w:rPr>
  </w:style>
  <w:style w:type="character" w:customStyle="1" w:styleId="Heading2Char">
    <w:name w:val="Heading 2 Char"/>
    <w:basedOn w:val="DefaultParagraphFont"/>
    <w:link w:val="Heading2"/>
    <w:uiPriority w:val="9"/>
    <w:rsid w:val="005A5F86"/>
    <w:rPr>
      <w:rFonts w:ascii="Times New Roman" w:eastAsia="Times New Roman" w:hAnsi="Times New Roman" w:cs="Times New Roman"/>
      <w:i/>
      <w:color w:val="000000"/>
      <w:sz w:val="24"/>
      <w:lang w:eastAsia="en-GB"/>
    </w:rPr>
  </w:style>
  <w:style w:type="table" w:customStyle="1" w:styleId="TableGrid">
    <w:name w:val="TableGrid"/>
    <w:rsid w:val="005A5F86"/>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DE4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4798"/>
    <w:rPr>
      <w:sz w:val="16"/>
      <w:szCs w:val="16"/>
    </w:rPr>
  </w:style>
  <w:style w:type="paragraph" w:styleId="CommentText">
    <w:name w:val="annotation text"/>
    <w:basedOn w:val="Normal"/>
    <w:link w:val="CommentTextChar"/>
    <w:uiPriority w:val="99"/>
    <w:semiHidden/>
    <w:unhideWhenUsed/>
    <w:rsid w:val="00F44798"/>
    <w:pPr>
      <w:spacing w:line="240" w:lineRule="auto"/>
    </w:pPr>
    <w:rPr>
      <w:sz w:val="20"/>
      <w:szCs w:val="20"/>
    </w:rPr>
  </w:style>
  <w:style w:type="character" w:customStyle="1" w:styleId="CommentTextChar">
    <w:name w:val="Comment Text Char"/>
    <w:basedOn w:val="DefaultParagraphFont"/>
    <w:link w:val="CommentText"/>
    <w:uiPriority w:val="99"/>
    <w:semiHidden/>
    <w:rsid w:val="00F44798"/>
    <w:rPr>
      <w:sz w:val="20"/>
      <w:szCs w:val="20"/>
    </w:rPr>
  </w:style>
  <w:style w:type="paragraph" w:styleId="CommentSubject">
    <w:name w:val="annotation subject"/>
    <w:basedOn w:val="CommentText"/>
    <w:next w:val="CommentText"/>
    <w:link w:val="CommentSubjectChar"/>
    <w:uiPriority w:val="99"/>
    <w:semiHidden/>
    <w:unhideWhenUsed/>
    <w:rsid w:val="00F44798"/>
    <w:rPr>
      <w:b/>
      <w:bCs/>
    </w:rPr>
  </w:style>
  <w:style w:type="character" w:customStyle="1" w:styleId="CommentSubjectChar">
    <w:name w:val="Comment Subject Char"/>
    <w:basedOn w:val="CommentTextChar"/>
    <w:link w:val="CommentSubject"/>
    <w:uiPriority w:val="99"/>
    <w:semiHidden/>
    <w:rsid w:val="00F447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474062">
      <w:bodyDiv w:val="1"/>
      <w:marLeft w:val="0"/>
      <w:marRight w:val="0"/>
      <w:marTop w:val="0"/>
      <w:marBottom w:val="0"/>
      <w:divBdr>
        <w:top w:val="none" w:sz="0" w:space="0" w:color="auto"/>
        <w:left w:val="none" w:sz="0" w:space="0" w:color="auto"/>
        <w:bottom w:val="none" w:sz="0" w:space="0" w:color="auto"/>
        <w:right w:val="none" w:sz="0" w:space="0" w:color="auto"/>
      </w:divBdr>
    </w:div>
    <w:div w:id="731588454">
      <w:bodyDiv w:val="1"/>
      <w:marLeft w:val="0"/>
      <w:marRight w:val="0"/>
      <w:marTop w:val="0"/>
      <w:marBottom w:val="0"/>
      <w:divBdr>
        <w:top w:val="none" w:sz="0" w:space="0" w:color="auto"/>
        <w:left w:val="none" w:sz="0" w:space="0" w:color="auto"/>
        <w:bottom w:val="none" w:sz="0" w:space="0" w:color="auto"/>
        <w:right w:val="none" w:sz="0" w:space="0" w:color="auto"/>
      </w:divBdr>
    </w:div>
    <w:div w:id="760951628">
      <w:bodyDiv w:val="1"/>
      <w:marLeft w:val="0"/>
      <w:marRight w:val="0"/>
      <w:marTop w:val="0"/>
      <w:marBottom w:val="0"/>
      <w:divBdr>
        <w:top w:val="none" w:sz="0" w:space="0" w:color="auto"/>
        <w:left w:val="none" w:sz="0" w:space="0" w:color="auto"/>
        <w:bottom w:val="none" w:sz="0" w:space="0" w:color="auto"/>
        <w:right w:val="none" w:sz="0" w:space="0" w:color="auto"/>
      </w:divBdr>
    </w:div>
    <w:div w:id="140634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D98F8206430D47A766C1666143654D" ma:contentTypeVersion="7" ma:contentTypeDescription="Create a new document." ma:contentTypeScope="" ma:versionID="fdf1fd45bbc7ee80c218cbb83526a8b0">
  <xsd:schema xmlns:xsd="http://www.w3.org/2001/XMLSchema" xmlns:xs="http://www.w3.org/2001/XMLSchema" xmlns:p="http://schemas.microsoft.com/office/2006/metadata/properties" xmlns:ns3="5decbcae-61ad-4d20-817b-05211b5423d2" xmlns:ns4="c616add7-0914-4642-916a-c6897e65c807" targetNamespace="http://schemas.microsoft.com/office/2006/metadata/properties" ma:root="true" ma:fieldsID="b00c8ef48113ca3bd920afff76bb2f7c" ns3:_="" ns4:_="">
    <xsd:import namespace="5decbcae-61ad-4d20-817b-05211b5423d2"/>
    <xsd:import namespace="c616add7-0914-4642-916a-c6897e65c8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cbcae-61ad-4d20-817b-05211b542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16add7-0914-4642-916a-c6897e65c8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6CDF7-AE7E-4E89-91CC-4CE3DA0DC18F}">
  <ds:schemaRefs>
    <ds:schemaRef ds:uri="http://purl.org/dc/terms/"/>
    <ds:schemaRef ds:uri="c616add7-0914-4642-916a-c6897e65c807"/>
    <ds:schemaRef ds:uri="5decbcae-61ad-4d20-817b-05211b5423d2"/>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7D42DC2-C7A7-4079-97FE-F18D6A2AF5C1}">
  <ds:schemaRefs>
    <ds:schemaRef ds:uri="http://schemas.microsoft.com/sharepoint/v3/contenttype/forms"/>
  </ds:schemaRefs>
</ds:datastoreItem>
</file>

<file path=customXml/itemProps3.xml><?xml version="1.0" encoding="utf-8"?>
<ds:datastoreItem xmlns:ds="http://schemas.openxmlformats.org/officeDocument/2006/customXml" ds:itemID="{AB4101FE-8B95-4830-AFE6-F70EC7D96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cbcae-61ad-4d20-817b-05211b5423d2"/>
    <ds:schemaRef ds:uri="c616add7-0914-4642-916a-c6897e65c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2DBEFC-FD9C-4AE8-9605-02C1AEA17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 Fletcher</dc:creator>
  <cp:keywords/>
  <dc:description/>
  <cp:lastModifiedBy>Ion Fletcher</cp:lastModifiedBy>
  <cp:revision>5</cp:revision>
  <dcterms:created xsi:type="dcterms:W3CDTF">2020-01-28T17:58:00Z</dcterms:created>
  <dcterms:modified xsi:type="dcterms:W3CDTF">2020-01-31T15:59:00Z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0x01010014D98F8206430D47A766C1666143654D</vt:lpwstr>
  </property>
</Properties>
</file>